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ordWrap w:val="0"/>
        <w:autoSpaceDE w:val="0"/>
        <w:autoSpaceDN w:val="0"/>
        <w:adjustRightInd w:val="0"/>
        <w:spacing w:before="120" w:after="120" w:line="720" w:lineRule="atLeast"/>
        <w:jc w:val="center"/>
        <w:rPr>
          <w:rFonts w:ascii="宋体" w:hAnsi="宋体" w:cs="宋体"/>
          <w:b/>
          <w:bCs/>
          <w:kern w:val="0"/>
          <w:sz w:val="44"/>
          <w:szCs w:val="44"/>
        </w:rPr>
      </w:pPr>
      <w:r>
        <w:rPr>
          <w:rFonts w:hint="eastAsia" w:ascii="宋体" w:hAnsi="宋体" w:cs="宋体"/>
          <w:b/>
          <w:bCs/>
          <w:kern w:val="0"/>
          <w:sz w:val="44"/>
          <w:szCs w:val="44"/>
        </w:rPr>
        <w:t>重庆医科大学附属第二医院都市方舟六楼</w:t>
      </w:r>
    </w:p>
    <w:p>
      <w:pPr>
        <w:wordWrap w:val="0"/>
        <w:autoSpaceDE w:val="0"/>
        <w:autoSpaceDN w:val="0"/>
        <w:adjustRightInd w:val="0"/>
        <w:spacing w:before="120" w:after="120" w:line="720" w:lineRule="atLeast"/>
        <w:jc w:val="center"/>
        <w:rPr>
          <w:rFonts w:ascii="宋体" w:hAnsi="宋体" w:cs="宋体"/>
          <w:b/>
          <w:bCs/>
          <w:snapToGrid w:val="0"/>
          <w:sz w:val="44"/>
          <w:szCs w:val="44"/>
        </w:rPr>
      </w:pPr>
      <w:r>
        <w:rPr>
          <w:rFonts w:hint="eastAsia" w:ascii="宋体" w:hAnsi="宋体" w:cs="宋体"/>
          <w:b/>
          <w:bCs/>
          <w:kern w:val="0"/>
          <w:sz w:val="44"/>
          <w:szCs w:val="44"/>
        </w:rPr>
        <w:t>加固维修工程</w:t>
      </w: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二〇一七年十月十六日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ordWrap w:val="0"/>
              <w:autoSpaceDE w:val="0"/>
              <w:autoSpaceDN w:val="0"/>
              <w:adjustRightInd w:val="0"/>
              <w:spacing w:before="120" w:after="120"/>
              <w:jc w:val="left"/>
              <w:rPr>
                <w:rFonts w:ascii="宋体" w:hAnsi="宋体" w:cs="宋体"/>
                <w:snapToGrid w:val="0"/>
                <w:sz w:val="24"/>
              </w:rPr>
            </w:pPr>
            <w:r>
              <w:rPr>
                <w:rFonts w:hint="eastAsia" w:ascii="宋体" w:hAnsi="宋体" w:cs="宋体"/>
                <w:kern w:val="0"/>
                <w:sz w:val="24"/>
              </w:rPr>
              <w:t>重庆医科大学附属第二医院都市方舟六楼加固维修工程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建设地点：</w:t>
            </w:r>
            <w:r>
              <w:rPr>
                <w:rFonts w:hint="eastAsia" w:ascii="宋体" w:eastAsia="宋体" w:cs="宋体"/>
                <w:szCs w:val="24"/>
                <w:shd w:val="clear" w:color="auto" w:fill="F6F6F6"/>
              </w:rPr>
              <w:t>重庆市渝中区戴家巷2号都市方舟六楼</w:t>
            </w:r>
          </w:p>
          <w:p>
            <w:pPr>
              <w:pStyle w:val="51"/>
              <w:spacing w:line="240" w:lineRule="auto"/>
              <w:ind w:firstLine="0"/>
              <w:rPr>
                <w:rFonts w:ascii="宋体" w:eastAsia="宋体" w:cs="宋体"/>
                <w:szCs w:val="24"/>
              </w:rPr>
            </w:pPr>
            <w:r>
              <w:rPr>
                <w:rFonts w:hint="eastAsia" w:ascii="宋体" w:eastAsia="宋体" w:cs="宋体"/>
                <w:szCs w:val="24"/>
              </w:rPr>
              <w:t xml:space="preserve">工程规模：建筑面积约1000平方米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施工范围及内容</w:t>
            </w:r>
          </w:p>
        </w:tc>
        <w:tc>
          <w:tcPr>
            <w:tcW w:w="6845" w:type="dxa"/>
            <w:vAlign w:val="center"/>
          </w:tcPr>
          <w:p>
            <w:pPr>
              <w:widowControl/>
              <w:jc w:val="left"/>
              <w:rPr>
                <w:rFonts w:ascii="宋体" w:hAnsi="宋体" w:cs="宋体"/>
                <w:kern w:val="0"/>
                <w:sz w:val="24"/>
              </w:rPr>
            </w:pPr>
            <w:r>
              <w:rPr>
                <w:rFonts w:hint="eastAsia" w:cs="宋体"/>
                <w:bCs/>
                <w:color w:val="000000"/>
                <w:kern w:val="0"/>
                <w:sz w:val="24"/>
              </w:rPr>
              <w:t>医院提供的加固施工图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本项目施工工期为合同签订后25日历天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竞谈目标</w:t>
            </w:r>
          </w:p>
        </w:tc>
        <w:tc>
          <w:tcPr>
            <w:tcW w:w="6845" w:type="dxa"/>
            <w:vAlign w:val="center"/>
          </w:tcPr>
          <w:p>
            <w:pPr>
              <w:widowControl/>
              <w:jc w:val="left"/>
              <w:rPr>
                <w:rFonts w:ascii="宋体" w:hAnsi="宋体" w:cs="宋体"/>
                <w:sz w:val="24"/>
              </w:rPr>
            </w:pPr>
            <w:r>
              <w:rPr>
                <w:rFonts w:hint="eastAsia" w:ascii="仿宋" w:hAnsi="仿宋" w:eastAsia="仿宋" w:cs="仿宋"/>
                <w:kern w:val="0"/>
                <w:sz w:val="24"/>
              </w:rPr>
              <w:t>所有施工质量必须达到国家各相关部门现行规定要求，及满足医院使用要求。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ascii="宋体" w:eastAsia="宋体" w:cs="宋体"/>
                <w:szCs w:val="24"/>
              </w:rPr>
            </w:pPr>
            <w:r>
              <w:rPr>
                <w:rFonts w:hint="eastAsia" w:ascii="宋体" w:eastAsia="宋体" w:cs="宋体"/>
                <w:szCs w:val="24"/>
              </w:rPr>
              <w:t>2、</w:t>
            </w:r>
            <w:r>
              <w:rPr>
                <w:rFonts w:hint="eastAsia" w:ascii="新宋体" w:hAnsi="新宋体" w:eastAsia="新宋体" w:cs="新宋体"/>
                <w:szCs w:val="24"/>
              </w:rPr>
              <w:t>具备房屋建筑加固专业工程资质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7</w:t>
            </w:r>
          </w:p>
        </w:tc>
        <w:tc>
          <w:tcPr>
            <w:tcW w:w="1948" w:type="dxa"/>
            <w:vAlign w:val="center"/>
          </w:tcPr>
          <w:p>
            <w:pPr>
              <w:pStyle w:val="51"/>
              <w:spacing w:line="240" w:lineRule="auto"/>
              <w:ind w:firstLine="0"/>
              <w:jc w:val="center"/>
              <w:rPr>
                <w:rFonts w:ascii="宋体" w:eastAsia="宋体" w:cs="宋体"/>
              </w:rPr>
            </w:pPr>
            <w:r>
              <w:rPr>
                <w:rFonts w:hint="eastAsia" w:ascii="仿宋" w:hAnsi="仿宋" w:eastAsia="仿宋" w:cs="仿宋"/>
                <w:szCs w:val="24"/>
              </w:rPr>
              <w:t>材料要求</w:t>
            </w:r>
          </w:p>
        </w:tc>
        <w:tc>
          <w:tcPr>
            <w:tcW w:w="6845" w:type="dxa"/>
            <w:vAlign w:val="center"/>
          </w:tcPr>
          <w:p>
            <w:pPr>
              <w:widowControl/>
              <w:jc w:val="left"/>
              <w:rPr>
                <w:rFonts w:ascii="宋体" w:hAnsi="宋体" w:cs="宋体"/>
                <w:sz w:val="24"/>
              </w:rPr>
            </w:pPr>
            <w:r>
              <w:rPr>
                <w:rFonts w:hint="eastAsia" w:ascii="新宋体" w:hAnsi="新宋体" w:eastAsia="新宋体" w:cs="新宋体"/>
                <w:kern w:val="0"/>
                <w:sz w:val="24"/>
              </w:rPr>
              <w:t>材料价格：所有材料必须经过重医附二院核质核价后方可在施工中使用。所有材料均为工地到岸价，已包含材料价格、材料运输费、上下车费和转运费，采保费等所有费用。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8</w:t>
            </w:r>
          </w:p>
        </w:tc>
        <w:tc>
          <w:tcPr>
            <w:tcW w:w="1948" w:type="dxa"/>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支付方式</w:t>
            </w:r>
          </w:p>
          <w:p>
            <w:pPr>
              <w:pStyle w:val="51"/>
              <w:spacing w:line="240" w:lineRule="auto"/>
              <w:ind w:firstLine="0"/>
              <w:jc w:val="center"/>
              <w:rPr>
                <w:rFonts w:ascii="宋体" w:eastAsia="宋体" w:cs="宋体"/>
              </w:rPr>
            </w:pPr>
          </w:p>
        </w:tc>
        <w:tc>
          <w:tcPr>
            <w:tcW w:w="6845" w:type="dxa"/>
            <w:vAlign w:val="center"/>
          </w:tcPr>
          <w:p>
            <w:pPr>
              <w:pStyle w:val="51"/>
              <w:spacing w:line="240" w:lineRule="auto"/>
              <w:ind w:firstLine="0"/>
              <w:rPr>
                <w:rFonts w:ascii="宋体" w:eastAsia="宋体" w:cs="宋体"/>
                <w:szCs w:val="24"/>
              </w:rPr>
            </w:pPr>
            <w:r>
              <w:rPr>
                <w:rFonts w:hint="eastAsia" w:ascii="仿宋" w:hAnsi="仿宋" w:eastAsia="仿宋" w:cs="仿宋"/>
                <w:szCs w:val="24"/>
              </w:rPr>
              <w:t>本项目无工程预付款，乙方在完成该项工程且验收合格后，提交完整的工程结算资料，医院在收到完整的工程结算资料后，六个月内审定完毕（如造价大于3</w:t>
            </w:r>
            <w:r>
              <w:rPr>
                <w:rFonts w:ascii="仿宋" w:hAnsi="仿宋" w:eastAsia="仿宋" w:cs="仿宋"/>
                <w:szCs w:val="24"/>
              </w:rPr>
              <w:t>0</w:t>
            </w:r>
            <w:r>
              <w:rPr>
                <w:rFonts w:hint="eastAsia" w:ascii="仿宋" w:hAnsi="仿宋" w:eastAsia="仿宋" w:cs="仿宋"/>
                <w:szCs w:val="24"/>
              </w:rPr>
              <w:t>万则由外审机构进行结算审计），一次性支付工程审定价款的</w:t>
            </w:r>
            <w:r>
              <w:rPr>
                <w:rFonts w:ascii="仿宋" w:hAnsi="仿宋" w:eastAsia="仿宋" w:cs="仿宋"/>
                <w:szCs w:val="24"/>
              </w:rPr>
              <w:t>95%</w:t>
            </w:r>
            <w:r>
              <w:rPr>
                <w:rFonts w:hint="eastAsia" w:ascii="仿宋" w:hAnsi="仿宋" w:eastAsia="仿宋" w:cs="仿宋"/>
                <w:szCs w:val="24"/>
              </w:rPr>
              <w:t>，余</w:t>
            </w:r>
            <w:r>
              <w:rPr>
                <w:rFonts w:ascii="仿宋" w:hAnsi="仿宋" w:eastAsia="仿宋" w:cs="仿宋"/>
                <w:szCs w:val="24"/>
              </w:rPr>
              <w:t>5%</w:t>
            </w:r>
            <w:r>
              <w:rPr>
                <w:rFonts w:hint="eastAsia" w:ascii="仿宋" w:hAnsi="仿宋" w:eastAsia="仿宋" w:cs="仿宋"/>
                <w:szCs w:val="24"/>
              </w:rPr>
              <w:t>的质保金质保期满两年后支付。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5" w:hRule="atLeast"/>
          <w:jc w:val="center"/>
        </w:trPr>
        <w:tc>
          <w:tcPr>
            <w:tcW w:w="855" w:type="dxa"/>
            <w:vAlign w:val="center"/>
          </w:tcPr>
          <w:p>
            <w:pPr>
              <w:pStyle w:val="51"/>
              <w:spacing w:line="240" w:lineRule="auto"/>
              <w:ind w:firstLine="0"/>
              <w:jc w:val="center"/>
              <w:rPr>
                <w:rFonts w:ascii="宋体" w:eastAsia="宋体" w:cs="宋体"/>
              </w:rPr>
            </w:pPr>
          </w:p>
          <w:p>
            <w:pPr>
              <w:pStyle w:val="51"/>
              <w:spacing w:line="240" w:lineRule="auto"/>
              <w:ind w:firstLine="0"/>
              <w:jc w:val="center"/>
              <w:rPr>
                <w:rFonts w:ascii="宋体" w:eastAsia="宋体" w:cs="宋体"/>
              </w:rPr>
            </w:pPr>
            <w:r>
              <w:rPr>
                <w:rFonts w:hint="eastAsia" w:ascii="宋体" w:eastAsia="宋体" w:cs="宋体"/>
              </w:rPr>
              <w:t>9</w:t>
            </w:r>
          </w:p>
          <w:p>
            <w:pPr>
              <w:pStyle w:val="51"/>
              <w:spacing w:line="240" w:lineRule="auto"/>
              <w:ind w:firstLine="0"/>
              <w:jc w:val="center"/>
              <w:rPr>
                <w:rFonts w:ascii="宋体" w:eastAsia="宋体" w:cs="宋体"/>
              </w:rPr>
            </w:pP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widowControl/>
              <w:spacing w:line="500" w:lineRule="exact"/>
              <w:jc w:val="left"/>
              <w:rPr>
                <w:rFonts w:ascii="宋体" w:hAnsi="宋体" w:cs="宋体"/>
                <w:kern w:val="0"/>
                <w:sz w:val="24"/>
              </w:rPr>
            </w:pPr>
            <w:r>
              <w:rPr>
                <w:rFonts w:hint="eastAsia" w:ascii="宋体" w:hAnsi="宋体" w:cs="宋体"/>
                <w:kern w:val="0"/>
                <w:sz w:val="24"/>
              </w:rPr>
              <w:t>1、结算标准：本项目按2008年《重庆市建筑工程计价定额》《重庆市装饰工程计价定额》（缺项内容借用相关定额）及其相关配套文件进行结算，按中标单位填报的下浮比例下浮后作为结算总价。取费标准均按2008年《重庆市建设工程费用定额》计取。</w:t>
            </w:r>
          </w:p>
          <w:p>
            <w:pPr>
              <w:widowControl/>
              <w:spacing w:line="500" w:lineRule="exact"/>
              <w:jc w:val="left"/>
              <w:rPr>
                <w:rFonts w:ascii="宋体" w:hAnsi="宋体" w:cs="宋体"/>
                <w:sz w:val="24"/>
              </w:rPr>
            </w:pPr>
            <w:r>
              <w:rPr>
                <w:rFonts w:hint="eastAsia" w:ascii="宋体" w:hAnsi="宋体" w:cs="宋体"/>
                <w:kern w:val="0"/>
                <w:sz w:val="24"/>
              </w:rPr>
              <w:t>2、材料价格：所有材料必须经过重医附二院核质核价后方可在施工中使用。所有材料均为工地到岸价，已包含材料价格、材料运输费、上下车费和转运费，采保费等所有费用。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竞争性谈判</w:t>
            </w:r>
          </w:p>
          <w:p>
            <w:pPr>
              <w:pStyle w:val="51"/>
              <w:spacing w:line="240" w:lineRule="auto"/>
              <w:ind w:firstLine="0"/>
              <w:jc w:val="center"/>
              <w:rPr>
                <w:rFonts w:ascii="宋体" w:eastAsia="宋体" w:cs="宋体"/>
                <w:bCs/>
                <w:szCs w:val="24"/>
              </w:rPr>
            </w:pPr>
            <w:r>
              <w:rPr>
                <w:rFonts w:hint="eastAsia" w:ascii="宋体" w:eastAsia="宋体" w:cs="宋体"/>
                <w:szCs w:val="24"/>
              </w:rPr>
              <w:t>文件组成</w:t>
            </w:r>
          </w:p>
        </w:tc>
        <w:tc>
          <w:tcPr>
            <w:tcW w:w="6845" w:type="dxa"/>
            <w:vAlign w:val="center"/>
          </w:tcPr>
          <w:p>
            <w:pPr>
              <w:pStyle w:val="51"/>
              <w:numPr>
                <w:ilvl w:val="0"/>
                <w:numId w:val="3"/>
              </w:numPr>
              <w:spacing w:line="240" w:lineRule="auto"/>
              <w:ind w:firstLine="0"/>
              <w:rPr>
                <w:rFonts w:ascii="宋体" w:eastAsia="宋体" w:cs="宋体"/>
                <w:szCs w:val="24"/>
              </w:rPr>
            </w:pPr>
            <w:r>
              <w:rPr>
                <w:rFonts w:hint="eastAsia" w:ascii="宋体" w:eastAsia="宋体" w:cs="宋体"/>
                <w:szCs w:val="24"/>
              </w:rPr>
              <w:t xml:space="preserve">法定代表人授权委托书  </w:t>
            </w:r>
          </w:p>
          <w:p>
            <w:pPr>
              <w:pStyle w:val="51"/>
              <w:spacing w:line="240" w:lineRule="auto"/>
              <w:ind w:firstLine="0"/>
              <w:rPr>
                <w:rFonts w:ascii="宋体" w:eastAsia="宋体" w:cs="宋体"/>
                <w:szCs w:val="24"/>
              </w:rPr>
            </w:pPr>
            <w:r>
              <w:rPr>
                <w:rFonts w:hint="eastAsia" w:ascii="宋体" w:eastAsia="宋体" w:cs="宋体"/>
                <w:szCs w:val="24"/>
              </w:rPr>
              <w:t xml:space="preserve">2、报价书   </w:t>
            </w:r>
          </w:p>
          <w:p>
            <w:pPr>
              <w:pStyle w:val="51"/>
              <w:spacing w:line="240" w:lineRule="auto"/>
              <w:ind w:firstLine="0"/>
              <w:rPr>
                <w:rFonts w:ascii="宋体" w:eastAsia="宋体" w:cs="宋体"/>
                <w:szCs w:val="24"/>
              </w:rPr>
            </w:pPr>
            <w:r>
              <w:rPr>
                <w:rFonts w:hint="eastAsia" w:ascii="宋体" w:eastAsia="宋体" w:cs="宋体"/>
                <w:szCs w:val="24"/>
              </w:rPr>
              <w:t>3、公司基本情况表</w:t>
            </w:r>
          </w:p>
          <w:p>
            <w:pPr>
              <w:pStyle w:val="51"/>
              <w:spacing w:line="240" w:lineRule="auto"/>
              <w:ind w:firstLine="0"/>
              <w:rPr>
                <w:rFonts w:ascii="宋体" w:eastAsia="宋体" w:cs="宋体"/>
                <w:szCs w:val="24"/>
              </w:rPr>
            </w:pPr>
            <w:r>
              <w:rPr>
                <w:rFonts w:hint="eastAsia" w:ascii="宋体" w:eastAsia="宋体" w:cs="宋体"/>
                <w:szCs w:val="24"/>
              </w:rPr>
              <w:t>资格证明材料：①企业营业执照（三证合一）；②资质等级证书。以上复印件需加盖公章（原件备查）。</w:t>
            </w:r>
          </w:p>
          <w:p>
            <w:pPr>
              <w:pStyle w:val="51"/>
              <w:spacing w:line="240" w:lineRule="auto"/>
              <w:ind w:firstLine="0"/>
              <w:rPr>
                <w:rFonts w:ascii="宋体" w:eastAsia="宋体" w:cs="宋体"/>
                <w:szCs w:val="24"/>
              </w:rPr>
            </w:pPr>
            <w:r>
              <w:rPr>
                <w:rFonts w:hint="eastAsia" w:ascii="宋体" w:eastAsia="宋体" w:cs="宋体"/>
                <w:szCs w:val="24"/>
              </w:rPr>
              <w:t>4、公司类似工程业绩表</w:t>
            </w:r>
          </w:p>
          <w:p>
            <w:pPr>
              <w:pStyle w:val="51"/>
              <w:spacing w:line="240" w:lineRule="auto"/>
              <w:ind w:firstLine="0"/>
              <w:rPr>
                <w:rFonts w:ascii="宋体" w:eastAsia="宋体" w:cs="宋体"/>
                <w:szCs w:val="24"/>
              </w:rPr>
            </w:pPr>
            <w:r>
              <w:rPr>
                <w:rFonts w:hint="eastAsia" w:ascii="宋体" w:eastAsia="宋体" w:cs="宋体"/>
                <w:szCs w:val="24"/>
              </w:rPr>
              <w:t>5、拟派设计人员一览表</w:t>
            </w:r>
          </w:p>
          <w:p>
            <w:pPr>
              <w:pStyle w:val="51"/>
              <w:spacing w:line="240" w:lineRule="auto"/>
              <w:ind w:firstLine="0"/>
              <w:rPr>
                <w:rFonts w:ascii="宋体" w:eastAsia="宋体" w:cs="宋体"/>
                <w:bCs/>
                <w:szCs w:val="24"/>
              </w:rPr>
            </w:pPr>
            <w:r>
              <w:rPr>
                <w:rFonts w:hint="eastAsia" w:ascii="宋体" w:eastAsia="宋体" w:cs="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11</w:t>
            </w:r>
          </w:p>
        </w:tc>
        <w:tc>
          <w:tcPr>
            <w:tcW w:w="1948" w:type="dxa"/>
            <w:vAlign w:val="center"/>
          </w:tcPr>
          <w:p>
            <w:pPr>
              <w:widowControl/>
              <w:spacing w:line="500" w:lineRule="exact"/>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spacing w:line="500" w:lineRule="exact"/>
              <w:jc w:val="left"/>
              <w:rPr>
                <w:rFonts w:ascii="宋体" w:hAnsi="宋体" w:cs="宋体"/>
                <w:sz w:val="24"/>
              </w:rPr>
            </w:pPr>
            <w:r>
              <w:rPr>
                <w:rFonts w:hint="eastAsia" w:ascii="宋体" w:hAnsi="宋体" w:cs="宋体"/>
                <w:kern w:val="0"/>
                <w:sz w:val="24"/>
              </w:rPr>
              <w:t>工程质保期为两年。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1、投标文件包含施工方案、综合预算和工程结算总价下浮比例报价单，公司资质、资格审查资料以及其他资料。</w:t>
            </w:r>
          </w:p>
          <w:p>
            <w:pPr>
              <w:widowControl/>
              <w:jc w:val="left"/>
              <w:rPr>
                <w:rFonts w:ascii="宋体" w:hAnsi="宋体" w:cs="宋体"/>
                <w:sz w:val="24"/>
              </w:rPr>
            </w:pPr>
            <w:r>
              <w:rPr>
                <w:rFonts w:hint="eastAsia" w:ascii="宋体" w:hAnsi="宋体" w:cs="宋体"/>
                <w:bCs/>
                <w:sz w:val="24"/>
              </w:rPr>
              <w:t>2、</w:t>
            </w:r>
            <w:r>
              <w:rPr>
                <w:rFonts w:hint="eastAsia" w:ascii="宋体" w:hAnsi="宋体" w:cs="宋体"/>
                <w:kern w:val="0"/>
                <w:sz w:val="24"/>
              </w:rPr>
              <w:t>投标文件制作肆份（一正叁副），采用A 4纸装订成册，签章齐备。将谈判文件装入档案袋并密封完好，封面应加盖单位公章。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rPr>
                <w:rFonts w:ascii="宋体" w:hAnsi="宋体" w:cs="宋体"/>
                <w:sz w:val="24"/>
              </w:rPr>
            </w:pPr>
            <w:r>
              <w:rPr>
                <w:rFonts w:hint="eastAsia" w:ascii="宋体" w:hAnsi="宋体" w:cs="宋体"/>
                <w:bCs/>
                <w:kern w:val="0"/>
                <w:sz w:val="24"/>
              </w:rPr>
              <w:t>根据参与单位的综合预算及结算总价下浮比例、工期、施工方案等各方面进行综合评定。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领取文件地点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2017年10月</w:t>
            </w:r>
            <w:r>
              <w:rPr>
                <w:rFonts w:hint="eastAsia" w:ascii="宋体" w:eastAsia="宋体" w:cs="宋体"/>
                <w:szCs w:val="24"/>
                <w:lang w:val="en-US" w:eastAsia="zh-CN"/>
              </w:rPr>
              <w:t>19</w:t>
            </w:r>
            <w:bookmarkStart w:id="2" w:name="_GoBack"/>
            <w:bookmarkEnd w:id="2"/>
            <w:r>
              <w:rPr>
                <w:rFonts w:hint="eastAsia" w:ascii="宋体" w:eastAsia="宋体" w:cs="宋体"/>
                <w:szCs w:val="24"/>
              </w:rPr>
              <w:t>日 下午17点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szCs w:val="24"/>
              </w:rPr>
            </w:pPr>
            <w:r>
              <w:rPr>
                <w:rFonts w:hint="eastAsia" w:ascii="宋体" w:eastAsia="宋体" w:cs="宋体"/>
                <w:szCs w:val="24"/>
              </w:rPr>
              <w:t>联系地址：重医属二医院综合楼16-1房管科办公室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联 系 人：祝老师   周老师   联系电话：023-63693619</w:t>
            </w:r>
          </w:p>
        </w:tc>
      </w:tr>
    </w:tbl>
    <w:p>
      <w:pPr>
        <w:pStyle w:val="51"/>
        <w:spacing w:line="240" w:lineRule="auto"/>
        <w:ind w:firstLine="0"/>
        <w:rPr>
          <w:rFonts w:ascii="宋体" w:eastAsia="宋体" w:cs="宋体"/>
        </w:rPr>
      </w:pPr>
    </w:p>
    <w:p>
      <w:pPr>
        <w:spacing w:line="360" w:lineRule="auto"/>
        <w:rPr>
          <w:rFonts w:ascii="宋体" w:hAnsi="宋体" w:cs="宋体"/>
          <w:kern w:val="0"/>
          <w:sz w:val="24"/>
        </w:rPr>
      </w:pPr>
      <w:r>
        <w:rPr>
          <w:rFonts w:hint="eastAsia" w:ascii="宋体" w:hAnsi="宋体" w:cs="宋体"/>
          <w:kern w:val="0"/>
          <w:sz w:val="24"/>
        </w:rPr>
        <w:t>附件：</w:t>
      </w:r>
    </w:p>
    <w:p>
      <w:pPr>
        <w:numPr>
          <w:ilvl w:val="0"/>
          <w:numId w:val="4"/>
        </w:numPr>
        <w:spacing w:line="360" w:lineRule="auto"/>
        <w:rPr>
          <w:rFonts w:ascii="宋体" w:hAnsi="宋体" w:cs="宋体"/>
          <w:kern w:val="0"/>
          <w:sz w:val="24"/>
        </w:rPr>
      </w:pPr>
      <w:r>
        <w:rPr>
          <w:rFonts w:hint="eastAsia" w:ascii="宋体" w:hAnsi="宋体" w:cs="宋体"/>
          <w:kern w:val="0"/>
          <w:sz w:val="24"/>
        </w:rPr>
        <w:t>法定代表人授权书（格式）</w:t>
      </w:r>
    </w:p>
    <w:p>
      <w:pPr>
        <w:numPr>
          <w:ilvl w:val="0"/>
          <w:numId w:val="4"/>
        </w:numPr>
        <w:spacing w:line="360" w:lineRule="auto"/>
        <w:rPr>
          <w:rFonts w:ascii="宋体" w:hAnsi="宋体" w:cs="宋体"/>
          <w:kern w:val="0"/>
          <w:sz w:val="24"/>
        </w:rPr>
      </w:pPr>
      <w:r>
        <w:rPr>
          <w:rFonts w:hint="eastAsia" w:ascii="宋体" w:hAnsi="宋体" w:cs="宋体"/>
          <w:kern w:val="0"/>
          <w:sz w:val="24"/>
        </w:rPr>
        <w:t>承诺书（格式）</w:t>
      </w:r>
    </w:p>
    <w:p>
      <w:pPr>
        <w:numPr>
          <w:ilvl w:val="0"/>
          <w:numId w:val="4"/>
        </w:numPr>
        <w:spacing w:line="360" w:lineRule="auto"/>
        <w:rPr>
          <w:rFonts w:ascii="宋体" w:hAnsi="宋体" w:cs="宋体"/>
          <w:kern w:val="0"/>
          <w:sz w:val="24"/>
        </w:rPr>
      </w:pPr>
      <w:r>
        <w:rPr>
          <w:rFonts w:hint="eastAsia" w:ascii="宋体" w:hAnsi="宋体" w:cs="宋体"/>
          <w:kern w:val="0"/>
          <w:sz w:val="24"/>
        </w:rPr>
        <w:t>报价书（格式）、报价须知</w:t>
      </w:r>
    </w:p>
    <w:p>
      <w:pPr>
        <w:numPr>
          <w:ilvl w:val="0"/>
          <w:numId w:val="4"/>
        </w:numPr>
        <w:spacing w:line="360" w:lineRule="auto"/>
        <w:rPr>
          <w:rFonts w:ascii="宋体" w:hAnsi="宋体" w:cs="宋体"/>
          <w:kern w:val="0"/>
          <w:sz w:val="24"/>
        </w:rPr>
      </w:pPr>
      <w:r>
        <w:rPr>
          <w:rFonts w:hint="eastAsia" w:ascii="宋体" w:hAnsi="宋体" w:cs="宋体"/>
          <w:kern w:val="0"/>
          <w:sz w:val="24"/>
        </w:rPr>
        <w:t>本项目造价咨询人员一览表</w:t>
      </w:r>
    </w:p>
    <w:p>
      <w:pPr>
        <w:numPr>
          <w:ilvl w:val="0"/>
          <w:numId w:val="4"/>
        </w:numPr>
        <w:spacing w:line="360" w:lineRule="auto"/>
        <w:rPr>
          <w:rFonts w:ascii="宋体" w:hAnsi="宋体" w:cs="宋体"/>
          <w:kern w:val="0"/>
          <w:sz w:val="24"/>
        </w:rPr>
      </w:pPr>
      <w:r>
        <w:rPr>
          <w:rFonts w:hint="eastAsia" w:ascii="宋体" w:hAnsi="宋体" w:cs="宋体"/>
          <w:kern w:val="0"/>
          <w:sz w:val="24"/>
        </w:rPr>
        <w:t>类似业绩一览表（自拟）</w:t>
      </w:r>
    </w:p>
    <w:p>
      <w:pPr>
        <w:spacing w:line="360" w:lineRule="auto"/>
        <w:ind w:left="360"/>
        <w:rPr>
          <w:rFonts w:ascii="宋体" w:hAnsi="宋体" w:cs="宋体"/>
          <w:kern w:val="0"/>
          <w:sz w:val="24"/>
        </w:rPr>
      </w:pPr>
    </w:p>
    <w:p>
      <w:pPr>
        <w:rPr>
          <w:rFonts w:ascii="宋体" w:hAnsi="宋体" w:cs="宋体"/>
          <w:sz w:val="24"/>
        </w:rPr>
      </w:pPr>
    </w:p>
    <w:p>
      <w:pPr>
        <w:jc w:val="center"/>
        <w:rPr>
          <w:rFonts w:ascii="宋体" w:hAnsi="宋体" w:cs="宋体"/>
          <w:sz w:val="24"/>
        </w:rPr>
      </w:pPr>
    </w:p>
    <w:p>
      <w:pPr>
        <w:jc w:val="right"/>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二0一七年十月一十六日</w:t>
      </w:r>
    </w:p>
    <w:p>
      <w:pPr>
        <w:jc w:val="center"/>
        <w:rPr>
          <w:rFonts w:ascii="宋体" w:hAnsi="宋体" w:cs="宋体"/>
          <w:sz w:val="2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ordWrap w:val="0"/>
        <w:autoSpaceDE w:val="0"/>
        <w:autoSpaceDN w:val="0"/>
        <w:adjustRightInd w:val="0"/>
        <w:spacing w:before="120" w:after="120" w:line="360" w:lineRule="auto"/>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宋体" w:hAnsi="宋体" w:cs="宋体"/>
          <w:b/>
          <w:bCs/>
          <w:kern w:val="0"/>
          <w:sz w:val="28"/>
          <w:szCs w:val="28"/>
          <w:u w:val="single"/>
        </w:rPr>
        <w:t>重庆医科大学附属第二医院都市方舟六楼加固维修工程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rPr>
      </w:pPr>
    </w:p>
    <w:p>
      <w:pPr>
        <w:jc w:val="right"/>
        <w:rPr>
          <w:rFonts w:ascii="宋体" w:hAnsi="宋体" w:cs="宋体"/>
          <w:sz w:val="28"/>
        </w:rPr>
      </w:pPr>
    </w:p>
    <w:p>
      <w:pPr>
        <w:jc w:val="center"/>
        <w:rPr>
          <w:rFonts w:ascii="宋体" w:hAnsi="宋体" w:cs="宋体"/>
          <w:b/>
          <w:bCs/>
          <w:sz w:val="44"/>
          <w:szCs w:val="44"/>
        </w:rPr>
      </w:pPr>
      <w:r>
        <w:rPr>
          <w:rFonts w:hint="eastAsia" w:ascii="宋体" w:hAnsi="宋体" w:cs="宋体"/>
          <w:b/>
          <w:bCs/>
          <w:sz w:val="44"/>
          <w:szCs w:val="44"/>
        </w:rPr>
        <w:t>承诺书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宋体" w:hAnsi="宋体" w:cs="宋体"/>
          <w:b/>
          <w:bCs/>
          <w:kern w:val="0"/>
          <w:sz w:val="28"/>
          <w:szCs w:val="28"/>
          <w:u w:val="single"/>
        </w:rPr>
        <w:t>重庆医科大学附属第二医院都市方舟六楼加固维修工程</w:t>
      </w:r>
      <w:r>
        <w:rPr>
          <w:rFonts w:hint="eastAsia" w:ascii="宋体" w:hAnsi="宋体" w:cs="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报价书</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宋体" w:eastAsia="宋体" w:cs="宋体"/>
          <w:b/>
          <w:bCs/>
          <w:sz w:val="28"/>
          <w:szCs w:val="28"/>
          <w:u w:val="single"/>
        </w:rPr>
        <w:t>重庆医科大学附属第二医院都市方舟六楼加固维修工程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竞争性谈判文件的全部内容。我们已完全理解了竞争性谈判文件规定的合同范围、要求，并考虑到了潜在所有风险。结合本项目特点及我方实际情况，本项目总价为</w:t>
      </w:r>
      <w:r>
        <w:rPr>
          <w:rFonts w:hint="eastAsia" w:ascii="宋体" w:eastAsia="宋体" w:cs="宋体"/>
          <w:sz w:val="28"/>
          <w:szCs w:val="28"/>
          <w:u w:val="single"/>
        </w:rPr>
        <w:t xml:space="preserve">         </w:t>
      </w:r>
      <w:r>
        <w:rPr>
          <w:rFonts w:hint="eastAsia" w:ascii="宋体" w:eastAsia="宋体" w:cs="宋体"/>
          <w:sz w:val="28"/>
          <w:szCs w:val="28"/>
        </w:rPr>
        <w:t>元整，工期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rPr>
          <w:rFonts w:ascii="宋体" w:eastAsia="宋体" w:cs="宋体"/>
        </w:rPr>
      </w:pPr>
    </w:p>
    <w:p>
      <w:pPr>
        <w:pStyle w:val="51"/>
        <w:spacing w:before="120" w:after="12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28"/>
          <w:szCs w:val="28"/>
        </w:rPr>
      </w:pPr>
      <w:r>
        <w:rPr>
          <w:rFonts w:hint="eastAsia" w:ascii="宋体" w:hAnsi="宋体" w:cs="宋体"/>
          <w:b/>
          <w:sz w:val="28"/>
          <w:szCs w:val="28"/>
        </w:rPr>
        <w:t>本工程设计人员一览表</w:t>
      </w:r>
    </w:p>
    <w:p>
      <w:pPr>
        <w:spacing w:line="460" w:lineRule="exact"/>
        <w:ind w:firstLine="482"/>
        <w:jc w:val="center"/>
        <w:rPr>
          <w:rFonts w:ascii="宋体" w:hAnsi="宋体" w:cs="宋体"/>
          <w:sz w:val="28"/>
          <w:szCs w:val="28"/>
        </w:rPr>
      </w:pPr>
    </w:p>
    <w:tbl>
      <w:tblPr>
        <w:tblStyle w:val="25"/>
        <w:tblW w:w="106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top w:val="single" w:color="auto" w:sz="12" w:space="0"/>
            </w:tcBorders>
            <w:vAlign w:val="center"/>
          </w:tcPr>
          <w:p>
            <w:pPr>
              <w:spacing w:line="460" w:lineRule="exact"/>
              <w:ind w:firstLine="482"/>
              <w:rPr>
                <w:rFonts w:ascii="宋体" w:hAnsi="宋体" w:cs="宋体"/>
                <w:sz w:val="28"/>
                <w:szCs w:val="28"/>
              </w:rPr>
            </w:pPr>
            <w:r>
              <w:rPr>
                <w:rFonts w:hint="eastAsia" w:ascii="宋体" w:hAnsi="宋体" w:cs="宋体"/>
                <w:sz w:val="28"/>
                <w:szCs w:val="28"/>
              </w:rPr>
              <w:t>岗位</w:t>
            </w:r>
          </w:p>
        </w:tc>
        <w:tc>
          <w:tcPr>
            <w:tcW w:w="1440" w:type="dxa"/>
            <w:tcBorders>
              <w:top w:val="single" w:color="auto" w:sz="12" w:space="0"/>
            </w:tcBorders>
            <w:vAlign w:val="center"/>
          </w:tcPr>
          <w:p>
            <w:pPr>
              <w:spacing w:line="460" w:lineRule="exact"/>
              <w:ind w:firstLine="482"/>
              <w:rPr>
                <w:rFonts w:ascii="宋体" w:hAnsi="宋体" w:cs="宋体"/>
                <w:sz w:val="28"/>
                <w:szCs w:val="28"/>
              </w:rPr>
            </w:pPr>
            <w:r>
              <w:rPr>
                <w:rFonts w:hint="eastAsia" w:ascii="宋体" w:hAnsi="宋体" w:cs="宋体"/>
                <w:sz w:val="28"/>
                <w:szCs w:val="28"/>
              </w:rPr>
              <w:t>姓名</w:t>
            </w:r>
          </w:p>
        </w:tc>
        <w:tc>
          <w:tcPr>
            <w:tcW w:w="900" w:type="dxa"/>
            <w:tcBorders>
              <w:top w:val="single" w:color="auto" w:sz="12" w:space="0"/>
            </w:tcBorders>
            <w:vAlign w:val="center"/>
          </w:tcPr>
          <w:p>
            <w:pPr>
              <w:spacing w:line="460" w:lineRule="exact"/>
              <w:ind w:hanging="18"/>
              <w:jc w:val="center"/>
              <w:rPr>
                <w:rFonts w:ascii="宋体" w:hAnsi="宋体" w:cs="宋体"/>
                <w:sz w:val="28"/>
                <w:szCs w:val="28"/>
              </w:rPr>
            </w:pPr>
            <w:r>
              <w:rPr>
                <w:rFonts w:hint="eastAsia" w:ascii="宋体" w:hAnsi="宋体" w:cs="宋体"/>
                <w:sz w:val="28"/>
                <w:szCs w:val="28"/>
              </w:rPr>
              <w:t>性别</w:t>
            </w:r>
          </w:p>
        </w:tc>
        <w:tc>
          <w:tcPr>
            <w:tcW w:w="1080" w:type="dxa"/>
            <w:tcBorders>
              <w:top w:val="single" w:color="auto" w:sz="12" w:space="0"/>
            </w:tcBorders>
            <w:vAlign w:val="center"/>
          </w:tcPr>
          <w:p>
            <w:pPr>
              <w:spacing w:line="460" w:lineRule="exact"/>
              <w:ind w:firstLine="30"/>
              <w:jc w:val="center"/>
              <w:rPr>
                <w:rFonts w:ascii="宋体" w:hAnsi="宋体" w:cs="宋体"/>
                <w:sz w:val="28"/>
                <w:szCs w:val="28"/>
              </w:rPr>
            </w:pPr>
            <w:r>
              <w:rPr>
                <w:rFonts w:hint="eastAsia" w:ascii="宋体" w:hAnsi="宋体" w:cs="宋体"/>
                <w:sz w:val="28"/>
                <w:szCs w:val="28"/>
              </w:rPr>
              <w:t>年龄</w:t>
            </w:r>
          </w:p>
        </w:tc>
        <w:tc>
          <w:tcPr>
            <w:tcW w:w="929"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职称</w:t>
            </w:r>
          </w:p>
        </w:tc>
        <w:tc>
          <w:tcPr>
            <w:tcW w:w="929"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职务</w:t>
            </w:r>
          </w:p>
        </w:tc>
        <w:tc>
          <w:tcPr>
            <w:tcW w:w="959"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学历</w:t>
            </w:r>
          </w:p>
        </w:tc>
        <w:tc>
          <w:tcPr>
            <w:tcW w:w="1522"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专业</w:t>
            </w:r>
          </w:p>
        </w:tc>
        <w:tc>
          <w:tcPr>
            <w:tcW w:w="1427" w:type="dxa"/>
            <w:tcBorders>
              <w:top w:val="single" w:color="auto" w:sz="12" w:space="0"/>
            </w:tcBorders>
            <w:vAlign w:val="center"/>
          </w:tcPr>
          <w:p>
            <w:pPr>
              <w:spacing w:line="460" w:lineRule="exact"/>
              <w:jc w:val="center"/>
              <w:rPr>
                <w:rFonts w:ascii="宋体" w:hAnsi="宋体" w:cs="宋体"/>
                <w:sz w:val="28"/>
                <w:szCs w:val="28"/>
              </w:rPr>
            </w:pPr>
            <w:r>
              <w:rPr>
                <w:rFonts w:hint="eastAsia" w:ascii="宋体" w:hAnsi="宋体" w:cs="宋体"/>
                <w:sz w:val="28"/>
                <w:szCs w:val="28"/>
              </w:rPr>
              <w:t>造价资格证编号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10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宋体" w:hAnsi="宋体" w:cs="宋体"/>
                <w:sz w:val="28"/>
                <w:szCs w:val="28"/>
              </w:rPr>
            </w:pPr>
          </w:p>
        </w:tc>
        <w:tc>
          <w:tcPr>
            <w:tcW w:w="1440" w:type="dxa"/>
          </w:tcPr>
          <w:p>
            <w:pPr>
              <w:spacing w:line="460" w:lineRule="exact"/>
              <w:ind w:firstLine="482"/>
              <w:rPr>
                <w:rFonts w:ascii="宋体" w:hAnsi="宋体" w:cs="宋体"/>
                <w:sz w:val="28"/>
                <w:szCs w:val="28"/>
              </w:rPr>
            </w:pPr>
          </w:p>
        </w:tc>
        <w:tc>
          <w:tcPr>
            <w:tcW w:w="900" w:type="dxa"/>
          </w:tcPr>
          <w:p>
            <w:pPr>
              <w:spacing w:line="460" w:lineRule="exact"/>
              <w:ind w:firstLine="482"/>
              <w:rPr>
                <w:rFonts w:ascii="宋体" w:hAnsi="宋体" w:cs="宋体"/>
                <w:sz w:val="28"/>
                <w:szCs w:val="28"/>
              </w:rPr>
            </w:pPr>
          </w:p>
        </w:tc>
        <w:tc>
          <w:tcPr>
            <w:tcW w:w="1080"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29" w:type="dxa"/>
          </w:tcPr>
          <w:p>
            <w:pPr>
              <w:spacing w:line="460" w:lineRule="exact"/>
              <w:ind w:firstLine="482"/>
              <w:rPr>
                <w:rFonts w:ascii="宋体" w:hAnsi="宋体" w:cs="宋体"/>
                <w:sz w:val="28"/>
                <w:szCs w:val="28"/>
              </w:rPr>
            </w:pPr>
          </w:p>
        </w:tc>
        <w:tc>
          <w:tcPr>
            <w:tcW w:w="959" w:type="dxa"/>
          </w:tcPr>
          <w:p>
            <w:pPr>
              <w:spacing w:line="460" w:lineRule="exact"/>
              <w:ind w:firstLine="482"/>
              <w:rPr>
                <w:rFonts w:ascii="宋体" w:hAnsi="宋体" w:cs="宋体"/>
                <w:sz w:val="28"/>
                <w:szCs w:val="28"/>
              </w:rPr>
            </w:pPr>
          </w:p>
        </w:tc>
        <w:tc>
          <w:tcPr>
            <w:tcW w:w="1522" w:type="dxa"/>
          </w:tcPr>
          <w:p>
            <w:pPr>
              <w:spacing w:line="460" w:lineRule="exact"/>
              <w:ind w:firstLine="482"/>
              <w:rPr>
                <w:rFonts w:ascii="宋体" w:hAnsi="宋体" w:cs="宋体"/>
                <w:sz w:val="28"/>
                <w:szCs w:val="28"/>
              </w:rPr>
            </w:pPr>
          </w:p>
        </w:tc>
        <w:tc>
          <w:tcPr>
            <w:tcW w:w="1427"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bottom w:val="single" w:color="auto" w:sz="12" w:space="0"/>
            </w:tcBorders>
          </w:tcPr>
          <w:p>
            <w:pPr>
              <w:spacing w:line="460" w:lineRule="exact"/>
              <w:ind w:firstLine="482"/>
              <w:rPr>
                <w:rFonts w:ascii="宋体" w:hAnsi="宋体" w:cs="宋体"/>
                <w:sz w:val="28"/>
                <w:szCs w:val="28"/>
              </w:rPr>
            </w:pPr>
          </w:p>
        </w:tc>
        <w:tc>
          <w:tcPr>
            <w:tcW w:w="1440" w:type="dxa"/>
            <w:tcBorders>
              <w:bottom w:val="single" w:color="auto" w:sz="12" w:space="0"/>
            </w:tcBorders>
          </w:tcPr>
          <w:p>
            <w:pPr>
              <w:spacing w:line="460" w:lineRule="exact"/>
              <w:ind w:firstLine="482"/>
              <w:rPr>
                <w:rFonts w:ascii="宋体" w:hAnsi="宋体" w:cs="宋体"/>
                <w:sz w:val="28"/>
                <w:szCs w:val="28"/>
              </w:rPr>
            </w:pPr>
          </w:p>
        </w:tc>
        <w:tc>
          <w:tcPr>
            <w:tcW w:w="900" w:type="dxa"/>
            <w:tcBorders>
              <w:bottom w:val="single" w:color="auto" w:sz="12" w:space="0"/>
            </w:tcBorders>
          </w:tcPr>
          <w:p>
            <w:pPr>
              <w:spacing w:line="460" w:lineRule="exact"/>
              <w:ind w:firstLine="482"/>
              <w:rPr>
                <w:rFonts w:ascii="宋体" w:hAnsi="宋体" w:cs="宋体"/>
                <w:sz w:val="28"/>
                <w:szCs w:val="28"/>
              </w:rPr>
            </w:pPr>
          </w:p>
        </w:tc>
        <w:tc>
          <w:tcPr>
            <w:tcW w:w="1080" w:type="dxa"/>
            <w:tcBorders>
              <w:bottom w:val="single" w:color="auto" w:sz="12" w:space="0"/>
            </w:tcBorders>
          </w:tcPr>
          <w:p>
            <w:pPr>
              <w:spacing w:line="460" w:lineRule="exact"/>
              <w:ind w:firstLine="482"/>
              <w:rPr>
                <w:rFonts w:ascii="宋体" w:hAnsi="宋体" w:cs="宋体"/>
                <w:sz w:val="28"/>
                <w:szCs w:val="28"/>
              </w:rPr>
            </w:pPr>
          </w:p>
        </w:tc>
        <w:tc>
          <w:tcPr>
            <w:tcW w:w="929" w:type="dxa"/>
            <w:tcBorders>
              <w:bottom w:val="single" w:color="auto" w:sz="12" w:space="0"/>
            </w:tcBorders>
          </w:tcPr>
          <w:p>
            <w:pPr>
              <w:spacing w:line="460" w:lineRule="exact"/>
              <w:ind w:firstLine="482"/>
              <w:rPr>
                <w:rFonts w:ascii="宋体" w:hAnsi="宋体" w:cs="宋体"/>
                <w:sz w:val="28"/>
                <w:szCs w:val="28"/>
              </w:rPr>
            </w:pPr>
          </w:p>
        </w:tc>
        <w:tc>
          <w:tcPr>
            <w:tcW w:w="929" w:type="dxa"/>
            <w:tcBorders>
              <w:bottom w:val="single" w:color="auto" w:sz="12" w:space="0"/>
            </w:tcBorders>
          </w:tcPr>
          <w:p>
            <w:pPr>
              <w:spacing w:line="460" w:lineRule="exact"/>
              <w:ind w:firstLine="482"/>
              <w:rPr>
                <w:rFonts w:ascii="宋体" w:hAnsi="宋体" w:cs="宋体"/>
                <w:sz w:val="28"/>
                <w:szCs w:val="28"/>
              </w:rPr>
            </w:pPr>
          </w:p>
        </w:tc>
        <w:tc>
          <w:tcPr>
            <w:tcW w:w="959" w:type="dxa"/>
            <w:tcBorders>
              <w:bottom w:val="single" w:color="auto" w:sz="12" w:space="0"/>
            </w:tcBorders>
          </w:tcPr>
          <w:p>
            <w:pPr>
              <w:spacing w:line="460" w:lineRule="exact"/>
              <w:ind w:firstLine="482"/>
              <w:rPr>
                <w:rFonts w:ascii="宋体" w:hAnsi="宋体" w:cs="宋体"/>
                <w:sz w:val="28"/>
                <w:szCs w:val="28"/>
              </w:rPr>
            </w:pPr>
          </w:p>
        </w:tc>
        <w:tc>
          <w:tcPr>
            <w:tcW w:w="1522" w:type="dxa"/>
            <w:tcBorders>
              <w:bottom w:val="single" w:color="auto" w:sz="12" w:space="0"/>
            </w:tcBorders>
          </w:tcPr>
          <w:p>
            <w:pPr>
              <w:spacing w:line="460" w:lineRule="exact"/>
              <w:ind w:firstLine="482"/>
              <w:rPr>
                <w:rFonts w:ascii="宋体" w:hAnsi="宋体" w:cs="宋体"/>
                <w:sz w:val="28"/>
                <w:szCs w:val="28"/>
              </w:rPr>
            </w:pPr>
          </w:p>
        </w:tc>
        <w:tc>
          <w:tcPr>
            <w:tcW w:w="1427" w:type="dxa"/>
            <w:tcBorders>
              <w:bottom w:val="single" w:color="auto" w:sz="12" w:space="0"/>
            </w:tcBorders>
          </w:tcPr>
          <w:p>
            <w:pPr>
              <w:spacing w:line="460" w:lineRule="exact"/>
              <w:ind w:firstLine="482"/>
              <w:rPr>
                <w:rFonts w:ascii="宋体" w:hAnsi="宋体" w:cs="宋体"/>
                <w:sz w:val="28"/>
                <w:szCs w:val="28"/>
              </w:rPr>
            </w:pPr>
          </w:p>
        </w:tc>
      </w:tr>
    </w:tbl>
    <w:p>
      <w:pPr>
        <w:spacing w:line="460" w:lineRule="exact"/>
        <w:ind w:firstLine="1960" w:firstLineChars="700"/>
        <w:rPr>
          <w:rFonts w:ascii="宋体" w:hAnsi="宋体" w:cs="宋体"/>
          <w:sz w:val="28"/>
          <w:szCs w:val="28"/>
        </w:rPr>
      </w:pPr>
      <w:r>
        <w:rPr>
          <w:rFonts w:hint="eastAsia" w:ascii="宋体" w:hAnsi="宋体" w:cs="宋体"/>
          <w:sz w:val="28"/>
          <w:szCs w:val="28"/>
        </w:rPr>
        <w:t>用于该工程的咨询人员未经甲方批准不得擅自更换，否则按合同相关条款承担违约责任。</w:t>
      </w:r>
      <w:bookmarkEnd w:id="0"/>
      <w:bookmarkEnd w:id="1"/>
    </w:p>
    <w:p>
      <w:pPr>
        <w:spacing w:line="460" w:lineRule="exact"/>
        <w:ind w:firstLine="1481" w:firstLineChars="529"/>
        <w:rPr>
          <w:rFonts w:ascii="宋体" w:hAnsi="宋体" w:cs="宋体"/>
          <w:sz w:val="28"/>
          <w:szCs w:val="28"/>
        </w:rPr>
      </w:pPr>
    </w:p>
    <w:sectPr>
      <w:headerReference r:id="rId10" w:type="default"/>
      <w:footerReference r:id="rId11" w:type="default"/>
      <w:type w:val="continuous"/>
      <w:pgSz w:w="16840" w:h="11907" w:orient="landscape"/>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Arial">
    <w:altName w:val="Microsoft Sans Serif"/>
    <w:panose1 w:val="020B0604020202020204"/>
    <w:charset w:val="00"/>
    <w:family w:val="swiss"/>
    <w:pitch w:val="default"/>
    <w:sig w:usb0="00000000" w:usb1="00000000" w:usb2="00000009" w:usb3="00000000" w:csb0="000001FF" w:csb1="00000000"/>
  </w:font>
  <w:font w:name="Plotter">
    <w:altName w:val="AMGDT"/>
    <w:panose1 w:val="00000000000000000000"/>
    <w:charset w:val="00"/>
    <w:family w:val="modern"/>
    <w:pitch w:val="default"/>
    <w:sig w:usb0="00000000" w:usb1="00000000" w:usb2="00000000" w:usb3="00000000" w:csb0="00000001" w:csb1="00000000"/>
  </w:font>
  <w:font w:name="Courier New">
    <w:altName w:val="RomanS"/>
    <w:panose1 w:val="02070309020205020404"/>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AmdtSymbols">
    <w:panose1 w:val="02000500000000020004"/>
    <w:charset w:val="00"/>
    <w:family w:val="auto"/>
    <w:pitch w:val="default"/>
    <w:sig w:usb0="00000001"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6</w:t>
    </w:r>
    <w:r>
      <w:rPr>
        <w:rStyle w:val="2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0E9A"/>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042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0FDD"/>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55D103B"/>
    <w:rsid w:val="06FC6A73"/>
    <w:rsid w:val="08F0374D"/>
    <w:rsid w:val="0E314D10"/>
    <w:rsid w:val="0F534D9D"/>
    <w:rsid w:val="0F85331E"/>
    <w:rsid w:val="121F72FD"/>
    <w:rsid w:val="12634830"/>
    <w:rsid w:val="17EB6EA6"/>
    <w:rsid w:val="1A250C83"/>
    <w:rsid w:val="1B863DDE"/>
    <w:rsid w:val="1BEA5F64"/>
    <w:rsid w:val="1D8E2B76"/>
    <w:rsid w:val="1ED87B53"/>
    <w:rsid w:val="21A849C5"/>
    <w:rsid w:val="2381650F"/>
    <w:rsid w:val="249F3703"/>
    <w:rsid w:val="2789638B"/>
    <w:rsid w:val="27BF1592"/>
    <w:rsid w:val="2C392EE4"/>
    <w:rsid w:val="2DA7411D"/>
    <w:rsid w:val="2EF760B4"/>
    <w:rsid w:val="311A6F11"/>
    <w:rsid w:val="33485455"/>
    <w:rsid w:val="33504CBC"/>
    <w:rsid w:val="365A6138"/>
    <w:rsid w:val="385D1102"/>
    <w:rsid w:val="3B8E5B0E"/>
    <w:rsid w:val="3BDE6F50"/>
    <w:rsid w:val="3CF35007"/>
    <w:rsid w:val="423C178E"/>
    <w:rsid w:val="42D919BF"/>
    <w:rsid w:val="437C2D5F"/>
    <w:rsid w:val="48EE37AD"/>
    <w:rsid w:val="4BA81188"/>
    <w:rsid w:val="4DBF4FB5"/>
    <w:rsid w:val="54B515DA"/>
    <w:rsid w:val="5A192469"/>
    <w:rsid w:val="5D190ED5"/>
    <w:rsid w:val="5F7A5A4D"/>
    <w:rsid w:val="60476764"/>
    <w:rsid w:val="610C41C4"/>
    <w:rsid w:val="618E1553"/>
    <w:rsid w:val="61A85A2C"/>
    <w:rsid w:val="62F85505"/>
    <w:rsid w:val="6376431C"/>
    <w:rsid w:val="6421777C"/>
    <w:rsid w:val="65AE51E3"/>
    <w:rsid w:val="666D1DB9"/>
    <w:rsid w:val="66A34CD4"/>
    <w:rsid w:val="68EF1791"/>
    <w:rsid w:val="6A124C1D"/>
    <w:rsid w:val="6A71198E"/>
    <w:rsid w:val="70D26AD3"/>
    <w:rsid w:val="71B6484B"/>
    <w:rsid w:val="72A307E6"/>
    <w:rsid w:val="72A763A4"/>
    <w:rsid w:val="74555AD9"/>
    <w:rsid w:val="76356E8E"/>
    <w:rsid w:val="77245CB7"/>
    <w:rsid w:val="7A6D2A63"/>
    <w:rsid w:val="7B0A364A"/>
    <w:rsid w:val="7D132CDD"/>
    <w:rsid w:val="7E6E4DFA"/>
    <w:rsid w:val="7F5015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uiPriority w:val="99"/>
    <w:pPr>
      <w:spacing w:after="120"/>
    </w:pPr>
    <w:rPr>
      <w:sz w:val="16"/>
      <w:szCs w:val="16"/>
    </w:rPr>
  </w:style>
  <w:style w:type="paragraph" w:styleId="10">
    <w:name w:val="Body Text"/>
    <w:basedOn w:val="1"/>
    <w:link w:val="34"/>
    <w:uiPriority w:val="99"/>
    <w:pPr>
      <w:spacing w:after="120"/>
    </w:pPr>
  </w:style>
  <w:style w:type="paragraph" w:styleId="11">
    <w:name w:val="toc 3"/>
    <w:basedOn w:val="1"/>
    <w:next w:val="1"/>
    <w:semiHidden/>
    <w:uiPriority w:val="99"/>
    <w:pPr>
      <w:ind w:left="480"/>
      <w:jc w:val="left"/>
    </w:pPr>
    <w:rPr>
      <w:rFonts w:eastAsia="仿宋_GB2312"/>
      <w:i/>
      <w:sz w:val="24"/>
      <w:szCs w:val="20"/>
    </w:rPr>
  </w:style>
  <w:style w:type="paragraph" w:styleId="12">
    <w:name w:val="Plain Text"/>
    <w:basedOn w:val="1"/>
    <w:link w:val="35"/>
    <w:uiPriority w:val="99"/>
    <w:pPr>
      <w:shd w:val="solid" w:color="FFFFFF" w:fill="FFFFFF"/>
      <w:jc w:val="center"/>
    </w:pPr>
    <w:rPr>
      <w:rFonts w:ascii="宋体" w:hAnsi="宋体"/>
      <w:kern w:val="0"/>
      <w:sz w:val="84"/>
      <w:szCs w:val="72"/>
    </w:rPr>
  </w:style>
  <w:style w:type="paragraph" w:styleId="13">
    <w:name w:val="Date"/>
    <w:basedOn w:val="1"/>
    <w:next w:val="1"/>
    <w:link w:val="36"/>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uiPriority w:val="99"/>
    <w:rPr>
      <w:rFonts w:cs="Times New Roman"/>
    </w:rPr>
  </w:style>
  <w:style w:type="character" w:styleId="24">
    <w:name w:val="Hyperlink"/>
    <w:basedOn w:val="22"/>
    <w:qFormat/>
    <w:uiPriority w:val="99"/>
    <w:rPr>
      <w:rFonts w:cs="Times New Roman"/>
      <w:color w:val="0000FF"/>
      <w:u w:val="single"/>
    </w:rPr>
  </w:style>
  <w:style w:type="table" w:styleId="26">
    <w:name w:val="Table Grid"/>
    <w:basedOn w:val="25"/>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2"/>
    <w:uiPriority w:val="9"/>
    <w:rPr>
      <w:b/>
      <w:bCs/>
      <w:kern w:val="44"/>
      <w:sz w:val="44"/>
      <w:szCs w:val="44"/>
    </w:rPr>
  </w:style>
  <w:style w:type="character" w:customStyle="1" w:styleId="28">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2"/>
    <w:link w:val="4"/>
    <w:semiHidden/>
    <w:uiPriority w:val="9"/>
    <w:rPr>
      <w:b/>
      <w:bCs/>
      <w:sz w:val="32"/>
      <w:szCs w:val="32"/>
    </w:rPr>
  </w:style>
  <w:style w:type="character" w:customStyle="1" w:styleId="30">
    <w:name w:val="标题 4 Char"/>
    <w:basedOn w:val="22"/>
    <w:link w:val="5"/>
    <w:semiHidden/>
    <w:uiPriority w:val="9"/>
    <w:rPr>
      <w:rFonts w:ascii="Cambria" w:hAnsi="Cambria" w:eastAsia="宋体" w:cs="Times New Roman"/>
      <w:b/>
      <w:bCs/>
      <w:sz w:val="28"/>
      <w:szCs w:val="28"/>
    </w:rPr>
  </w:style>
  <w:style w:type="character" w:customStyle="1" w:styleId="31">
    <w:name w:val="文档结构图 Char"/>
    <w:basedOn w:val="22"/>
    <w:link w:val="7"/>
    <w:semiHidden/>
    <w:qFormat/>
    <w:uiPriority w:val="99"/>
    <w:rPr>
      <w:sz w:val="0"/>
      <w:szCs w:val="0"/>
    </w:rPr>
  </w:style>
  <w:style w:type="character" w:customStyle="1" w:styleId="32">
    <w:name w:val="称呼 Char"/>
    <w:basedOn w:val="22"/>
    <w:link w:val="8"/>
    <w:semiHidden/>
    <w:qFormat/>
    <w:uiPriority w:val="99"/>
    <w:rPr>
      <w:szCs w:val="24"/>
    </w:rPr>
  </w:style>
  <w:style w:type="character" w:customStyle="1" w:styleId="33">
    <w:name w:val="正文文本 3 Char"/>
    <w:basedOn w:val="22"/>
    <w:link w:val="9"/>
    <w:semiHidden/>
    <w:qFormat/>
    <w:uiPriority w:val="99"/>
    <w:rPr>
      <w:sz w:val="16"/>
      <w:szCs w:val="16"/>
    </w:rPr>
  </w:style>
  <w:style w:type="character" w:customStyle="1" w:styleId="34">
    <w:name w:val="正文文本 Char"/>
    <w:basedOn w:val="22"/>
    <w:link w:val="10"/>
    <w:semiHidden/>
    <w:qFormat/>
    <w:uiPriority w:val="99"/>
    <w:rPr>
      <w:szCs w:val="24"/>
    </w:rPr>
  </w:style>
  <w:style w:type="character" w:customStyle="1" w:styleId="35">
    <w:name w:val="纯文本 Char"/>
    <w:basedOn w:val="22"/>
    <w:link w:val="12"/>
    <w:semiHidden/>
    <w:qFormat/>
    <w:uiPriority w:val="99"/>
    <w:rPr>
      <w:rFonts w:ascii="宋体" w:hAnsi="Courier New" w:cs="Courier New"/>
      <w:szCs w:val="21"/>
    </w:rPr>
  </w:style>
  <w:style w:type="character" w:customStyle="1" w:styleId="36">
    <w:name w:val="日期 Char"/>
    <w:basedOn w:val="22"/>
    <w:link w:val="13"/>
    <w:qFormat/>
    <w:locked/>
    <w:uiPriority w:val="99"/>
    <w:rPr>
      <w:rFonts w:eastAsia="宋体"/>
      <w:kern w:val="2"/>
      <w:sz w:val="24"/>
      <w:lang w:val="en-US" w:eastAsia="zh-CN"/>
    </w:rPr>
  </w:style>
  <w:style w:type="character" w:customStyle="1" w:styleId="37">
    <w:name w:val="正文文本缩进 2 Char"/>
    <w:basedOn w:val="22"/>
    <w:link w:val="14"/>
    <w:semiHidden/>
    <w:qFormat/>
    <w:uiPriority w:val="99"/>
    <w:rPr>
      <w:szCs w:val="24"/>
    </w:rPr>
  </w:style>
  <w:style w:type="character" w:customStyle="1" w:styleId="38">
    <w:name w:val="批注框文本 Char"/>
    <w:basedOn w:val="22"/>
    <w:link w:val="15"/>
    <w:semiHidden/>
    <w:uiPriority w:val="99"/>
    <w:rPr>
      <w:sz w:val="0"/>
      <w:szCs w:val="0"/>
    </w:rPr>
  </w:style>
  <w:style w:type="character" w:customStyle="1" w:styleId="39">
    <w:name w:val="页脚 Char"/>
    <w:basedOn w:val="22"/>
    <w:link w:val="16"/>
    <w:qFormat/>
    <w:locked/>
    <w:uiPriority w:val="99"/>
    <w:rPr>
      <w:rFonts w:eastAsia="宋体" w:cs="Times New Roman"/>
      <w:kern w:val="2"/>
      <w:sz w:val="18"/>
      <w:szCs w:val="18"/>
      <w:lang w:val="en-US" w:eastAsia="zh-CN" w:bidi="ar-SA"/>
    </w:rPr>
  </w:style>
  <w:style w:type="character" w:customStyle="1" w:styleId="40">
    <w:name w:val="页眉 Char"/>
    <w:basedOn w:val="22"/>
    <w:link w:val="17"/>
    <w:qFormat/>
    <w:locked/>
    <w:uiPriority w:val="99"/>
    <w:rPr>
      <w:rFonts w:eastAsia="宋体" w:cs="Times New Roman"/>
      <w:kern w:val="2"/>
      <w:sz w:val="18"/>
      <w:szCs w:val="18"/>
      <w:lang w:val="en-US" w:eastAsia="zh-CN" w:bidi="ar-SA"/>
    </w:rPr>
  </w:style>
  <w:style w:type="character" w:customStyle="1" w:styleId="41">
    <w:name w:val="HTML 预设格式 Char"/>
    <w:basedOn w:val="22"/>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2"/>
    <w:link w:val="45"/>
    <w:qFormat/>
    <w:locked/>
    <w:uiPriority w:val="99"/>
    <w:rPr>
      <w:rFonts w:ascii="楷体_GB2312" w:hAnsi="宋体" w:eastAsia="楷体_GB2312"/>
      <w:sz w:val="24"/>
      <w:lang w:val="en-US" w:eastAsia="zh-CN" w:bidi="ar-SA"/>
    </w:rPr>
  </w:style>
  <w:style w:type="paragraph" w:customStyle="1" w:styleId="45">
    <w:name w:val="5号正文"/>
    <w:link w:val="44"/>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2"/>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462</Words>
  <Characters>2638</Characters>
  <Lines>21</Lines>
  <Paragraphs>6</Paragraphs>
  <TotalTime>0</TotalTime>
  <ScaleCrop>false</ScaleCrop>
  <LinksUpToDate>false</LinksUpToDate>
  <CharactersWithSpaces>3094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2015-11-25T09:27:00Z</dcterms:created>
  <dc:creator>User</dc:creator>
  <cp:lastModifiedBy>Administrator</cp:lastModifiedBy>
  <cp:lastPrinted>2017-09-06T01:44:00Z</cp:lastPrinted>
  <dcterms:modified xsi:type="dcterms:W3CDTF">2017-10-17T02:02:56Z</dcterms:modified>
  <dc:title>重庆医科大学第二附属医院江南医院工程</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