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shd w:val="clear" w:color="auto" w:fill="auto"/>
        </w:rPr>
      </w:pPr>
    </w:p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u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shd w:val="clear" w:color="auto" w:fill="auto"/>
        </w:rPr>
        <w:t>重庆医科大学附属第二医院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u w:val="none"/>
          <w:shd w:val="clear" w:color="auto" w:fill="auto"/>
          <w:lang w:eastAsia="zh-CN"/>
        </w:rPr>
        <w:t>江南医院</w:t>
      </w:r>
    </w:p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8"/>
          <w:szCs w:val="48"/>
          <w:lang w:eastAsia="zh-CN"/>
        </w:rPr>
        <w:t>除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u w:val="none"/>
          <w:shd w:val="clear" w:color="auto" w:fill="auto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color w:val="auto"/>
          <w:sz w:val="48"/>
          <w:szCs w:val="48"/>
          <w:lang w:eastAsia="zh-CN"/>
        </w:rPr>
        <w:t>四害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u w:val="none"/>
          <w:shd w:val="clear" w:color="auto" w:fill="auto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预防及控制服务</w:t>
      </w:r>
    </w:p>
    <w:p>
      <w:pPr>
        <w:rPr>
          <w:b/>
          <w:bCs w:val="0"/>
          <w:sz w:val="36"/>
          <w:szCs w:val="36"/>
        </w:rPr>
      </w:pPr>
    </w:p>
    <w:p/>
    <w:p/>
    <w:p/>
    <w:p/>
    <w:p/>
    <w:p/>
    <w:p/>
    <w:p/>
    <w:p/>
    <w:p/>
    <w:p>
      <w:pPr>
        <w:widowControl/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8"/>
          <w:szCs w:val="48"/>
          <w:shd w:val="clear" w:fill="FFFFFF"/>
          <w:lang w:val="en-US" w:eastAsia="zh-CN" w:bidi="ar"/>
        </w:rPr>
        <w:t>竞争型谈判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48"/>
          <w:szCs w:val="48"/>
          <w:shd w:val="clear" w:color="auto" w:fill="auto"/>
          <w:lang w:eastAsia="zh-CN"/>
        </w:rPr>
        <w:t>文件</w:t>
      </w:r>
    </w:p>
    <w:p/>
    <w:p/>
    <w:p/>
    <w:p/>
    <w:p/>
    <w:p/>
    <w:p/>
    <w:p/>
    <w:p/>
    <w:p/>
    <w:p/>
    <w:p/>
    <w:p/>
    <w:p/>
    <w:p/>
    <w:p/>
    <w:p/>
    <w:p>
      <w:pPr>
        <w:adjustRightInd w:val="0"/>
        <w:spacing w:line="560" w:lineRule="atLeast"/>
        <w:jc w:val="center"/>
        <w:rPr>
          <w:rFonts w:hint="eastAsia" w:ascii="宋体" w:hAnsi="宋体" w:eastAsia="宋体" w:cs="宋体"/>
          <w:b/>
          <w:bCs/>
          <w:snapToGrid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napToGrid w:val="0"/>
          <w:sz w:val="36"/>
          <w:szCs w:val="36"/>
        </w:rPr>
        <w:t>重庆医科大学附属第二医院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二0一八年七月六日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44"/>
        <w:gridCol w:w="6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项号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44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重庆医科大学附属第二医院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江南医院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除“四害”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预防及控制服务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68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重庆医科大学附属第二医院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江南医院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（重庆市南岸区天文大道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288号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范围及内容</w:t>
            </w:r>
          </w:p>
        </w:tc>
        <w:tc>
          <w:tcPr>
            <w:tcW w:w="684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江南医院院区所辖范围进行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杀除“四害”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预防及控制服务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达到效果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能通过各上级主管部门检查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健康服务环境提升内容及评定达到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A级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标准</w:t>
            </w:r>
          </w:p>
          <w:p>
            <w:pPr>
              <w:pStyle w:val="8"/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A级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标准参考：</w:t>
            </w:r>
          </w:p>
          <w:p>
            <w:pPr>
              <w:pStyle w:val="8"/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附件二：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《重庆市除四害管理规定》</w:t>
            </w:r>
          </w:p>
          <w:p>
            <w:pPr>
              <w:pStyle w:val="8"/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附件三：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渝爱卫办（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8号文件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关于开展全市医疗卫生机构健康服务环境提升行动的通知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竞谈目标</w:t>
            </w:r>
          </w:p>
        </w:tc>
        <w:tc>
          <w:tcPr>
            <w:tcW w:w="684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据《重庆市除四害管理规定》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渝爱卫办（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8号文件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关于开展全市医疗卫生机构健康服务环境提升行动的通知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》的要求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，进行除“四害”预防及控制服务。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达到效果</w:t>
            </w:r>
          </w:p>
        </w:tc>
        <w:tc>
          <w:tcPr>
            <w:tcW w:w="6849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进场时对物业人员进行培训一次，平时保持与物业人员良好的沟通。乙方保持24小时电话畅通，在接到甲方提出服务需求2小时内须作出反应，积极有效帮助甲方解决问题，乙方对甲方提出的相关问题尽力解答。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灭鼠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治理期间：室内鼠迹阳性房间数不超过1间，防鼠设施不合格房间不超过2间；外环境无鼠洞、鼠粪等鼠迹；灭鼠毒饵站设置规范，室内外均不能看到活鼠和鼠药散投。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灭蚊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治理期间：室内外无蚊幼或蛹孳生的各类积水容器（或坑洼积水）或水体，病房安装有纱窗或备有驱蚊用品等防蚊设施，无病人反映成蚊叮咬情况。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灭蝇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治理期间：直接入口食品加工销售处不能发现成蝇；其余室内有蝇房间数不超过1间，阳性间蝇密度指数不超过3只/间，防蝇设施全部合格，室内外无蝇类孳生地。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灭蟑螂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治理期间：室内蟑螂成若虫及卵鞘侵害房间数不超过1间，蟑迹查获房间数不超过2间，病房无病人反映蟑螂侵害。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其他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治理期间：除“四害”以外，出现其它害虫时，危害面积小由乙方免费处理，如果范围大，危害严重，乙方承诺优惠收费。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评定方式</w:t>
            </w:r>
          </w:p>
        </w:tc>
        <w:tc>
          <w:tcPr>
            <w:tcW w:w="6849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根据参与单位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（公司资质、业绩、人员配置、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同类项目案例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项目实施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方案等各方面进行综合评定。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支付方式</w:t>
            </w:r>
          </w:p>
        </w:tc>
        <w:tc>
          <w:tcPr>
            <w:tcW w:w="68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按季度考核合格为付费结算依据，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支付防治费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竞谈人条件</w:t>
            </w:r>
          </w:p>
        </w:tc>
        <w:tc>
          <w:tcPr>
            <w:tcW w:w="6849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具有独立法人资格、持有工商行政管理部门核发的法人营业执照（需有效期内）、拥有消杀资质、能力的单位参加竞谈。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竞争性谈判</w:t>
            </w:r>
          </w:p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文件组成</w:t>
            </w:r>
          </w:p>
        </w:tc>
        <w:tc>
          <w:tcPr>
            <w:tcW w:w="6849" w:type="dxa"/>
            <w:vAlign w:val="center"/>
          </w:tcPr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1、法定代表人证明书原件（加盖公章）；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2、法人授权委托证明书原件（加盖公章）；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3、法定代表人身份证复印件（加盖公章）；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4、被授权人身份证复印件（加盖公章、原件备查）；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5、《营业执照》复印件（加盖公章、原件备查）；</w:t>
            </w:r>
          </w:p>
          <w:p>
            <w:pPr>
              <w:spacing w:line="24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6、《组织机构代码证》复印件（加盖公章、原件备查）；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文件密封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谈判文件装入袋中密封并在袋上加盖单位公章。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报名截止时间</w:t>
            </w:r>
          </w:p>
        </w:tc>
        <w:tc>
          <w:tcPr>
            <w:tcW w:w="68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日下午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:00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谈判及资料递交时间、地点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谈判时间：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另行通知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谈判地点：重庆医科大学附属第二医院综合楼17-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领取文件地点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重庆医科大学附属第二医院综合楼16-1房管科办公室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55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44" w:type="dxa"/>
            <w:vAlign w:val="center"/>
          </w:tcPr>
          <w:p>
            <w:pPr>
              <w:pStyle w:val="8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联系人及方式</w:t>
            </w:r>
          </w:p>
        </w:tc>
        <w:tc>
          <w:tcPr>
            <w:tcW w:w="6849" w:type="dxa"/>
            <w:vAlign w:val="center"/>
          </w:tcPr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联系地址：重庆医科大学附属第二医院综合楼16-1房管科办</w:t>
            </w:r>
          </w:p>
          <w:p>
            <w:pPr>
              <w:pStyle w:val="8"/>
              <w:spacing w:line="240" w:lineRule="auto"/>
              <w:ind w:firstLine="1332" w:firstLineChars="55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公室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 系 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老师 </w:t>
            </w:r>
          </w:p>
          <w:p>
            <w:pPr>
              <w:pStyle w:val="8"/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联系电话：023-63693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020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023-63693619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CB8B7"/>
    <w:multiLevelType w:val="singleLevel"/>
    <w:tmpl w:val="931CB8B7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F5B0AA72"/>
    <w:multiLevelType w:val="singleLevel"/>
    <w:tmpl w:val="F5B0AA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E601F"/>
    <w:rsid w:val="0CDE601F"/>
    <w:rsid w:val="12E64D5E"/>
    <w:rsid w:val="18286E92"/>
    <w:rsid w:val="21F76FC2"/>
    <w:rsid w:val="22C80A8A"/>
    <w:rsid w:val="271555DB"/>
    <w:rsid w:val="28EC20A6"/>
    <w:rsid w:val="2EB13DE1"/>
    <w:rsid w:val="2F17224E"/>
    <w:rsid w:val="3323272A"/>
    <w:rsid w:val="3F852113"/>
    <w:rsid w:val="4E0D697C"/>
    <w:rsid w:val="642D067D"/>
    <w:rsid w:val="67914D6A"/>
    <w:rsid w:val="68D13CCC"/>
    <w:rsid w:val="6CC315B7"/>
    <w:rsid w:val="6D535020"/>
    <w:rsid w:val="74110659"/>
    <w:rsid w:val="749807FC"/>
    <w:rsid w:val="7E3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rPr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8">
    <w:name w:val="标准正文"/>
    <w:basedOn w:val="1"/>
    <w:qFormat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2018-07-05T01:53:00Z</dcterms:created>
  <dc:creator>周鹏翥</dc:creator>
  <cp:lastModifiedBy>周鹏翥</cp:lastModifiedBy>
  <cp:lastPrinted>2018-07-06T04:26:46Z</cp:lastPrinted>
  <dcterms:modified xsi:type="dcterms:W3CDTF">2018-07-06T07:49:58Z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