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cs="宋体"/>
          <w:b/>
          <w:kern w:val="0"/>
          <w:sz w:val="30"/>
          <w:szCs w:val="30"/>
        </w:rPr>
      </w:pPr>
      <w:r>
        <w:rPr>
          <w:rFonts w:hint="eastAsia" w:ascii="宋体" w:hAnsi="宋体" w:cs="宋体"/>
          <w:b/>
          <w:kern w:val="0"/>
          <w:sz w:val="30"/>
          <w:szCs w:val="30"/>
        </w:rPr>
        <w:t>项目名称：重庆医科大学附属第二医院江南医院柴油发电机采购</w:t>
      </w:r>
    </w:p>
    <w:p>
      <w:pPr>
        <w:rPr>
          <w:rFonts w:ascii="宋体" w:cs="宋体"/>
          <w:b/>
          <w:kern w:val="0"/>
          <w:sz w:val="30"/>
          <w:szCs w:val="30"/>
        </w:rPr>
      </w:pPr>
      <w:bookmarkStart w:id="198" w:name="_GoBack"/>
      <w:bookmarkEnd w:id="198"/>
    </w:p>
    <w:p>
      <w:pPr>
        <w:rPr>
          <w:rFonts w:ascii="宋体" w:cs="宋体"/>
          <w:b/>
          <w:kern w:val="0"/>
          <w:sz w:val="36"/>
          <w:szCs w:val="36"/>
        </w:rPr>
      </w:pPr>
    </w:p>
    <w:p>
      <w:pPr>
        <w:snapToGrid w:val="0"/>
        <w:spacing w:line="360" w:lineRule="auto"/>
        <w:rPr>
          <w:rFonts w:ascii="宋体"/>
          <w:b/>
          <w:sz w:val="30"/>
          <w:szCs w:val="30"/>
        </w:rPr>
      </w:pPr>
    </w:p>
    <w:p>
      <w:pPr>
        <w:snapToGrid w:val="0"/>
        <w:spacing w:line="360" w:lineRule="auto"/>
        <w:jc w:val="center"/>
        <w:rPr>
          <w:rFonts w:ascii="宋体"/>
          <w:b/>
          <w:sz w:val="30"/>
          <w:szCs w:val="30"/>
        </w:rPr>
      </w:pPr>
    </w:p>
    <w:p>
      <w:pPr>
        <w:snapToGrid w:val="0"/>
        <w:spacing w:line="480" w:lineRule="auto"/>
        <w:jc w:val="center"/>
        <w:rPr>
          <w:rFonts w:ascii="宋体"/>
          <w:b/>
          <w:sz w:val="30"/>
          <w:szCs w:val="30"/>
        </w:rPr>
      </w:pPr>
    </w:p>
    <w:p>
      <w:pPr>
        <w:spacing w:line="480" w:lineRule="auto"/>
        <w:jc w:val="center"/>
        <w:rPr>
          <w:rFonts w:ascii="宋体"/>
        </w:rPr>
      </w:pPr>
      <w:r>
        <w:rPr>
          <w:rFonts w:hint="eastAsia" w:ascii="宋体" w:hAnsi="宋体"/>
          <w:b/>
          <w:sz w:val="72"/>
          <w:szCs w:val="72"/>
        </w:rPr>
        <w:t>竞争性比选文件</w:t>
      </w:r>
    </w:p>
    <w:p>
      <w:pPr>
        <w:spacing w:line="400" w:lineRule="exact"/>
        <w:jc w:val="center"/>
        <w:rPr>
          <w:rFonts w:ascii="宋体"/>
        </w:rPr>
      </w:pPr>
    </w:p>
    <w:p>
      <w:pPr>
        <w:spacing w:line="400" w:lineRule="exact"/>
        <w:rPr>
          <w:rFonts w:ascii="宋体"/>
        </w:rPr>
      </w:pPr>
    </w:p>
    <w:p>
      <w:pPr>
        <w:spacing w:line="400" w:lineRule="exact"/>
        <w:rPr>
          <w:rFonts w:ascii="宋体"/>
        </w:rPr>
      </w:pPr>
    </w:p>
    <w:p>
      <w:pPr>
        <w:spacing w:line="400" w:lineRule="exact"/>
        <w:rPr>
          <w:rFonts w:ascii="宋体"/>
        </w:rPr>
      </w:pPr>
    </w:p>
    <w:p>
      <w:pPr>
        <w:spacing w:line="400" w:lineRule="exact"/>
        <w:jc w:val="center"/>
        <w:rPr>
          <w:rFonts w:ascii="宋体"/>
          <w:b/>
          <w:sz w:val="30"/>
          <w:szCs w:val="30"/>
          <w:u w:val="single"/>
        </w:rPr>
      </w:pPr>
      <w:r>
        <w:rPr>
          <w:rFonts w:hint="eastAsia" w:ascii="宋体" w:hAnsi="宋体"/>
          <w:b/>
          <w:sz w:val="30"/>
          <w:szCs w:val="30"/>
        </w:rPr>
        <w:t>比选人：</w:t>
      </w:r>
      <w:r>
        <w:rPr>
          <w:rFonts w:hint="eastAsia" w:ascii="宋体" w:hAnsi="宋体"/>
          <w:b/>
          <w:sz w:val="30"/>
          <w:szCs w:val="30"/>
          <w:u w:val="single"/>
        </w:rPr>
        <w:t>重庆医科大学附属第二医院（盖章）</w:t>
      </w:r>
    </w:p>
    <w:p>
      <w:pPr>
        <w:spacing w:line="400" w:lineRule="exact"/>
        <w:rPr>
          <w:rFonts w:ascii="宋体"/>
          <w:b/>
          <w:sz w:val="30"/>
          <w:szCs w:val="30"/>
          <w:u w:val="single"/>
        </w:rPr>
      </w:pPr>
    </w:p>
    <w:p>
      <w:pPr>
        <w:spacing w:line="400" w:lineRule="exact"/>
        <w:jc w:val="center"/>
        <w:rPr>
          <w:rFonts w:ascii="宋体"/>
          <w:b/>
          <w:sz w:val="30"/>
          <w:szCs w:val="30"/>
          <w:u w:val="single"/>
        </w:rPr>
      </w:pPr>
      <w:r>
        <w:rPr>
          <w:rFonts w:hint="eastAsia" w:ascii="宋体" w:hAnsi="宋体"/>
          <w:b/>
          <w:sz w:val="30"/>
          <w:szCs w:val="30"/>
        </w:rPr>
        <w:t>比选代理机构：</w:t>
      </w:r>
      <w:r>
        <w:rPr>
          <w:rFonts w:hint="eastAsia" w:ascii="宋体" w:hAnsi="宋体"/>
          <w:b/>
          <w:sz w:val="30"/>
          <w:szCs w:val="30"/>
          <w:u w:val="single"/>
        </w:rPr>
        <w:t>重庆驰久卓越工程管理有限公司（盖章）</w:t>
      </w:r>
    </w:p>
    <w:p>
      <w:pPr>
        <w:spacing w:line="400" w:lineRule="exact"/>
        <w:jc w:val="center"/>
        <w:rPr>
          <w:rFonts w:ascii="宋体"/>
          <w:b/>
          <w:sz w:val="30"/>
          <w:szCs w:val="30"/>
          <w:u w:val="single"/>
        </w:rPr>
      </w:pPr>
    </w:p>
    <w:p>
      <w:pPr>
        <w:spacing w:line="400" w:lineRule="exact"/>
        <w:jc w:val="center"/>
        <w:rPr>
          <w:rFonts w:ascii="宋体"/>
          <w:b/>
          <w:sz w:val="30"/>
          <w:szCs w:val="30"/>
          <w:u w:val="single"/>
        </w:rPr>
      </w:pPr>
    </w:p>
    <w:p>
      <w:pPr>
        <w:spacing w:line="400" w:lineRule="exact"/>
        <w:rPr>
          <w:rFonts w:ascii="宋体"/>
          <w:b/>
          <w:sz w:val="30"/>
          <w:szCs w:val="30"/>
          <w:u w:val="single"/>
        </w:rPr>
      </w:pPr>
    </w:p>
    <w:p>
      <w:pPr>
        <w:spacing w:line="400" w:lineRule="exact"/>
        <w:jc w:val="center"/>
        <w:rPr>
          <w:rFonts w:ascii="宋体"/>
          <w:b/>
          <w:sz w:val="30"/>
          <w:szCs w:val="30"/>
          <w:u w:val="single"/>
        </w:rPr>
      </w:pPr>
    </w:p>
    <w:p>
      <w:pPr>
        <w:tabs>
          <w:tab w:val="left" w:pos="540"/>
        </w:tabs>
        <w:spacing w:line="480" w:lineRule="auto"/>
        <w:ind w:firstLine="472" w:firstLineChars="147"/>
        <w:jc w:val="center"/>
        <w:rPr>
          <w:rFonts w:ascii="宋体" w:cs="宋体"/>
          <w:b/>
          <w:sz w:val="32"/>
          <w:szCs w:val="32"/>
        </w:rPr>
      </w:pPr>
      <w:bookmarkStart w:id="0" w:name="_Toc152042286"/>
      <w:bookmarkStart w:id="1" w:name="_Toc144974478"/>
      <w:r>
        <w:rPr>
          <w:rFonts w:hint="eastAsia" w:ascii="宋体" w:hAnsi="宋体" w:cs="宋体"/>
          <w:b/>
          <w:sz w:val="32"/>
          <w:szCs w:val="32"/>
        </w:rPr>
        <w:t>编制人：</w:t>
      </w:r>
      <w:r>
        <w:rPr>
          <w:rFonts w:hint="eastAsia" w:ascii="宋体" w:hAnsi="宋体" w:cs="宋体"/>
          <w:b/>
          <w:sz w:val="32"/>
          <w:szCs w:val="32"/>
          <w:u w:val="single"/>
        </w:rPr>
        <w:t>袁著</w:t>
      </w:r>
      <w:r>
        <w:rPr>
          <w:rFonts w:hint="eastAsia" w:ascii="宋体" w:hAnsi="宋体" w:cs="宋体"/>
          <w:b/>
          <w:sz w:val="32"/>
          <w:szCs w:val="32"/>
        </w:rPr>
        <w:t>资格：</w:t>
      </w:r>
      <w:r>
        <w:rPr>
          <w:rFonts w:hint="eastAsia" w:ascii="宋体" w:hAnsi="宋体" w:cs="宋体"/>
          <w:b/>
          <w:sz w:val="32"/>
          <w:szCs w:val="32"/>
          <w:u w:val="single"/>
        </w:rPr>
        <w:t>渝建招</w:t>
      </w:r>
      <w:r>
        <w:rPr>
          <w:rFonts w:ascii="宋体" w:hAnsi="宋体" w:cs="宋体"/>
          <w:b/>
          <w:sz w:val="32"/>
          <w:szCs w:val="32"/>
          <w:u w:val="single"/>
        </w:rPr>
        <w:t>2014162</w:t>
      </w:r>
    </w:p>
    <w:p>
      <w:pPr>
        <w:widowControl/>
        <w:spacing w:line="480" w:lineRule="auto"/>
        <w:ind w:firstLine="482" w:firstLineChars="150"/>
        <w:jc w:val="center"/>
        <w:rPr>
          <w:rFonts w:ascii="宋体" w:cs="宋体"/>
          <w:kern w:val="0"/>
          <w:sz w:val="30"/>
          <w:szCs w:val="30"/>
          <w:u w:val="single"/>
        </w:rPr>
      </w:pPr>
      <w:r>
        <w:rPr>
          <w:rFonts w:hint="eastAsia" w:ascii="宋体" w:hAnsi="宋体" w:cs="宋体"/>
          <w:b/>
          <w:sz w:val="32"/>
          <w:szCs w:val="32"/>
        </w:rPr>
        <w:t>审核人：</w:t>
      </w:r>
      <w:r>
        <w:rPr>
          <w:rFonts w:hint="eastAsia" w:ascii="宋体" w:hAnsi="宋体" w:cs="宋体"/>
          <w:b/>
          <w:sz w:val="32"/>
          <w:szCs w:val="32"/>
          <w:u w:val="single"/>
        </w:rPr>
        <w:t>殷锴</w:t>
      </w:r>
      <w:r>
        <w:rPr>
          <w:rFonts w:hint="eastAsia" w:ascii="宋体" w:hAnsi="宋体" w:cs="宋体"/>
          <w:b/>
          <w:sz w:val="32"/>
          <w:szCs w:val="32"/>
        </w:rPr>
        <w:t>资格：</w:t>
      </w:r>
      <w:r>
        <w:rPr>
          <w:rFonts w:hint="eastAsia" w:ascii="宋体" w:hAnsi="宋体" w:cs="宋体"/>
          <w:b/>
          <w:sz w:val="32"/>
          <w:szCs w:val="32"/>
          <w:u w:val="single"/>
        </w:rPr>
        <w:t>渝建招</w:t>
      </w:r>
      <w:r>
        <w:rPr>
          <w:rFonts w:ascii="宋体" w:hAnsi="宋体" w:cs="宋体"/>
          <w:b/>
          <w:sz w:val="32"/>
          <w:szCs w:val="32"/>
          <w:u w:val="single"/>
        </w:rPr>
        <w:t>2013427</w:t>
      </w:r>
    </w:p>
    <w:p>
      <w:pPr>
        <w:autoSpaceDE w:val="0"/>
        <w:autoSpaceDN w:val="0"/>
        <w:adjustRightInd w:val="0"/>
        <w:snapToGrid w:val="0"/>
        <w:spacing w:line="480" w:lineRule="auto"/>
        <w:jc w:val="center"/>
        <w:rPr>
          <w:rFonts w:ascii="宋体" w:hAnsi="宋体" w:cs="宋体"/>
          <w:b/>
          <w:sz w:val="32"/>
          <w:szCs w:val="32"/>
        </w:rPr>
      </w:pPr>
    </w:p>
    <w:p>
      <w:pPr>
        <w:autoSpaceDE w:val="0"/>
        <w:autoSpaceDN w:val="0"/>
        <w:adjustRightInd w:val="0"/>
        <w:snapToGrid w:val="0"/>
        <w:spacing w:line="480" w:lineRule="auto"/>
        <w:jc w:val="center"/>
        <w:rPr>
          <w:rFonts w:ascii="宋体" w:cs="宋体"/>
          <w:b/>
          <w:sz w:val="32"/>
          <w:szCs w:val="32"/>
        </w:rPr>
        <w:sectPr>
          <w:headerReference r:id="rId3" w:type="default"/>
          <w:footerReference r:id="rId4" w:type="default"/>
          <w:pgSz w:w="11906" w:h="16838"/>
          <w:pgMar w:top="1440" w:right="1797" w:bottom="1440" w:left="1298" w:header="851" w:footer="992" w:gutter="0"/>
          <w:cols w:space="720" w:num="1"/>
          <w:docGrid w:linePitch="312" w:charSpace="0"/>
        </w:sectPr>
      </w:pPr>
      <w:r>
        <w:rPr>
          <w:rFonts w:hint="eastAsia" w:ascii="宋体" w:hAnsi="宋体" w:cs="宋体"/>
          <w:b/>
          <w:sz w:val="32"/>
          <w:szCs w:val="32"/>
        </w:rPr>
        <w:t>二</w:t>
      </w:r>
      <w:r>
        <w:rPr>
          <w:rFonts w:ascii="宋体" w:cs="宋体"/>
          <w:b/>
          <w:sz w:val="32"/>
          <w:szCs w:val="32"/>
        </w:rPr>
        <w:t>0</w:t>
      </w:r>
      <w:r>
        <w:rPr>
          <w:rFonts w:hint="eastAsia" w:ascii="宋体" w:hAnsi="宋体" w:cs="宋体"/>
          <w:b/>
          <w:sz w:val="32"/>
          <w:szCs w:val="32"/>
        </w:rPr>
        <w:t>一八年十</w:t>
      </w:r>
      <w:r>
        <w:rPr>
          <w:rFonts w:hint="eastAsia" w:ascii="宋体" w:hAnsi="宋体" w:cs="宋体"/>
          <w:b/>
          <w:sz w:val="32"/>
          <w:szCs w:val="32"/>
          <w:lang w:eastAsia="zh-CN"/>
        </w:rPr>
        <w:t>一</w:t>
      </w:r>
      <w:r>
        <w:rPr>
          <w:rFonts w:hint="eastAsia" w:ascii="宋体" w:hAnsi="宋体" w:cs="宋体"/>
          <w:b/>
          <w:sz w:val="32"/>
          <w:szCs w:val="32"/>
        </w:rPr>
        <w:t>月</w:t>
      </w:r>
    </w:p>
    <w:p>
      <w:pPr>
        <w:autoSpaceDE w:val="0"/>
        <w:autoSpaceDN w:val="0"/>
        <w:adjustRightInd w:val="0"/>
        <w:snapToGrid w:val="0"/>
        <w:spacing w:line="480" w:lineRule="auto"/>
        <w:jc w:val="center"/>
        <w:rPr>
          <w:rFonts w:ascii="宋体"/>
          <w:bCs/>
          <w:szCs w:val="21"/>
        </w:rPr>
      </w:pPr>
      <w:r>
        <w:rPr>
          <w:rFonts w:ascii="宋体"/>
        </w:rPr>
        <w:tab/>
      </w:r>
      <w:r>
        <w:rPr>
          <w:rFonts w:hint="eastAsia" w:ascii="宋体" w:hAnsi="宋体"/>
          <w:b/>
          <w:bCs/>
          <w:sz w:val="32"/>
        </w:rPr>
        <w:t>目录</w:t>
      </w:r>
      <w:bookmarkEnd w:id="0"/>
      <w:bookmarkEnd w:id="1"/>
      <w:r>
        <w:rPr>
          <w:rFonts w:ascii="宋体"/>
          <w:b/>
          <w:bCs/>
          <w:sz w:val="32"/>
        </w:rPr>
        <w:tab/>
      </w:r>
      <w:bookmarkStart w:id="2" w:name="_Toc144974479"/>
      <w:bookmarkStart w:id="3" w:name="_Toc152042287"/>
      <w:bookmarkStart w:id="4" w:name="_Toc152045511"/>
    </w:p>
    <w:p>
      <w:pPr>
        <w:pStyle w:val="15"/>
        <w:tabs>
          <w:tab w:val="right" w:leader="dot" w:pos="9740"/>
        </w:tabs>
        <w:spacing w:line="360" w:lineRule="auto"/>
      </w:pPr>
      <w:r>
        <w:fldChar w:fldCharType="begin"/>
      </w:r>
      <w:r>
        <w:instrText xml:space="preserve"> TOC \o "1-3" \h \z \u </w:instrText>
      </w:r>
      <w:r>
        <w:fldChar w:fldCharType="separate"/>
      </w:r>
      <w:r>
        <w:fldChar w:fldCharType="begin"/>
      </w:r>
      <w:r>
        <w:instrText xml:space="preserve"> HYPERLINK \l "_Toc15072" </w:instrText>
      </w:r>
      <w:r>
        <w:fldChar w:fldCharType="separate"/>
      </w:r>
      <w:r>
        <w:rPr>
          <w:rFonts w:hint="eastAsia" w:ascii="宋体" w:hAnsi="宋体"/>
          <w:szCs w:val="44"/>
        </w:rPr>
        <w:t>第一章比选公告</w:t>
      </w:r>
      <w:r>
        <w:tab/>
      </w:r>
      <w:r>
        <w:fldChar w:fldCharType="begin"/>
      </w:r>
      <w:r>
        <w:instrText xml:space="preserve"> PAGEREF _Toc15072 </w:instrText>
      </w:r>
      <w:r>
        <w:fldChar w:fldCharType="separate"/>
      </w:r>
      <w:r>
        <w:t>4</w:t>
      </w:r>
      <w:r>
        <w:fldChar w:fldCharType="end"/>
      </w:r>
      <w:r>
        <w:fldChar w:fldCharType="end"/>
      </w:r>
    </w:p>
    <w:p>
      <w:pPr>
        <w:pStyle w:val="15"/>
        <w:tabs>
          <w:tab w:val="right" w:leader="dot" w:pos="9740"/>
        </w:tabs>
        <w:spacing w:line="360" w:lineRule="auto"/>
      </w:pPr>
      <w:r>
        <w:fldChar w:fldCharType="begin"/>
      </w:r>
      <w:r>
        <w:instrText xml:space="preserve"> HYPERLINK \l "_Toc2570" </w:instrText>
      </w:r>
      <w:r>
        <w:fldChar w:fldCharType="separate"/>
      </w:r>
      <w:r>
        <w:rPr>
          <w:rFonts w:hint="eastAsia" w:ascii="宋体" w:hAnsi="宋体"/>
          <w:szCs w:val="44"/>
        </w:rPr>
        <w:t>第二章竞选人须知</w:t>
      </w:r>
      <w:r>
        <w:tab/>
      </w:r>
      <w:r>
        <w:fldChar w:fldCharType="begin"/>
      </w:r>
      <w:r>
        <w:instrText xml:space="preserve"> PAGEREF _Toc2570 </w:instrText>
      </w:r>
      <w:r>
        <w:fldChar w:fldCharType="separate"/>
      </w:r>
      <w:r>
        <w:t>6</w:t>
      </w:r>
      <w:r>
        <w:fldChar w:fldCharType="end"/>
      </w:r>
      <w:r>
        <w:fldChar w:fldCharType="end"/>
      </w:r>
    </w:p>
    <w:p>
      <w:pPr>
        <w:pStyle w:val="12"/>
        <w:tabs>
          <w:tab w:val="right" w:leader="dot" w:pos="9740"/>
        </w:tabs>
        <w:spacing w:line="360" w:lineRule="auto"/>
        <w:ind w:firstLine="201" w:firstLineChars="100"/>
      </w:pPr>
      <w:r>
        <w:fldChar w:fldCharType="begin"/>
      </w:r>
      <w:r>
        <w:instrText xml:space="preserve"> HYPERLINK \l "_Toc18301" </w:instrText>
      </w:r>
      <w:r>
        <w:fldChar w:fldCharType="separate"/>
      </w:r>
      <w:r>
        <w:rPr>
          <w:rFonts w:hint="eastAsia" w:ascii="宋体" w:hAnsi="宋体"/>
          <w:szCs w:val="44"/>
        </w:rPr>
        <w:t>第三章评标办法</w:t>
      </w:r>
      <w:r>
        <w:tab/>
      </w:r>
      <w:r>
        <w:fldChar w:fldCharType="begin"/>
      </w:r>
      <w:r>
        <w:instrText xml:space="preserve"> PAGEREF _Toc18301 </w:instrText>
      </w:r>
      <w:r>
        <w:fldChar w:fldCharType="separate"/>
      </w:r>
      <w:r>
        <w:t>12</w:t>
      </w:r>
      <w:r>
        <w:fldChar w:fldCharType="end"/>
      </w:r>
      <w:r>
        <w:fldChar w:fldCharType="end"/>
      </w:r>
    </w:p>
    <w:p>
      <w:pPr>
        <w:pStyle w:val="15"/>
        <w:tabs>
          <w:tab w:val="right" w:leader="dot" w:pos="9740"/>
        </w:tabs>
        <w:spacing w:line="360" w:lineRule="auto"/>
      </w:pPr>
      <w:r>
        <w:fldChar w:fldCharType="begin"/>
      </w:r>
      <w:r>
        <w:instrText xml:space="preserve"> HYPERLINK \l "_Toc4160" </w:instrText>
      </w:r>
      <w:r>
        <w:fldChar w:fldCharType="separate"/>
      </w:r>
      <w:r>
        <w:rPr>
          <w:rFonts w:hint="eastAsia" w:ascii="宋体" w:hAnsi="宋体"/>
          <w:szCs w:val="44"/>
        </w:rPr>
        <w:t>第四章 合同条款及格式</w:t>
      </w:r>
      <w:r>
        <w:tab/>
      </w:r>
      <w:r>
        <w:fldChar w:fldCharType="begin"/>
      </w:r>
      <w:r>
        <w:instrText xml:space="preserve"> PAGEREF _Toc4160 </w:instrText>
      </w:r>
      <w:r>
        <w:fldChar w:fldCharType="separate"/>
      </w:r>
      <w:r>
        <w:t>17</w:t>
      </w:r>
      <w:r>
        <w:fldChar w:fldCharType="end"/>
      </w:r>
      <w:r>
        <w:fldChar w:fldCharType="end"/>
      </w:r>
    </w:p>
    <w:p>
      <w:pPr>
        <w:pStyle w:val="15"/>
        <w:tabs>
          <w:tab w:val="right" w:leader="dot" w:pos="9740"/>
        </w:tabs>
        <w:spacing w:line="360" w:lineRule="auto"/>
      </w:pPr>
      <w:r>
        <w:fldChar w:fldCharType="begin"/>
      </w:r>
      <w:r>
        <w:instrText xml:space="preserve"> HYPERLINK \l "_Toc2475" </w:instrText>
      </w:r>
      <w:r>
        <w:fldChar w:fldCharType="separate"/>
      </w:r>
      <w:r>
        <w:rPr>
          <w:rFonts w:hint="eastAsia" w:ascii="宋体" w:hAnsi="宋体"/>
          <w:szCs w:val="44"/>
        </w:rPr>
        <w:t>第五章技术标准</w:t>
      </w:r>
      <w:r>
        <w:tab/>
      </w:r>
      <w:r>
        <w:fldChar w:fldCharType="begin"/>
      </w:r>
      <w:r>
        <w:instrText xml:space="preserve"> PAGEREF _Toc2475 </w:instrText>
      </w:r>
      <w:r>
        <w:fldChar w:fldCharType="separate"/>
      </w:r>
      <w:r>
        <w:t>47</w:t>
      </w:r>
      <w:r>
        <w:fldChar w:fldCharType="end"/>
      </w:r>
      <w:r>
        <w:fldChar w:fldCharType="end"/>
      </w:r>
    </w:p>
    <w:p>
      <w:pPr>
        <w:pStyle w:val="15"/>
        <w:tabs>
          <w:tab w:val="right" w:leader="dot" w:pos="9740"/>
        </w:tabs>
      </w:pPr>
    </w:p>
    <w:p>
      <w:r>
        <w:fldChar w:fldCharType="end"/>
      </w:r>
    </w:p>
    <w:p>
      <w:pPr>
        <w:spacing w:line="400" w:lineRule="exact"/>
        <w:jc w:val="center"/>
        <w:rPr>
          <w:rFonts w:ascii="宋体"/>
        </w:rPr>
      </w:pPr>
    </w:p>
    <w:p>
      <w:pPr>
        <w:adjustRightInd w:val="0"/>
        <w:spacing w:line="460" w:lineRule="exact"/>
        <w:rPr>
          <w:rFonts w:ascii="宋体"/>
          <w:b/>
          <w:sz w:val="44"/>
          <w:szCs w:val="44"/>
        </w:rPr>
      </w:pPr>
      <w:bookmarkStart w:id="5" w:name="_Toc238552176"/>
      <w:bookmarkStart w:id="6" w:name="_Toc238797531"/>
      <w:r>
        <w:rPr>
          <w:rFonts w:ascii="宋体"/>
          <w:b/>
          <w:sz w:val="44"/>
          <w:szCs w:val="44"/>
        </w:rPr>
        <w:br w:type="page"/>
      </w:r>
      <w:bookmarkStart w:id="7" w:name="_Toc416768968"/>
    </w:p>
    <w:p>
      <w:pPr>
        <w:jc w:val="center"/>
        <w:outlineLvl w:val="1"/>
        <w:rPr>
          <w:rFonts w:ascii="宋体"/>
          <w:b/>
          <w:sz w:val="44"/>
          <w:szCs w:val="44"/>
        </w:rPr>
      </w:pPr>
      <w:bookmarkStart w:id="8" w:name="_Toc15072"/>
      <w:r>
        <w:rPr>
          <w:rFonts w:hint="eastAsia" w:ascii="宋体" w:hAnsi="宋体"/>
          <w:b/>
          <w:sz w:val="44"/>
          <w:szCs w:val="44"/>
        </w:rPr>
        <w:t>第一章比选公告</w:t>
      </w:r>
      <w:bookmarkEnd w:id="2"/>
      <w:bookmarkEnd w:id="3"/>
      <w:bookmarkEnd w:id="4"/>
      <w:bookmarkEnd w:id="5"/>
      <w:bookmarkEnd w:id="6"/>
      <w:bookmarkEnd w:id="7"/>
      <w:bookmarkEnd w:id="8"/>
    </w:p>
    <w:p>
      <w:pPr>
        <w:rPr>
          <w:rFonts w:ascii="宋体"/>
        </w:rPr>
      </w:pPr>
    </w:p>
    <w:p>
      <w:pPr>
        <w:spacing w:line="500" w:lineRule="exact"/>
        <w:jc w:val="center"/>
        <w:rPr>
          <w:rFonts w:ascii="宋体"/>
          <w:b/>
          <w:sz w:val="28"/>
          <w:szCs w:val="28"/>
        </w:rPr>
      </w:pPr>
      <w:bookmarkStart w:id="9" w:name="_Toc152042303"/>
      <w:bookmarkStart w:id="10" w:name="_Toc144974495"/>
      <w:bookmarkStart w:id="11" w:name="_Toc238797548"/>
      <w:bookmarkStart w:id="12" w:name="_Toc152045527"/>
      <w:bookmarkStart w:id="13" w:name="_Toc238552193"/>
      <w:r>
        <w:rPr>
          <w:rFonts w:hint="eastAsia" w:ascii="宋体" w:hAnsi="宋体"/>
          <w:b/>
          <w:sz w:val="30"/>
          <w:szCs w:val="30"/>
        </w:rPr>
        <w:t>重庆医科大学附属第二医院江南医院柴油发电机采购比选公告</w:t>
      </w:r>
    </w:p>
    <w:p>
      <w:pPr>
        <w:pStyle w:val="27"/>
        <w:spacing w:line="410" w:lineRule="exact"/>
        <w:outlineLvl w:val="2"/>
        <w:rPr>
          <w:rFonts w:ascii="宋体" w:hAnsi="宋体" w:eastAsia="宋体" w:cs="Times New Roman"/>
          <w:szCs w:val="28"/>
        </w:rPr>
      </w:pPr>
      <w:bookmarkStart w:id="14" w:name="_Toc144974480"/>
      <w:bookmarkStart w:id="15" w:name="_Toc152042288"/>
      <w:bookmarkStart w:id="16" w:name="_Toc24499"/>
      <w:bookmarkStart w:id="17" w:name="_Toc258507990"/>
      <w:bookmarkStart w:id="18" w:name="_Toc416768969"/>
      <w:bookmarkStart w:id="19" w:name="_Toc238552177"/>
      <w:bookmarkStart w:id="20" w:name="_Toc152045512"/>
      <w:bookmarkStart w:id="21" w:name="_Toc365123612"/>
      <w:bookmarkStart w:id="22" w:name="_Toc13624"/>
      <w:bookmarkStart w:id="23" w:name="_Toc28153"/>
      <w:bookmarkStart w:id="24" w:name="_Toc26617"/>
      <w:bookmarkStart w:id="25" w:name="_Toc238797532"/>
      <w:r>
        <w:rPr>
          <w:rFonts w:ascii="宋体" w:hAnsi="宋体" w:eastAsia="宋体" w:cs="Times New Roman"/>
          <w:b/>
          <w:szCs w:val="28"/>
        </w:rPr>
        <w:t>1</w:t>
      </w:r>
      <w:r>
        <w:rPr>
          <w:rFonts w:hint="eastAsia" w:ascii="宋体" w:hAnsi="宋体" w:eastAsia="宋体" w:cs="Times New Roman"/>
          <w:b/>
          <w:szCs w:val="28"/>
        </w:rPr>
        <w:t>、比选条件</w:t>
      </w:r>
      <w:bookmarkEnd w:id="14"/>
      <w:bookmarkEnd w:id="15"/>
      <w:bookmarkEnd w:id="16"/>
      <w:bookmarkEnd w:id="17"/>
      <w:bookmarkEnd w:id="18"/>
      <w:bookmarkEnd w:id="19"/>
      <w:bookmarkEnd w:id="20"/>
      <w:bookmarkEnd w:id="21"/>
      <w:bookmarkEnd w:id="22"/>
      <w:bookmarkEnd w:id="23"/>
      <w:bookmarkEnd w:id="24"/>
      <w:bookmarkEnd w:id="25"/>
      <w:bookmarkStart w:id="26" w:name="_Toc238797533"/>
      <w:bookmarkStart w:id="27" w:name="_Toc238552178"/>
      <w:bookmarkStart w:id="28" w:name="_Toc144974481"/>
      <w:bookmarkStart w:id="29" w:name="_Toc152045513"/>
      <w:bookmarkStart w:id="30" w:name="_Toc152042289"/>
    </w:p>
    <w:p>
      <w:pPr>
        <w:pStyle w:val="27"/>
        <w:spacing w:line="410" w:lineRule="exact"/>
        <w:ind w:firstLine="420" w:firstLineChars="200"/>
        <w:outlineLvl w:val="2"/>
        <w:rPr>
          <w:rFonts w:ascii="宋体" w:hAnsi="宋体" w:eastAsia="宋体"/>
          <w:kern w:val="2"/>
          <w:sz w:val="21"/>
          <w:szCs w:val="21"/>
        </w:rPr>
      </w:pPr>
      <w:bookmarkStart w:id="31" w:name="_Toc17832"/>
      <w:bookmarkStart w:id="32" w:name="_Toc11331"/>
      <w:bookmarkStart w:id="33" w:name="_Toc8435"/>
      <w:bookmarkStart w:id="34" w:name="_Toc8210"/>
      <w:bookmarkStart w:id="35" w:name="_Toc426025383"/>
      <w:bookmarkStart w:id="36" w:name="_Toc258507991"/>
      <w:bookmarkStart w:id="37" w:name="_Toc416768970"/>
      <w:bookmarkStart w:id="38" w:name="_Toc365123613"/>
      <w:r>
        <w:rPr>
          <w:rFonts w:hint="eastAsia" w:ascii="宋体" w:hAnsi="宋体" w:eastAsia="宋体"/>
          <w:kern w:val="2"/>
          <w:sz w:val="21"/>
          <w:szCs w:val="21"/>
        </w:rPr>
        <w:t>“重庆医科大学附属第二医院江南医院建设工程”已由渝发改社【</w:t>
      </w:r>
      <w:r>
        <w:rPr>
          <w:rFonts w:ascii="宋体" w:hAnsi="宋体" w:eastAsia="宋体"/>
          <w:kern w:val="2"/>
          <w:sz w:val="21"/>
          <w:szCs w:val="21"/>
        </w:rPr>
        <w:t>2010</w:t>
      </w:r>
      <w:r>
        <w:rPr>
          <w:rFonts w:hint="eastAsia" w:ascii="宋体" w:hAnsi="宋体" w:eastAsia="宋体"/>
          <w:kern w:val="2"/>
          <w:sz w:val="21"/>
          <w:szCs w:val="21"/>
        </w:rPr>
        <w:t>】</w:t>
      </w:r>
      <w:r>
        <w:rPr>
          <w:rFonts w:ascii="宋体" w:hAnsi="宋体" w:eastAsia="宋体"/>
          <w:kern w:val="2"/>
          <w:sz w:val="21"/>
          <w:szCs w:val="21"/>
        </w:rPr>
        <w:t>795</w:t>
      </w:r>
      <w:r>
        <w:rPr>
          <w:rFonts w:hint="eastAsia" w:ascii="宋体" w:hAnsi="宋体" w:eastAsia="宋体"/>
          <w:kern w:val="2"/>
          <w:sz w:val="21"/>
          <w:szCs w:val="21"/>
        </w:rPr>
        <w:t>号文核准建设，业主为重庆医科大学附属第二医院，比选人为重庆医科大学附属第二医院，建设资金来自业主自筹，资金已落实。项目已具备比选条件，现对该项目</w:t>
      </w:r>
      <w:r>
        <w:rPr>
          <w:rFonts w:hint="eastAsia" w:ascii="宋体" w:hAnsi="宋体" w:eastAsia="宋体"/>
          <w:kern w:val="2"/>
          <w:sz w:val="21"/>
          <w:szCs w:val="21"/>
          <w:u w:val="single"/>
        </w:rPr>
        <w:t>柴油发电机采购</w:t>
      </w:r>
      <w:r>
        <w:rPr>
          <w:rFonts w:hint="eastAsia" w:ascii="宋体" w:hAnsi="宋体" w:eastAsia="宋体"/>
          <w:kern w:val="2"/>
          <w:sz w:val="21"/>
          <w:szCs w:val="21"/>
        </w:rPr>
        <w:t>进行竞争性比选。</w:t>
      </w:r>
      <w:bookmarkEnd w:id="31"/>
      <w:bookmarkEnd w:id="32"/>
      <w:bookmarkEnd w:id="33"/>
      <w:bookmarkEnd w:id="34"/>
      <w:bookmarkEnd w:id="35"/>
    </w:p>
    <w:p>
      <w:pPr>
        <w:pStyle w:val="27"/>
        <w:spacing w:line="410" w:lineRule="exact"/>
        <w:outlineLvl w:val="2"/>
        <w:rPr>
          <w:rFonts w:ascii="宋体" w:hAnsi="宋体" w:eastAsia="宋体" w:cs="Times New Roman"/>
          <w:b/>
          <w:szCs w:val="28"/>
        </w:rPr>
      </w:pPr>
      <w:bookmarkStart w:id="39" w:name="_Toc26262"/>
      <w:bookmarkStart w:id="40" w:name="_Toc7710"/>
      <w:bookmarkStart w:id="41" w:name="_Toc13435"/>
      <w:bookmarkStart w:id="42" w:name="_Toc26097"/>
      <w:r>
        <w:rPr>
          <w:rFonts w:ascii="宋体" w:hAnsi="宋体" w:eastAsia="宋体" w:cs="Times New Roman"/>
          <w:b/>
          <w:szCs w:val="28"/>
        </w:rPr>
        <w:t xml:space="preserve">2. </w:t>
      </w:r>
      <w:r>
        <w:rPr>
          <w:rFonts w:hint="eastAsia" w:ascii="宋体" w:hAnsi="宋体" w:eastAsia="宋体" w:cs="Times New Roman"/>
          <w:b/>
          <w:szCs w:val="28"/>
        </w:rPr>
        <w:t>项目概况与内容</w:t>
      </w:r>
      <w:bookmarkEnd w:id="26"/>
      <w:bookmarkEnd w:id="27"/>
      <w:bookmarkEnd w:id="36"/>
      <w:bookmarkEnd w:id="37"/>
      <w:bookmarkEnd w:id="38"/>
      <w:bookmarkEnd w:id="39"/>
      <w:bookmarkEnd w:id="40"/>
      <w:bookmarkEnd w:id="41"/>
      <w:bookmarkEnd w:id="42"/>
    </w:p>
    <w:bookmarkEnd w:id="28"/>
    <w:bookmarkEnd w:id="29"/>
    <w:bookmarkEnd w:id="30"/>
    <w:p>
      <w:pPr>
        <w:spacing w:line="420" w:lineRule="exact"/>
        <w:ind w:firstLine="420" w:firstLineChars="200"/>
        <w:jc w:val="left"/>
        <w:rPr>
          <w:rFonts w:ascii="宋体" w:cs="宋体"/>
          <w:szCs w:val="21"/>
        </w:rPr>
      </w:pPr>
      <w:bookmarkStart w:id="43" w:name="_Toc152042290"/>
      <w:bookmarkStart w:id="44" w:name="_Toc144974482"/>
      <w:bookmarkStart w:id="45" w:name="_Toc238797534"/>
      <w:bookmarkStart w:id="46" w:name="_Toc238552179"/>
      <w:bookmarkStart w:id="47" w:name="_Toc258507992"/>
      <w:bookmarkStart w:id="48" w:name="_Toc365123614"/>
      <w:bookmarkStart w:id="49" w:name="_Toc152045514"/>
      <w:r>
        <w:rPr>
          <w:rFonts w:ascii="宋体" w:hAnsi="宋体" w:cs="宋体"/>
          <w:szCs w:val="21"/>
        </w:rPr>
        <w:t>2.1</w:t>
      </w:r>
      <w:r>
        <w:rPr>
          <w:rFonts w:hint="eastAsia" w:ascii="宋体" w:hAnsi="宋体" w:cs="宋体"/>
          <w:szCs w:val="21"/>
        </w:rPr>
        <w:t>项目概况：</w:t>
      </w:r>
    </w:p>
    <w:tbl>
      <w:tblPr>
        <w:tblStyle w:val="19"/>
        <w:tblW w:w="86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1417"/>
        <w:gridCol w:w="1701"/>
        <w:gridCol w:w="1559"/>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6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heme="minorEastAsia" w:hAnsiTheme="minorEastAsia" w:eastAsiaTheme="minorEastAsia"/>
                <w:spacing w:val="-3"/>
                <w:szCs w:val="21"/>
              </w:rPr>
            </w:pPr>
            <w:r>
              <w:rPr>
                <w:rFonts w:hint="eastAsia" w:asciiTheme="minorEastAsia" w:hAnsiTheme="minorEastAsia" w:eastAsiaTheme="minorEastAsia"/>
                <w:spacing w:val="-3"/>
                <w:szCs w:val="21"/>
              </w:rPr>
              <w:t>设备名称</w:t>
            </w:r>
          </w:p>
        </w:tc>
        <w:tc>
          <w:tcPr>
            <w:tcW w:w="141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heme="minorEastAsia" w:hAnsiTheme="minorEastAsia" w:eastAsiaTheme="minorEastAsia"/>
                <w:spacing w:val="-3"/>
                <w:szCs w:val="21"/>
              </w:rPr>
            </w:pPr>
            <w:r>
              <w:rPr>
                <w:rFonts w:hint="eastAsia" w:asciiTheme="minorEastAsia" w:hAnsiTheme="minorEastAsia" w:eastAsiaTheme="minorEastAsia"/>
                <w:spacing w:val="-3"/>
                <w:szCs w:val="21"/>
              </w:rPr>
              <w:t>投资金额（万元）</w:t>
            </w:r>
          </w:p>
        </w:tc>
        <w:tc>
          <w:tcPr>
            <w:tcW w:w="17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heme="minorEastAsia" w:hAnsiTheme="minorEastAsia" w:eastAsiaTheme="minorEastAsia"/>
                <w:spacing w:val="-3"/>
                <w:szCs w:val="21"/>
              </w:rPr>
            </w:pPr>
            <w:r>
              <w:rPr>
                <w:rFonts w:hint="eastAsia" w:asciiTheme="minorEastAsia" w:hAnsiTheme="minorEastAsia" w:eastAsiaTheme="minorEastAsia"/>
                <w:spacing w:val="-3"/>
                <w:szCs w:val="21"/>
              </w:rPr>
              <w:t>技术规格</w:t>
            </w:r>
          </w:p>
        </w:tc>
        <w:tc>
          <w:tcPr>
            <w:tcW w:w="1559"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heme="minorEastAsia" w:hAnsiTheme="minorEastAsia" w:eastAsiaTheme="minorEastAsia"/>
                <w:spacing w:val="-3"/>
                <w:szCs w:val="21"/>
              </w:rPr>
            </w:pPr>
            <w:r>
              <w:rPr>
                <w:rFonts w:hint="eastAsia" w:asciiTheme="minorEastAsia" w:hAnsiTheme="minorEastAsia" w:eastAsiaTheme="minorEastAsia"/>
                <w:spacing w:val="-3"/>
                <w:szCs w:val="21"/>
              </w:rPr>
              <w:t>交货地点</w:t>
            </w:r>
          </w:p>
        </w:tc>
        <w:tc>
          <w:tcPr>
            <w:tcW w:w="236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heme="minorEastAsia" w:hAnsiTheme="minorEastAsia" w:eastAsiaTheme="minorEastAsia"/>
                <w:spacing w:val="-3"/>
                <w:szCs w:val="21"/>
              </w:rPr>
            </w:pPr>
            <w:r>
              <w:rPr>
                <w:rFonts w:hint="eastAsia" w:asciiTheme="minorEastAsia" w:hAnsiTheme="minorEastAsia" w:eastAsiaTheme="minorEastAsia"/>
                <w:spacing w:val="-3"/>
                <w:szCs w:val="21"/>
              </w:rPr>
              <w:t>交货期（含安装）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156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heme="minorEastAsia" w:hAnsiTheme="minorEastAsia" w:eastAsiaTheme="minorEastAsia"/>
                <w:spacing w:val="-3"/>
                <w:szCs w:val="21"/>
              </w:rPr>
            </w:pPr>
            <w:r>
              <w:rPr>
                <w:rFonts w:hint="eastAsia" w:asciiTheme="minorEastAsia" w:hAnsiTheme="minorEastAsia" w:eastAsiaTheme="minorEastAsia"/>
                <w:spacing w:val="-3"/>
                <w:szCs w:val="21"/>
              </w:rPr>
              <w:t>静音型柴油发电机</w:t>
            </w:r>
          </w:p>
        </w:tc>
        <w:tc>
          <w:tcPr>
            <w:tcW w:w="141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heme="minorEastAsia" w:hAnsiTheme="minorEastAsia" w:eastAsiaTheme="minorEastAsia"/>
                <w:spacing w:val="-3"/>
                <w:szCs w:val="21"/>
              </w:rPr>
            </w:pPr>
            <w:r>
              <w:rPr>
                <w:rFonts w:hint="eastAsia" w:asciiTheme="minorEastAsia" w:hAnsiTheme="minorEastAsia" w:eastAsiaTheme="minorEastAsia"/>
                <w:spacing w:val="-3"/>
                <w:szCs w:val="21"/>
              </w:rPr>
              <w:t>90</w:t>
            </w:r>
          </w:p>
        </w:tc>
        <w:tc>
          <w:tcPr>
            <w:tcW w:w="17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heme="minorEastAsia" w:hAnsiTheme="minorEastAsia" w:eastAsiaTheme="minorEastAsia"/>
                <w:spacing w:val="-3"/>
                <w:szCs w:val="21"/>
              </w:rPr>
            </w:pPr>
            <w:r>
              <w:rPr>
                <w:rFonts w:hint="eastAsia" w:asciiTheme="minorEastAsia" w:hAnsiTheme="minorEastAsia" w:eastAsiaTheme="minorEastAsia"/>
                <w:spacing w:val="-3"/>
                <w:szCs w:val="21"/>
              </w:rPr>
              <w:t xml:space="preserve">详见第五章 </w:t>
            </w:r>
          </w:p>
          <w:p>
            <w:pPr>
              <w:spacing w:line="400" w:lineRule="exact"/>
              <w:jc w:val="center"/>
              <w:rPr>
                <w:rFonts w:asciiTheme="minorEastAsia" w:hAnsiTheme="minorEastAsia" w:eastAsiaTheme="minorEastAsia"/>
                <w:spacing w:val="-3"/>
                <w:szCs w:val="21"/>
              </w:rPr>
            </w:pPr>
            <w:r>
              <w:rPr>
                <w:rFonts w:hint="eastAsia" w:asciiTheme="minorEastAsia" w:hAnsiTheme="minorEastAsia" w:eastAsiaTheme="minorEastAsia"/>
                <w:spacing w:val="-3"/>
                <w:szCs w:val="21"/>
              </w:rPr>
              <w:t>技术标准</w:t>
            </w:r>
          </w:p>
        </w:tc>
        <w:tc>
          <w:tcPr>
            <w:tcW w:w="1559"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heme="minorEastAsia" w:hAnsiTheme="minorEastAsia" w:eastAsiaTheme="minorEastAsia"/>
                <w:spacing w:val="-3"/>
                <w:szCs w:val="21"/>
              </w:rPr>
            </w:pPr>
            <w:r>
              <w:rPr>
                <w:rFonts w:hint="eastAsia" w:asciiTheme="minorEastAsia" w:hAnsiTheme="minorEastAsia" w:eastAsiaTheme="minorEastAsia"/>
                <w:spacing w:val="-3"/>
                <w:szCs w:val="21"/>
              </w:rPr>
              <w:t>南岸区茶园新城区江南医院</w:t>
            </w:r>
          </w:p>
        </w:tc>
        <w:tc>
          <w:tcPr>
            <w:tcW w:w="236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heme="minorEastAsia" w:hAnsiTheme="minorEastAsia" w:eastAsiaTheme="minorEastAsia"/>
                <w:spacing w:val="-3"/>
                <w:szCs w:val="21"/>
              </w:rPr>
            </w:pPr>
            <w:r>
              <w:rPr>
                <w:rFonts w:hint="eastAsia" w:asciiTheme="minorEastAsia" w:hAnsiTheme="minorEastAsia" w:eastAsiaTheme="minorEastAsia"/>
                <w:spacing w:val="-3"/>
                <w:szCs w:val="21"/>
              </w:rPr>
              <w:t>20天</w:t>
            </w:r>
          </w:p>
        </w:tc>
      </w:tr>
    </w:tbl>
    <w:p>
      <w:pPr>
        <w:pStyle w:val="27"/>
        <w:spacing w:line="410" w:lineRule="exact"/>
        <w:ind w:firstLine="420" w:firstLineChars="200"/>
        <w:outlineLvl w:val="2"/>
        <w:rPr>
          <w:rFonts w:ascii="宋体" w:hAnsi="宋体" w:eastAsia="宋体"/>
          <w:kern w:val="2"/>
          <w:sz w:val="21"/>
          <w:szCs w:val="21"/>
        </w:rPr>
      </w:pPr>
      <w:bookmarkStart w:id="50" w:name="_Toc24652"/>
      <w:bookmarkStart w:id="51" w:name="_Toc4823"/>
      <w:bookmarkStart w:id="52" w:name="_Toc10424"/>
      <w:bookmarkStart w:id="53" w:name="_Toc416768971"/>
      <w:bookmarkStart w:id="54" w:name="_Toc16567"/>
      <w:r>
        <w:rPr>
          <w:rFonts w:hint="eastAsia" w:ascii="宋体" w:hAnsi="宋体" w:eastAsia="宋体"/>
          <w:kern w:val="2"/>
          <w:sz w:val="21"/>
          <w:szCs w:val="21"/>
        </w:rPr>
        <w:t>2.2比选内容：包括（但不限于）设备的制造、装卸运输（含现场二次转运）、安装、调试、试运行直至正常使用,以及比选文件要求的售后服务。</w:t>
      </w:r>
      <w:bookmarkEnd w:id="50"/>
    </w:p>
    <w:p>
      <w:pPr>
        <w:pStyle w:val="27"/>
        <w:spacing w:line="410" w:lineRule="exact"/>
        <w:ind w:firstLine="420" w:firstLineChars="200"/>
        <w:outlineLvl w:val="2"/>
        <w:rPr>
          <w:rFonts w:ascii="宋体" w:hAnsi="宋体"/>
          <w:szCs w:val="21"/>
        </w:rPr>
      </w:pPr>
      <w:bookmarkStart w:id="55" w:name="_Toc10889"/>
      <w:r>
        <w:rPr>
          <w:rFonts w:hint="eastAsia" w:ascii="宋体" w:hAnsi="宋体" w:eastAsia="宋体"/>
          <w:kern w:val="2"/>
          <w:sz w:val="21"/>
          <w:szCs w:val="21"/>
        </w:rPr>
        <w:t>2.3工程地点：重庆医科大学附属第二医院江南医院建设地点（南岸区茶园新城区B区规划位置）。</w:t>
      </w:r>
      <w:bookmarkEnd w:id="55"/>
    </w:p>
    <w:p>
      <w:pPr>
        <w:pStyle w:val="27"/>
        <w:spacing w:line="410" w:lineRule="exact"/>
        <w:outlineLvl w:val="2"/>
        <w:rPr>
          <w:rFonts w:ascii="宋体" w:eastAsia="宋体"/>
          <w:szCs w:val="21"/>
        </w:rPr>
      </w:pPr>
      <w:bookmarkStart w:id="56" w:name="_Toc32536"/>
      <w:r>
        <w:rPr>
          <w:rFonts w:hint="eastAsia" w:ascii="宋体" w:hAnsi="宋体" w:eastAsia="宋体" w:cs="Arial"/>
          <w:b/>
          <w:kern w:val="2"/>
          <w:sz w:val="24"/>
          <w:szCs w:val="24"/>
        </w:rPr>
        <w:t>3. 竞选人资格要求</w:t>
      </w:r>
      <w:bookmarkEnd w:id="43"/>
      <w:bookmarkEnd w:id="44"/>
      <w:bookmarkEnd w:id="45"/>
      <w:bookmarkEnd w:id="46"/>
      <w:bookmarkEnd w:id="47"/>
      <w:bookmarkEnd w:id="48"/>
      <w:bookmarkEnd w:id="49"/>
      <w:bookmarkEnd w:id="51"/>
      <w:bookmarkEnd w:id="52"/>
      <w:bookmarkEnd w:id="53"/>
      <w:bookmarkEnd w:id="54"/>
      <w:bookmarkEnd w:id="56"/>
    </w:p>
    <w:p>
      <w:pPr>
        <w:spacing w:line="410" w:lineRule="exact"/>
        <w:ind w:firstLine="420" w:firstLineChars="200"/>
        <w:rPr>
          <w:rFonts w:ascii="宋体" w:cs="宋体"/>
          <w:szCs w:val="21"/>
        </w:rPr>
      </w:pPr>
      <w:r>
        <w:rPr>
          <w:rFonts w:hint="eastAsia" w:ascii="宋体" w:hAnsi="宋体" w:cs="宋体"/>
          <w:szCs w:val="21"/>
        </w:rPr>
        <w:t>竞选人为中华人民共和国境内依法注册、具有独立法人资格，</w:t>
      </w:r>
      <w:r>
        <w:rPr>
          <w:rFonts w:hint="eastAsia" w:ascii="宋体" w:hAnsi="宋体"/>
        </w:rPr>
        <w:t>生产或供应本项目所需材料的生产商或代理商均可参加竞选</w:t>
      </w:r>
      <w:r>
        <w:rPr>
          <w:rFonts w:hint="eastAsia" w:ascii="宋体" w:hAnsi="宋体" w:cs="宋体"/>
          <w:szCs w:val="21"/>
        </w:rPr>
        <w:t>。</w:t>
      </w:r>
    </w:p>
    <w:p>
      <w:pPr>
        <w:adjustRightInd w:val="0"/>
        <w:spacing w:line="400" w:lineRule="exact"/>
        <w:rPr>
          <w:rFonts w:ascii="宋体" w:cs="Arial"/>
          <w:b/>
          <w:sz w:val="24"/>
        </w:rPr>
      </w:pPr>
      <w:bookmarkStart w:id="57" w:name="_Toc365123619"/>
      <w:bookmarkStart w:id="58" w:name="_Toc152042293"/>
      <w:bookmarkStart w:id="59" w:name="_Toc144974485"/>
      <w:bookmarkStart w:id="60" w:name="_Toc258507997"/>
      <w:bookmarkStart w:id="61" w:name="_Toc238552183"/>
      <w:bookmarkStart w:id="62" w:name="_Toc152045517"/>
      <w:bookmarkStart w:id="63" w:name="_Toc238797538"/>
      <w:r>
        <w:rPr>
          <w:rFonts w:ascii="宋体" w:hAnsi="宋体" w:cs="Arial"/>
          <w:b/>
          <w:sz w:val="24"/>
        </w:rPr>
        <w:t xml:space="preserve">4. </w:t>
      </w:r>
      <w:r>
        <w:rPr>
          <w:rFonts w:hint="eastAsia" w:ascii="宋体" w:hAnsi="宋体" w:cs="Arial"/>
          <w:b/>
          <w:sz w:val="24"/>
        </w:rPr>
        <w:t>比选文件的获取</w:t>
      </w:r>
    </w:p>
    <w:p>
      <w:pPr>
        <w:spacing w:line="410" w:lineRule="exact"/>
        <w:ind w:firstLine="420" w:firstLineChars="200"/>
        <w:rPr>
          <w:rFonts w:ascii="宋体" w:hAnsi="宋体" w:cs="宋体"/>
          <w:szCs w:val="21"/>
        </w:rPr>
      </w:pPr>
      <w:bookmarkStart w:id="64" w:name="_Toc200359242"/>
      <w:bookmarkStart w:id="65" w:name="_Toc200359431"/>
      <w:bookmarkStart w:id="66" w:name="_Toc224103303"/>
      <w:r>
        <w:rPr>
          <w:rFonts w:hint="eastAsia" w:ascii="宋体" w:hAnsi="宋体" w:cs="宋体"/>
          <w:szCs w:val="21"/>
        </w:rPr>
        <w:t>4.1 请于2018年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7</w:t>
      </w:r>
      <w:r>
        <w:rPr>
          <w:rFonts w:hint="eastAsia" w:ascii="宋体" w:hAnsi="宋体" w:cs="宋体"/>
          <w:szCs w:val="21"/>
        </w:rPr>
        <w:t>日至2018年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9</w:t>
      </w:r>
      <w:r>
        <w:rPr>
          <w:rFonts w:hint="eastAsia" w:ascii="宋体" w:hAnsi="宋体" w:cs="宋体"/>
          <w:szCs w:val="21"/>
        </w:rPr>
        <w:t>日（法定公休日、法定节假日除外，上午9:00至12:00，下午14:00至17:00），在重庆驰久卓越工程管理有限公司持企业营业执照副本复印件、单位介绍信、本人身份证原件购买竞争比选文件。</w:t>
      </w:r>
    </w:p>
    <w:p>
      <w:pPr>
        <w:spacing w:line="410" w:lineRule="exact"/>
        <w:ind w:firstLine="420" w:firstLineChars="200"/>
        <w:rPr>
          <w:rFonts w:ascii="宋体" w:hAnsi="宋体" w:cs="宋体"/>
          <w:szCs w:val="21"/>
        </w:rPr>
      </w:pPr>
      <w:r>
        <w:rPr>
          <w:rFonts w:hint="eastAsia" w:ascii="宋体" w:hAnsi="宋体" w:cs="宋体"/>
          <w:szCs w:val="21"/>
        </w:rPr>
        <w:t>购买比选文件的单位名称必须与竞标人名称相同，只有按上述规定报名并交纳标书费后，才具备竞标资格。</w:t>
      </w:r>
    </w:p>
    <w:p>
      <w:pPr>
        <w:spacing w:line="410" w:lineRule="exact"/>
        <w:ind w:firstLine="420" w:firstLineChars="200"/>
        <w:rPr>
          <w:rFonts w:ascii="宋体" w:hAnsi="宋体" w:cs="宋体"/>
          <w:szCs w:val="21"/>
        </w:rPr>
      </w:pPr>
      <w:r>
        <w:rPr>
          <w:rFonts w:hint="eastAsia" w:ascii="宋体" w:hAnsi="宋体" w:cs="宋体"/>
          <w:szCs w:val="21"/>
        </w:rPr>
        <w:t>4.2 竞选人在递交竞选文件时，向比选代理机构缴纳比选文件费300元/本，售后不退。</w:t>
      </w:r>
    </w:p>
    <w:p>
      <w:pPr>
        <w:spacing w:line="410" w:lineRule="exact"/>
        <w:ind w:firstLine="420" w:firstLineChars="200"/>
        <w:rPr>
          <w:rFonts w:ascii="宋体" w:hAnsi="宋体" w:cs="宋体"/>
          <w:szCs w:val="21"/>
        </w:rPr>
      </w:pPr>
      <w:r>
        <w:rPr>
          <w:rFonts w:hint="eastAsia" w:ascii="宋体" w:hAnsi="宋体" w:cs="宋体"/>
          <w:szCs w:val="21"/>
        </w:rPr>
        <w:t>4.3 竞选人应仔细阅读和检查比选文件的全部内容。如发现缺页或附件不全，应及时提出，以便补齐。如有疑问，请在2018年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9</w:t>
      </w:r>
      <w:r>
        <w:rPr>
          <w:rFonts w:hint="eastAsia" w:ascii="宋体" w:hAnsi="宋体" w:cs="宋体"/>
          <w:szCs w:val="21"/>
        </w:rPr>
        <w:t>日17：00前向比选人或比选代理机构提出，超过此时间规定，比选人不再受理竞选疑问。</w:t>
      </w:r>
    </w:p>
    <w:p>
      <w:pPr>
        <w:adjustRightInd w:val="0"/>
        <w:spacing w:line="400" w:lineRule="exact"/>
        <w:rPr>
          <w:rFonts w:ascii="宋体" w:cs="Arial"/>
          <w:b/>
          <w:sz w:val="24"/>
        </w:rPr>
      </w:pPr>
      <w:r>
        <w:rPr>
          <w:rFonts w:ascii="宋体" w:hAnsi="宋体" w:cs="Arial"/>
          <w:b/>
          <w:sz w:val="24"/>
        </w:rPr>
        <w:t xml:space="preserve">5. </w:t>
      </w:r>
      <w:bookmarkEnd w:id="64"/>
      <w:bookmarkEnd w:id="65"/>
      <w:bookmarkEnd w:id="66"/>
      <w:r>
        <w:rPr>
          <w:rFonts w:hint="eastAsia" w:ascii="宋体" w:hAnsi="宋体" w:cs="Arial"/>
          <w:b/>
          <w:sz w:val="24"/>
        </w:rPr>
        <w:t>竞选截止时间及地点和开标时间及地点</w:t>
      </w:r>
    </w:p>
    <w:p>
      <w:pPr>
        <w:adjustRightInd w:val="0"/>
        <w:spacing w:line="400" w:lineRule="exact"/>
        <w:ind w:firstLine="495" w:firstLineChars="236"/>
        <w:rPr>
          <w:rFonts w:ascii="宋体" w:cs="Arial"/>
          <w:szCs w:val="21"/>
        </w:rPr>
      </w:pPr>
      <w:r>
        <w:rPr>
          <w:rFonts w:ascii="宋体" w:hAnsi="宋体" w:cs="Arial"/>
          <w:szCs w:val="21"/>
        </w:rPr>
        <w:t>5.1</w:t>
      </w:r>
      <w:r>
        <w:rPr>
          <w:rFonts w:hint="eastAsia" w:ascii="宋体" w:hAnsi="宋体" w:cs="Arial"/>
          <w:szCs w:val="21"/>
        </w:rPr>
        <w:t>竞选截止时间和开标时间：</w:t>
      </w:r>
      <w:r>
        <w:rPr>
          <w:rFonts w:ascii="宋体" w:hAnsi="宋体" w:cs="Arial"/>
          <w:szCs w:val="21"/>
          <w:u w:val="single"/>
        </w:rPr>
        <w:t>201</w:t>
      </w:r>
      <w:r>
        <w:rPr>
          <w:rFonts w:hint="eastAsia" w:ascii="宋体" w:hAnsi="宋体" w:cs="Arial"/>
          <w:szCs w:val="21"/>
          <w:u w:val="single"/>
        </w:rPr>
        <w:t>8</w:t>
      </w:r>
      <w:r>
        <w:rPr>
          <w:rFonts w:hint="eastAsia" w:ascii="宋体" w:hAnsi="宋体" w:cs="Arial"/>
          <w:szCs w:val="21"/>
        </w:rPr>
        <w:t>年</w:t>
      </w:r>
      <w:r>
        <w:rPr>
          <w:rFonts w:hint="eastAsia" w:ascii="宋体" w:hAnsi="宋体" w:cs="Arial"/>
          <w:szCs w:val="21"/>
          <w:lang w:val="en-US" w:eastAsia="zh-CN"/>
        </w:rPr>
        <w:t>11</w:t>
      </w:r>
      <w:r>
        <w:rPr>
          <w:rFonts w:hint="eastAsia" w:ascii="宋体" w:hAnsi="宋体" w:cs="Arial"/>
          <w:szCs w:val="21"/>
        </w:rPr>
        <w:t>月</w:t>
      </w:r>
      <w:r>
        <w:rPr>
          <w:rFonts w:hint="eastAsia" w:ascii="宋体" w:hAnsi="宋体" w:cs="Arial"/>
          <w:szCs w:val="21"/>
          <w:lang w:val="en-US" w:eastAsia="zh-CN"/>
        </w:rPr>
        <w:t>15</w:t>
      </w:r>
      <w:r>
        <w:rPr>
          <w:rFonts w:hint="eastAsia" w:ascii="宋体" w:hAnsi="宋体" w:cs="Arial"/>
          <w:szCs w:val="21"/>
        </w:rPr>
        <w:t>日</w:t>
      </w:r>
      <w:r>
        <w:rPr>
          <w:rFonts w:ascii="宋体" w:hAnsi="宋体" w:cs="Arial"/>
          <w:szCs w:val="21"/>
          <w:u w:val="single"/>
        </w:rPr>
        <w:t xml:space="preserve"> 10 </w:t>
      </w:r>
      <w:r>
        <w:rPr>
          <w:rFonts w:hint="eastAsia" w:ascii="宋体" w:hAnsi="宋体" w:cs="Arial"/>
          <w:szCs w:val="21"/>
        </w:rPr>
        <w:t>时</w:t>
      </w:r>
      <w:r>
        <w:rPr>
          <w:rFonts w:ascii="宋体" w:hAnsi="宋体" w:cs="Arial"/>
          <w:szCs w:val="21"/>
          <w:u w:val="single"/>
        </w:rPr>
        <w:t xml:space="preserve"> 00 </w:t>
      </w:r>
      <w:r>
        <w:rPr>
          <w:rFonts w:hint="eastAsia" w:ascii="宋体" w:hAnsi="宋体" w:cs="Arial"/>
          <w:szCs w:val="21"/>
        </w:rPr>
        <w:t>分（北京时间）。</w:t>
      </w:r>
    </w:p>
    <w:p>
      <w:pPr>
        <w:adjustRightInd w:val="0"/>
        <w:spacing w:line="400" w:lineRule="exact"/>
        <w:ind w:firstLine="495" w:firstLineChars="236"/>
        <w:rPr>
          <w:rFonts w:ascii="宋体" w:cs="Arial"/>
          <w:szCs w:val="21"/>
        </w:rPr>
      </w:pPr>
      <w:r>
        <w:rPr>
          <w:rFonts w:ascii="宋体" w:hAnsi="宋体" w:cs="Arial"/>
          <w:szCs w:val="21"/>
        </w:rPr>
        <w:t>5.2</w:t>
      </w:r>
      <w:r>
        <w:rPr>
          <w:rFonts w:hint="eastAsia" w:ascii="宋体" w:hAnsi="宋体" w:cs="Arial"/>
          <w:szCs w:val="21"/>
        </w:rPr>
        <w:t>竞选地点和开标地点：重庆医科大学附属第二医院综合楼17楼会议室。</w:t>
      </w:r>
    </w:p>
    <w:p>
      <w:pPr>
        <w:adjustRightInd w:val="0"/>
        <w:spacing w:line="400" w:lineRule="exact"/>
        <w:ind w:firstLine="495" w:firstLineChars="236"/>
        <w:rPr>
          <w:rFonts w:ascii="宋体" w:cs="Arial"/>
          <w:szCs w:val="21"/>
        </w:rPr>
      </w:pPr>
      <w:bookmarkStart w:id="67" w:name="_Toc200359432"/>
      <w:bookmarkStart w:id="68" w:name="_Toc224103304"/>
      <w:bookmarkStart w:id="69" w:name="_Toc200359243"/>
      <w:r>
        <w:rPr>
          <w:rFonts w:ascii="宋体" w:hAnsi="宋体" w:cs="Arial"/>
          <w:szCs w:val="21"/>
        </w:rPr>
        <w:t>5.3</w:t>
      </w:r>
      <w:r>
        <w:rPr>
          <w:rFonts w:hint="eastAsia" w:ascii="宋体" w:hAnsi="宋体" w:cs="Arial"/>
          <w:szCs w:val="21"/>
        </w:rPr>
        <w:t>逾期送达，或未送达本比选文件指定地点，或未按本比选文件要求密封的，比选人不予受理。</w:t>
      </w:r>
    </w:p>
    <w:p>
      <w:pPr>
        <w:adjustRightInd w:val="0"/>
        <w:spacing w:line="400" w:lineRule="exact"/>
        <w:rPr>
          <w:rFonts w:ascii="宋体" w:cs="Arial"/>
          <w:b/>
          <w:sz w:val="24"/>
        </w:rPr>
      </w:pPr>
      <w:r>
        <w:rPr>
          <w:rFonts w:ascii="宋体" w:hAnsi="宋体" w:cs="Arial"/>
          <w:b/>
          <w:sz w:val="24"/>
        </w:rPr>
        <w:t xml:space="preserve">6. </w:t>
      </w:r>
      <w:r>
        <w:rPr>
          <w:rFonts w:hint="eastAsia" w:ascii="宋体" w:hAnsi="宋体" w:cs="Arial"/>
          <w:b/>
          <w:sz w:val="24"/>
        </w:rPr>
        <w:t>发布公告的媒介</w:t>
      </w:r>
      <w:bookmarkEnd w:id="67"/>
      <w:bookmarkEnd w:id="68"/>
      <w:bookmarkEnd w:id="69"/>
    </w:p>
    <w:p>
      <w:pPr>
        <w:adjustRightInd w:val="0"/>
        <w:spacing w:line="400" w:lineRule="exact"/>
        <w:ind w:firstLine="495" w:firstLineChars="236"/>
        <w:rPr>
          <w:rFonts w:ascii="宋体" w:cs="宋体"/>
          <w:szCs w:val="21"/>
        </w:rPr>
      </w:pPr>
      <w:r>
        <w:rPr>
          <w:rFonts w:hint="eastAsia" w:ascii="宋体" w:hAnsi="宋体" w:cs="Arial"/>
          <w:szCs w:val="21"/>
        </w:rPr>
        <w:t>本次比选公告在重庆医科大学附属第二医院网站上发布。</w:t>
      </w:r>
    </w:p>
    <w:p>
      <w:pPr>
        <w:spacing w:line="410" w:lineRule="exact"/>
        <w:rPr>
          <w:rFonts w:ascii="宋体" w:cs="宋体"/>
          <w:szCs w:val="21"/>
        </w:rPr>
      </w:pPr>
      <w:r>
        <w:rPr>
          <w:rFonts w:ascii="宋体" w:hAnsi="宋体"/>
          <w:b/>
          <w:sz w:val="28"/>
          <w:szCs w:val="28"/>
        </w:rPr>
        <w:t xml:space="preserve">7. </w:t>
      </w:r>
      <w:r>
        <w:rPr>
          <w:rFonts w:hint="eastAsia" w:ascii="宋体" w:hAnsi="宋体"/>
          <w:b/>
          <w:sz w:val="28"/>
          <w:szCs w:val="28"/>
        </w:rPr>
        <w:t>联系方式</w:t>
      </w:r>
      <w:bookmarkEnd w:id="57"/>
      <w:bookmarkEnd w:id="58"/>
      <w:bookmarkEnd w:id="59"/>
      <w:bookmarkEnd w:id="60"/>
      <w:bookmarkEnd w:id="61"/>
      <w:bookmarkEnd w:id="62"/>
      <w:bookmarkEnd w:id="63"/>
    </w:p>
    <w:tbl>
      <w:tblPr>
        <w:tblStyle w:val="18"/>
        <w:tblW w:w="9752" w:type="dxa"/>
        <w:tblInd w:w="0" w:type="dxa"/>
        <w:tblLayout w:type="fixed"/>
        <w:tblCellMar>
          <w:top w:w="0" w:type="dxa"/>
          <w:left w:w="108" w:type="dxa"/>
          <w:bottom w:w="0" w:type="dxa"/>
          <w:right w:w="108" w:type="dxa"/>
        </w:tblCellMar>
      </w:tblPr>
      <w:tblGrid>
        <w:gridCol w:w="4817"/>
        <w:gridCol w:w="4935"/>
      </w:tblGrid>
      <w:tr>
        <w:tblPrEx>
          <w:tblLayout w:type="fixed"/>
          <w:tblCellMar>
            <w:top w:w="0" w:type="dxa"/>
            <w:left w:w="108" w:type="dxa"/>
            <w:bottom w:w="0" w:type="dxa"/>
            <w:right w:w="108" w:type="dxa"/>
          </w:tblCellMar>
        </w:tblPrEx>
        <w:tc>
          <w:tcPr>
            <w:tcW w:w="4817" w:type="dxa"/>
          </w:tcPr>
          <w:p>
            <w:pPr>
              <w:spacing w:line="410" w:lineRule="exact"/>
              <w:rPr>
                <w:rFonts w:ascii="宋体" w:cs="宋体"/>
                <w:szCs w:val="21"/>
              </w:rPr>
            </w:pPr>
            <w:r>
              <w:rPr>
                <w:rFonts w:hint="eastAsia" w:ascii="宋体" w:hAnsi="宋体" w:cs="宋体"/>
                <w:szCs w:val="21"/>
              </w:rPr>
              <w:t>比选人：重庆医科大学附属第二医院</w:t>
            </w:r>
          </w:p>
          <w:p>
            <w:pPr>
              <w:spacing w:line="410" w:lineRule="exact"/>
              <w:rPr>
                <w:rFonts w:ascii="宋体" w:cs="宋体"/>
                <w:szCs w:val="21"/>
              </w:rPr>
            </w:pPr>
            <w:r>
              <w:rPr>
                <w:rFonts w:hint="eastAsia" w:ascii="宋体" w:hAnsi="宋体" w:cs="宋体"/>
                <w:szCs w:val="21"/>
              </w:rPr>
              <w:t>地址：重庆市临江路</w:t>
            </w:r>
            <w:r>
              <w:rPr>
                <w:rFonts w:ascii="宋体" w:hAnsi="宋体" w:cs="宋体"/>
                <w:szCs w:val="21"/>
              </w:rPr>
              <w:t>74</w:t>
            </w:r>
            <w:r>
              <w:rPr>
                <w:rFonts w:hint="eastAsia" w:ascii="宋体" w:hAnsi="宋体" w:cs="宋体"/>
                <w:szCs w:val="21"/>
              </w:rPr>
              <w:t>号</w:t>
            </w:r>
          </w:p>
          <w:p>
            <w:pPr>
              <w:spacing w:line="410" w:lineRule="exact"/>
              <w:rPr>
                <w:rFonts w:ascii="宋体" w:cs="宋体"/>
                <w:szCs w:val="21"/>
              </w:rPr>
            </w:pPr>
            <w:r>
              <w:rPr>
                <w:rFonts w:hint="eastAsia" w:ascii="宋体" w:hAnsi="宋体" w:cs="宋体"/>
                <w:szCs w:val="21"/>
              </w:rPr>
              <w:t>联系人：尹女士</w:t>
            </w:r>
          </w:p>
          <w:p>
            <w:pPr>
              <w:spacing w:line="410" w:lineRule="exact"/>
              <w:rPr>
                <w:rFonts w:ascii="宋体" w:cs="宋体"/>
                <w:szCs w:val="21"/>
              </w:rPr>
            </w:pPr>
            <w:r>
              <w:rPr>
                <w:rFonts w:hint="eastAsia" w:ascii="宋体" w:hAnsi="宋体" w:cs="宋体"/>
                <w:szCs w:val="21"/>
              </w:rPr>
              <w:t>电话：</w:t>
            </w:r>
            <w:r>
              <w:rPr>
                <w:rFonts w:ascii="宋体" w:hAnsi="宋体" w:cs="宋体"/>
                <w:szCs w:val="21"/>
              </w:rPr>
              <w:t>023-63693319</w:t>
            </w:r>
          </w:p>
          <w:p>
            <w:pPr>
              <w:spacing w:line="410" w:lineRule="exact"/>
              <w:rPr>
                <w:rFonts w:ascii="宋体" w:cs="宋体"/>
                <w:szCs w:val="21"/>
              </w:rPr>
            </w:pPr>
          </w:p>
          <w:p>
            <w:pPr>
              <w:spacing w:line="410" w:lineRule="exact"/>
              <w:rPr>
                <w:rFonts w:ascii="宋体" w:cs="宋体"/>
                <w:szCs w:val="21"/>
              </w:rPr>
            </w:pPr>
          </w:p>
        </w:tc>
        <w:tc>
          <w:tcPr>
            <w:tcW w:w="4935" w:type="dxa"/>
          </w:tcPr>
          <w:p>
            <w:pPr>
              <w:spacing w:line="410" w:lineRule="exact"/>
              <w:rPr>
                <w:rFonts w:ascii="宋体" w:cs="宋体"/>
                <w:szCs w:val="21"/>
              </w:rPr>
            </w:pPr>
            <w:r>
              <w:rPr>
                <w:rFonts w:hint="eastAsia" w:ascii="宋体" w:hAnsi="宋体" w:cs="宋体"/>
                <w:szCs w:val="21"/>
              </w:rPr>
              <w:t>比选代理机构：重庆驰久卓越工程管理有限公司</w:t>
            </w:r>
          </w:p>
          <w:p>
            <w:pPr>
              <w:spacing w:line="410" w:lineRule="exact"/>
              <w:rPr>
                <w:rFonts w:ascii="宋体" w:cs="宋体"/>
                <w:szCs w:val="21"/>
              </w:rPr>
            </w:pPr>
            <w:r>
              <w:rPr>
                <w:rFonts w:hint="eastAsia" w:ascii="宋体" w:hAnsi="宋体" w:cs="宋体"/>
                <w:szCs w:val="21"/>
              </w:rPr>
              <w:t>地址：重庆市渝北区红金街</w:t>
            </w:r>
            <w:r>
              <w:rPr>
                <w:rFonts w:ascii="宋体" w:hAnsi="宋体" w:cs="宋体"/>
                <w:szCs w:val="21"/>
              </w:rPr>
              <w:t>9</w:t>
            </w:r>
            <w:r>
              <w:rPr>
                <w:rFonts w:hint="eastAsia" w:ascii="宋体" w:hAnsi="宋体" w:cs="宋体"/>
                <w:szCs w:val="21"/>
              </w:rPr>
              <w:t>号银泰大厦</w:t>
            </w:r>
            <w:r>
              <w:rPr>
                <w:rFonts w:ascii="宋体" w:hAnsi="宋体" w:cs="宋体"/>
                <w:szCs w:val="21"/>
              </w:rPr>
              <w:t>18</w:t>
            </w:r>
            <w:r>
              <w:rPr>
                <w:rFonts w:hint="eastAsia" w:ascii="宋体" w:hAnsi="宋体" w:cs="宋体"/>
                <w:szCs w:val="21"/>
              </w:rPr>
              <w:t>楼</w:t>
            </w:r>
          </w:p>
          <w:p>
            <w:pPr>
              <w:spacing w:line="410" w:lineRule="exact"/>
              <w:rPr>
                <w:rFonts w:ascii="宋体" w:cs="宋体"/>
                <w:szCs w:val="21"/>
              </w:rPr>
            </w:pPr>
            <w:r>
              <w:rPr>
                <w:rFonts w:hint="eastAsia" w:ascii="宋体" w:hAnsi="宋体" w:cs="宋体"/>
                <w:szCs w:val="21"/>
              </w:rPr>
              <w:t>联系人：周先生</w:t>
            </w:r>
          </w:p>
          <w:p>
            <w:pPr>
              <w:spacing w:line="410" w:lineRule="exact"/>
              <w:rPr>
                <w:rFonts w:ascii="宋体" w:cs="宋体"/>
                <w:szCs w:val="21"/>
              </w:rPr>
            </w:pPr>
            <w:r>
              <w:rPr>
                <w:rFonts w:hint="eastAsia" w:ascii="宋体" w:hAnsi="宋体" w:cs="宋体"/>
                <w:szCs w:val="21"/>
              </w:rPr>
              <w:t>电话：</w:t>
            </w:r>
            <w:r>
              <w:rPr>
                <w:rFonts w:ascii="宋体" w:hAnsi="宋体" w:cs="宋体"/>
                <w:szCs w:val="21"/>
              </w:rPr>
              <w:t>023-67715235</w:t>
            </w:r>
          </w:p>
        </w:tc>
      </w:tr>
    </w:tbl>
    <w:p>
      <w:pPr>
        <w:spacing w:line="410" w:lineRule="exact"/>
        <w:ind w:firstLine="420" w:firstLineChars="200"/>
        <w:rPr>
          <w:rFonts w:ascii="宋体"/>
          <w:bCs/>
          <w:szCs w:val="21"/>
        </w:rPr>
      </w:pPr>
      <w:r>
        <w:rPr>
          <w:rFonts w:ascii="宋体" w:cs="宋体"/>
          <w:szCs w:val="21"/>
        </w:rPr>
        <w:br w:type="page"/>
      </w:r>
    </w:p>
    <w:p>
      <w:pPr>
        <w:jc w:val="center"/>
        <w:outlineLvl w:val="1"/>
        <w:rPr>
          <w:rFonts w:ascii="宋体"/>
          <w:b/>
          <w:sz w:val="44"/>
          <w:szCs w:val="44"/>
        </w:rPr>
      </w:pPr>
      <w:bookmarkStart w:id="70" w:name="_Toc416768975"/>
      <w:bookmarkStart w:id="71" w:name="_Toc2570"/>
      <w:r>
        <w:rPr>
          <w:rFonts w:hint="eastAsia" w:ascii="宋体" w:hAnsi="宋体"/>
          <w:b/>
          <w:sz w:val="44"/>
          <w:szCs w:val="44"/>
        </w:rPr>
        <w:t>第二章竞选人须知</w:t>
      </w:r>
      <w:bookmarkEnd w:id="9"/>
      <w:bookmarkEnd w:id="10"/>
      <w:bookmarkEnd w:id="11"/>
      <w:bookmarkEnd w:id="12"/>
      <w:bookmarkEnd w:id="13"/>
      <w:bookmarkEnd w:id="70"/>
      <w:bookmarkEnd w:id="71"/>
      <w:bookmarkStart w:id="72" w:name="_Toc152045528"/>
      <w:bookmarkStart w:id="73" w:name="_Toc238552194"/>
      <w:bookmarkStart w:id="74" w:name="_Toc238797549"/>
      <w:bookmarkStart w:id="75" w:name="_Toc152042304"/>
      <w:bookmarkStart w:id="76" w:name="_Toc144974496"/>
    </w:p>
    <w:p>
      <w:pPr>
        <w:jc w:val="left"/>
        <w:outlineLvl w:val="1"/>
        <w:rPr>
          <w:rFonts w:ascii="宋体"/>
          <w:b/>
        </w:rPr>
      </w:pPr>
      <w:bookmarkStart w:id="77" w:name="_Toc10249"/>
      <w:bookmarkStart w:id="78" w:name="_Toc416768976"/>
      <w:bookmarkStart w:id="79" w:name="_Toc16212"/>
      <w:bookmarkStart w:id="80" w:name="_Toc25666"/>
      <w:r>
        <w:rPr>
          <w:rFonts w:hint="eastAsia" w:ascii="宋体" w:hAnsi="宋体"/>
          <w:b/>
        </w:rPr>
        <w:t>竞选人须知前附表</w:t>
      </w:r>
      <w:bookmarkEnd w:id="72"/>
      <w:bookmarkEnd w:id="73"/>
      <w:bookmarkEnd w:id="74"/>
      <w:bookmarkEnd w:id="75"/>
      <w:bookmarkEnd w:id="76"/>
      <w:bookmarkEnd w:id="77"/>
      <w:bookmarkEnd w:id="78"/>
      <w:bookmarkEnd w:id="79"/>
      <w:bookmarkEnd w:id="80"/>
    </w:p>
    <w:tbl>
      <w:tblPr>
        <w:tblStyle w:val="18"/>
        <w:tblW w:w="9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319"/>
        <w:gridCol w:w="6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blHeader/>
        </w:trPr>
        <w:tc>
          <w:tcPr>
            <w:tcW w:w="1240" w:type="dxa"/>
            <w:vAlign w:val="center"/>
          </w:tcPr>
          <w:p>
            <w:pPr>
              <w:snapToGrid w:val="0"/>
              <w:spacing w:line="400" w:lineRule="exact"/>
              <w:jc w:val="center"/>
              <w:rPr>
                <w:rFonts w:ascii="宋体" w:cs="宋体"/>
                <w:b/>
                <w:kern w:val="0"/>
                <w:szCs w:val="21"/>
              </w:rPr>
            </w:pPr>
            <w:bookmarkStart w:id="81" w:name="_Toc152042305"/>
            <w:bookmarkStart w:id="82" w:name="_Toc152045529"/>
            <w:bookmarkStart w:id="83" w:name="_Toc144974497"/>
            <w:bookmarkStart w:id="84" w:name="_Toc238797550"/>
            <w:bookmarkStart w:id="85" w:name="_Toc238552195"/>
            <w:r>
              <w:rPr>
                <w:rFonts w:hint="eastAsia" w:ascii="宋体" w:hAnsi="宋体" w:cs="宋体"/>
                <w:b/>
                <w:kern w:val="0"/>
                <w:szCs w:val="21"/>
              </w:rPr>
              <w:t>条款号</w:t>
            </w:r>
          </w:p>
        </w:tc>
        <w:tc>
          <w:tcPr>
            <w:tcW w:w="1319" w:type="dxa"/>
            <w:vAlign w:val="center"/>
          </w:tcPr>
          <w:p>
            <w:pPr>
              <w:snapToGrid w:val="0"/>
              <w:spacing w:line="400" w:lineRule="exact"/>
              <w:jc w:val="center"/>
              <w:rPr>
                <w:rFonts w:ascii="宋体" w:cs="宋体"/>
                <w:b/>
                <w:kern w:val="0"/>
                <w:szCs w:val="21"/>
              </w:rPr>
            </w:pPr>
            <w:r>
              <w:rPr>
                <w:rFonts w:hint="eastAsia" w:ascii="宋体" w:hAnsi="宋体" w:cs="宋体"/>
                <w:b/>
                <w:kern w:val="0"/>
                <w:szCs w:val="21"/>
              </w:rPr>
              <w:t>条款名称</w:t>
            </w:r>
          </w:p>
        </w:tc>
        <w:tc>
          <w:tcPr>
            <w:tcW w:w="6468" w:type="dxa"/>
            <w:vAlign w:val="center"/>
          </w:tcPr>
          <w:p>
            <w:pPr>
              <w:snapToGrid w:val="0"/>
              <w:spacing w:line="400" w:lineRule="exact"/>
              <w:jc w:val="center"/>
              <w:rPr>
                <w:rFonts w:ascii="宋体" w:cs="宋体"/>
                <w:b/>
                <w:kern w:val="0"/>
                <w:szCs w:val="21"/>
              </w:rPr>
            </w:pPr>
            <w:r>
              <w:rPr>
                <w:rFonts w:hint="eastAsia" w:ascii="宋体" w:hAnsi="宋体" w:cs="宋体"/>
                <w:b/>
                <w:kern w:val="0"/>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kern w:val="0"/>
                <w:szCs w:val="21"/>
              </w:rPr>
            </w:pPr>
            <w:r>
              <w:rPr>
                <w:rFonts w:hint="eastAsia" w:ascii="宋体" w:cs="宋体"/>
                <w:kern w:val="0"/>
                <w:szCs w:val="21"/>
              </w:rPr>
              <w:t>1</w:t>
            </w:r>
          </w:p>
        </w:tc>
        <w:tc>
          <w:tcPr>
            <w:tcW w:w="1319" w:type="dxa"/>
            <w:vAlign w:val="center"/>
          </w:tcPr>
          <w:p>
            <w:pPr>
              <w:snapToGrid w:val="0"/>
              <w:spacing w:line="400" w:lineRule="exact"/>
              <w:jc w:val="center"/>
              <w:rPr>
                <w:rFonts w:ascii="宋体" w:cs="宋体"/>
                <w:kern w:val="0"/>
                <w:szCs w:val="21"/>
              </w:rPr>
            </w:pPr>
            <w:r>
              <w:rPr>
                <w:rFonts w:hint="eastAsia" w:ascii="宋体" w:hAnsi="宋体" w:cs="宋体"/>
                <w:kern w:val="0"/>
                <w:szCs w:val="21"/>
              </w:rPr>
              <w:t>比选人</w:t>
            </w:r>
          </w:p>
        </w:tc>
        <w:tc>
          <w:tcPr>
            <w:tcW w:w="6468" w:type="dxa"/>
            <w:vAlign w:val="center"/>
          </w:tcPr>
          <w:p>
            <w:pPr>
              <w:snapToGrid w:val="0"/>
              <w:spacing w:line="400" w:lineRule="exact"/>
              <w:rPr>
                <w:rFonts w:ascii="宋体" w:cs="宋体"/>
                <w:kern w:val="0"/>
                <w:szCs w:val="21"/>
              </w:rPr>
            </w:pPr>
            <w:r>
              <w:rPr>
                <w:rFonts w:hint="eastAsia" w:ascii="宋体" w:hAnsi="宋体" w:cs="宋体"/>
                <w:kern w:val="0"/>
                <w:szCs w:val="21"/>
              </w:rPr>
              <w:t>名称：重庆医科大学附属第二医院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kern w:val="0"/>
                <w:szCs w:val="21"/>
              </w:rPr>
            </w:pPr>
            <w:r>
              <w:rPr>
                <w:rFonts w:hint="eastAsia" w:ascii="宋体" w:cs="宋体"/>
                <w:kern w:val="0"/>
                <w:szCs w:val="21"/>
              </w:rPr>
              <w:t>2</w:t>
            </w:r>
          </w:p>
        </w:tc>
        <w:tc>
          <w:tcPr>
            <w:tcW w:w="1319" w:type="dxa"/>
            <w:vAlign w:val="center"/>
          </w:tcPr>
          <w:p>
            <w:pPr>
              <w:snapToGrid w:val="0"/>
              <w:spacing w:line="400" w:lineRule="exact"/>
              <w:jc w:val="center"/>
              <w:rPr>
                <w:rFonts w:ascii="宋体" w:cs="宋体"/>
                <w:kern w:val="0"/>
                <w:szCs w:val="21"/>
              </w:rPr>
            </w:pPr>
            <w:r>
              <w:rPr>
                <w:rFonts w:hint="eastAsia" w:ascii="宋体" w:hAnsi="宋体" w:cs="宋体"/>
                <w:kern w:val="0"/>
                <w:szCs w:val="21"/>
              </w:rPr>
              <w:t>比选代理机构</w:t>
            </w:r>
          </w:p>
        </w:tc>
        <w:tc>
          <w:tcPr>
            <w:tcW w:w="6468" w:type="dxa"/>
            <w:vAlign w:val="center"/>
          </w:tcPr>
          <w:p>
            <w:pPr>
              <w:spacing w:line="400" w:lineRule="exact"/>
              <w:rPr>
                <w:rFonts w:ascii="宋体" w:cs="宋体"/>
                <w:szCs w:val="21"/>
              </w:rPr>
            </w:pPr>
            <w:r>
              <w:rPr>
                <w:rFonts w:hint="eastAsia" w:ascii="宋体" w:hAnsi="宋体" w:cs="宋体"/>
                <w:szCs w:val="21"/>
              </w:rPr>
              <w:t>比选代理机构：重庆驰久卓越工程管理有限公司</w:t>
            </w:r>
          </w:p>
          <w:p>
            <w:pPr>
              <w:spacing w:line="400" w:lineRule="exact"/>
              <w:rPr>
                <w:rFonts w:ascii="宋体" w:cs="宋体"/>
                <w:szCs w:val="21"/>
              </w:rPr>
            </w:pPr>
            <w:r>
              <w:rPr>
                <w:rFonts w:hint="eastAsia" w:ascii="宋体" w:hAnsi="宋体" w:cs="宋体"/>
                <w:szCs w:val="21"/>
              </w:rPr>
              <w:t>地址：重庆市渝北区红金街</w:t>
            </w:r>
            <w:r>
              <w:rPr>
                <w:rFonts w:ascii="宋体" w:hAnsi="宋体" w:cs="宋体"/>
                <w:szCs w:val="21"/>
              </w:rPr>
              <w:t>9</w:t>
            </w:r>
            <w:r>
              <w:rPr>
                <w:rFonts w:hint="eastAsia" w:ascii="宋体" w:hAnsi="宋体" w:cs="宋体"/>
                <w:szCs w:val="21"/>
              </w:rPr>
              <w:t>号银泰大厦</w:t>
            </w:r>
            <w:r>
              <w:rPr>
                <w:rFonts w:ascii="宋体" w:hAnsi="宋体" w:cs="宋体"/>
                <w:szCs w:val="21"/>
              </w:rPr>
              <w:t>18</w:t>
            </w:r>
            <w:r>
              <w:rPr>
                <w:rFonts w:hint="eastAsia" w:ascii="宋体" w:hAnsi="宋体" w:cs="宋体"/>
                <w:szCs w:val="21"/>
              </w:rPr>
              <w:t>楼</w:t>
            </w:r>
          </w:p>
          <w:p>
            <w:pPr>
              <w:spacing w:line="400" w:lineRule="exact"/>
              <w:rPr>
                <w:rFonts w:ascii="宋体" w:cs="宋体"/>
                <w:szCs w:val="21"/>
              </w:rPr>
            </w:pPr>
            <w:r>
              <w:rPr>
                <w:rFonts w:hint="eastAsia" w:ascii="宋体" w:hAnsi="宋体" w:cs="宋体"/>
                <w:szCs w:val="21"/>
              </w:rPr>
              <w:t>联系人：周先生</w:t>
            </w:r>
          </w:p>
          <w:p>
            <w:pPr>
              <w:spacing w:line="400" w:lineRule="exact"/>
              <w:rPr>
                <w:rFonts w:ascii="宋体" w:cs="宋体"/>
                <w:kern w:val="0"/>
                <w:szCs w:val="21"/>
              </w:rPr>
            </w:pPr>
            <w:r>
              <w:rPr>
                <w:rFonts w:hint="eastAsia" w:ascii="宋体" w:hAnsi="宋体" w:cs="宋体"/>
                <w:szCs w:val="21"/>
              </w:rPr>
              <w:t>电话：</w:t>
            </w:r>
            <w:r>
              <w:rPr>
                <w:rFonts w:ascii="宋体" w:hAnsi="宋体" w:cs="宋体"/>
                <w:szCs w:val="21"/>
              </w:rPr>
              <w:t>023-67715235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kern w:val="0"/>
                <w:szCs w:val="21"/>
              </w:rPr>
            </w:pPr>
            <w:r>
              <w:rPr>
                <w:rFonts w:hint="eastAsia" w:ascii="宋体" w:cs="宋体"/>
                <w:kern w:val="0"/>
                <w:szCs w:val="21"/>
              </w:rPr>
              <w:t>3</w:t>
            </w:r>
          </w:p>
        </w:tc>
        <w:tc>
          <w:tcPr>
            <w:tcW w:w="1319" w:type="dxa"/>
            <w:vAlign w:val="center"/>
          </w:tcPr>
          <w:p>
            <w:pPr>
              <w:snapToGrid w:val="0"/>
              <w:spacing w:line="400" w:lineRule="exact"/>
              <w:jc w:val="center"/>
              <w:rPr>
                <w:rFonts w:ascii="宋体" w:cs="宋体"/>
                <w:kern w:val="0"/>
                <w:szCs w:val="21"/>
              </w:rPr>
            </w:pPr>
            <w:r>
              <w:rPr>
                <w:rFonts w:hint="eastAsia" w:ascii="宋体" w:hAnsi="宋体" w:cs="宋体"/>
                <w:kern w:val="0"/>
                <w:szCs w:val="21"/>
              </w:rPr>
              <w:t>项目名称</w:t>
            </w:r>
          </w:p>
        </w:tc>
        <w:tc>
          <w:tcPr>
            <w:tcW w:w="6468" w:type="dxa"/>
            <w:vAlign w:val="center"/>
          </w:tcPr>
          <w:p>
            <w:pPr>
              <w:snapToGrid w:val="0"/>
              <w:spacing w:line="400" w:lineRule="exact"/>
              <w:rPr>
                <w:rFonts w:ascii="宋体" w:cs="宋体"/>
                <w:spacing w:val="-6"/>
                <w:kern w:val="0"/>
                <w:szCs w:val="21"/>
              </w:rPr>
            </w:pPr>
            <w:r>
              <w:rPr>
                <w:rFonts w:hint="eastAsia" w:ascii="宋体" w:cs="宋体"/>
                <w:spacing w:val="-6"/>
                <w:kern w:val="0"/>
                <w:szCs w:val="21"/>
              </w:rPr>
              <w:t>重庆医科大学附属第二医院江南医院柴油发电机采购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kern w:val="0"/>
                <w:szCs w:val="21"/>
              </w:rPr>
            </w:pPr>
            <w:r>
              <w:rPr>
                <w:rFonts w:hint="eastAsia" w:ascii="宋体" w:cs="宋体"/>
                <w:kern w:val="0"/>
                <w:szCs w:val="21"/>
              </w:rPr>
              <w:t>4</w:t>
            </w:r>
          </w:p>
        </w:tc>
        <w:tc>
          <w:tcPr>
            <w:tcW w:w="1319" w:type="dxa"/>
            <w:vAlign w:val="center"/>
          </w:tcPr>
          <w:p>
            <w:pPr>
              <w:snapToGrid w:val="0"/>
              <w:spacing w:line="400" w:lineRule="exact"/>
              <w:jc w:val="center"/>
              <w:rPr>
                <w:rFonts w:ascii="宋体" w:cs="宋体"/>
                <w:kern w:val="0"/>
                <w:szCs w:val="21"/>
              </w:rPr>
            </w:pPr>
            <w:r>
              <w:rPr>
                <w:rFonts w:hint="eastAsia" w:ascii="宋体" w:hAnsi="宋体" w:cs="宋体"/>
                <w:kern w:val="0"/>
                <w:szCs w:val="21"/>
              </w:rPr>
              <w:t>建设地点</w:t>
            </w:r>
          </w:p>
        </w:tc>
        <w:tc>
          <w:tcPr>
            <w:tcW w:w="6468" w:type="dxa"/>
            <w:vAlign w:val="center"/>
          </w:tcPr>
          <w:p>
            <w:pPr>
              <w:snapToGrid w:val="0"/>
              <w:spacing w:line="400" w:lineRule="exact"/>
              <w:rPr>
                <w:rFonts w:ascii="宋体" w:cs="宋体"/>
                <w:szCs w:val="21"/>
              </w:rPr>
            </w:pPr>
            <w:r>
              <w:rPr>
                <w:rFonts w:hint="eastAsia" w:ascii="宋体" w:hAnsi="宋体" w:cs="宋体"/>
                <w:szCs w:val="21"/>
              </w:rPr>
              <w:t>重庆医科大学附属第二医院江南医院建设地点（南岸区茶园新城区</w:t>
            </w:r>
            <w:r>
              <w:rPr>
                <w:rFonts w:ascii="宋体" w:hAnsi="宋体" w:cs="宋体"/>
                <w:szCs w:val="21"/>
              </w:rPr>
              <w:t>B</w:t>
            </w:r>
            <w:r>
              <w:rPr>
                <w:rFonts w:hint="eastAsia" w:ascii="宋体" w:hAnsi="宋体" w:cs="宋体"/>
                <w:szCs w:val="21"/>
              </w:rPr>
              <w:t>区规划位置）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kern w:val="0"/>
                <w:szCs w:val="21"/>
              </w:rPr>
            </w:pPr>
            <w:r>
              <w:rPr>
                <w:rFonts w:hint="eastAsia" w:ascii="宋体" w:cs="宋体"/>
                <w:kern w:val="0"/>
                <w:szCs w:val="21"/>
              </w:rPr>
              <w:t>5</w:t>
            </w:r>
          </w:p>
        </w:tc>
        <w:tc>
          <w:tcPr>
            <w:tcW w:w="1319" w:type="dxa"/>
            <w:vAlign w:val="center"/>
          </w:tcPr>
          <w:p>
            <w:pPr>
              <w:snapToGrid w:val="0"/>
              <w:spacing w:line="400" w:lineRule="exact"/>
              <w:jc w:val="center"/>
              <w:rPr>
                <w:rFonts w:ascii="宋体" w:cs="宋体"/>
                <w:kern w:val="0"/>
                <w:szCs w:val="21"/>
              </w:rPr>
            </w:pPr>
            <w:r>
              <w:rPr>
                <w:rFonts w:hint="eastAsia" w:ascii="宋体" w:hAnsi="宋体" w:cs="宋体"/>
                <w:kern w:val="0"/>
                <w:szCs w:val="21"/>
              </w:rPr>
              <w:t>资金来源</w:t>
            </w:r>
          </w:p>
        </w:tc>
        <w:tc>
          <w:tcPr>
            <w:tcW w:w="6468" w:type="dxa"/>
            <w:vAlign w:val="center"/>
          </w:tcPr>
          <w:p>
            <w:pPr>
              <w:snapToGrid w:val="0"/>
              <w:spacing w:line="400" w:lineRule="exact"/>
              <w:rPr>
                <w:rFonts w:ascii="宋体" w:cs="宋体"/>
                <w:spacing w:val="-6"/>
                <w:kern w:val="0"/>
                <w:szCs w:val="21"/>
              </w:rPr>
            </w:pPr>
            <w:r>
              <w:rPr>
                <w:rFonts w:hint="eastAsia" w:ascii="宋体" w:hAnsi="宋体" w:cs="宋体"/>
                <w:kern w:val="0"/>
                <w:szCs w:val="21"/>
              </w:rPr>
              <w:t>业主自筹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1240" w:type="dxa"/>
            <w:vAlign w:val="center"/>
          </w:tcPr>
          <w:p>
            <w:pPr>
              <w:snapToGrid w:val="0"/>
              <w:spacing w:line="400" w:lineRule="exact"/>
              <w:jc w:val="center"/>
              <w:rPr>
                <w:rFonts w:ascii="宋体" w:cs="宋体"/>
                <w:kern w:val="0"/>
                <w:szCs w:val="21"/>
              </w:rPr>
            </w:pPr>
            <w:r>
              <w:rPr>
                <w:rFonts w:hint="eastAsia" w:ascii="宋体" w:cs="宋体"/>
                <w:kern w:val="0"/>
                <w:szCs w:val="21"/>
              </w:rPr>
              <w:t>6</w:t>
            </w:r>
          </w:p>
        </w:tc>
        <w:tc>
          <w:tcPr>
            <w:tcW w:w="1319" w:type="dxa"/>
            <w:vAlign w:val="center"/>
          </w:tcPr>
          <w:p>
            <w:pPr>
              <w:snapToGrid w:val="0"/>
              <w:spacing w:line="400" w:lineRule="exact"/>
              <w:jc w:val="center"/>
              <w:rPr>
                <w:rFonts w:ascii="宋体" w:cs="宋体"/>
                <w:kern w:val="0"/>
                <w:szCs w:val="21"/>
              </w:rPr>
            </w:pPr>
            <w:r>
              <w:rPr>
                <w:rFonts w:hint="eastAsia" w:ascii="宋体" w:hAnsi="宋体" w:cs="宋体"/>
                <w:kern w:val="0"/>
                <w:szCs w:val="21"/>
              </w:rPr>
              <w:t>出资比例</w:t>
            </w:r>
          </w:p>
        </w:tc>
        <w:tc>
          <w:tcPr>
            <w:tcW w:w="6468" w:type="dxa"/>
            <w:vAlign w:val="center"/>
          </w:tcPr>
          <w:p>
            <w:pPr>
              <w:snapToGrid w:val="0"/>
              <w:spacing w:line="400" w:lineRule="exact"/>
              <w:rPr>
                <w:rFonts w:ascii="宋体" w:cs="宋体"/>
                <w:szCs w:val="21"/>
              </w:rPr>
            </w:pP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kern w:val="0"/>
                <w:szCs w:val="21"/>
              </w:rPr>
            </w:pPr>
            <w:r>
              <w:rPr>
                <w:rFonts w:hint="eastAsia" w:ascii="宋体" w:cs="宋体"/>
                <w:kern w:val="0"/>
                <w:szCs w:val="21"/>
              </w:rPr>
              <w:t>7</w:t>
            </w:r>
          </w:p>
        </w:tc>
        <w:tc>
          <w:tcPr>
            <w:tcW w:w="1319" w:type="dxa"/>
            <w:vAlign w:val="center"/>
          </w:tcPr>
          <w:p>
            <w:pPr>
              <w:snapToGrid w:val="0"/>
              <w:spacing w:line="400" w:lineRule="exact"/>
              <w:jc w:val="center"/>
              <w:rPr>
                <w:rFonts w:ascii="宋体" w:cs="宋体"/>
                <w:kern w:val="0"/>
                <w:szCs w:val="21"/>
              </w:rPr>
            </w:pPr>
            <w:r>
              <w:rPr>
                <w:rFonts w:hint="eastAsia" w:ascii="宋体" w:hAnsi="宋体" w:cs="宋体"/>
                <w:kern w:val="0"/>
                <w:szCs w:val="21"/>
              </w:rPr>
              <w:t>资金落实情况</w:t>
            </w:r>
          </w:p>
        </w:tc>
        <w:tc>
          <w:tcPr>
            <w:tcW w:w="6468" w:type="dxa"/>
            <w:vAlign w:val="center"/>
          </w:tcPr>
          <w:p>
            <w:pPr>
              <w:snapToGrid w:val="0"/>
              <w:spacing w:line="400" w:lineRule="exact"/>
              <w:rPr>
                <w:rFonts w:ascii="宋体" w:cs="宋体"/>
                <w:kern w:val="0"/>
                <w:szCs w:val="21"/>
              </w:rPr>
            </w:pPr>
            <w:r>
              <w:rPr>
                <w:rFonts w:hint="eastAsia" w:ascii="宋体" w:hAnsi="宋体" w:cs="宋体"/>
                <w:kern w:val="0"/>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kern w:val="0"/>
                <w:szCs w:val="21"/>
              </w:rPr>
            </w:pPr>
            <w:r>
              <w:rPr>
                <w:rFonts w:hint="eastAsia" w:ascii="宋体" w:cs="宋体"/>
                <w:kern w:val="0"/>
                <w:szCs w:val="21"/>
              </w:rPr>
              <w:t>8</w:t>
            </w:r>
          </w:p>
        </w:tc>
        <w:tc>
          <w:tcPr>
            <w:tcW w:w="1319" w:type="dxa"/>
            <w:vAlign w:val="center"/>
          </w:tcPr>
          <w:p>
            <w:pPr>
              <w:snapToGrid w:val="0"/>
              <w:spacing w:line="400" w:lineRule="exact"/>
              <w:jc w:val="center"/>
              <w:rPr>
                <w:rFonts w:ascii="宋体"/>
                <w:szCs w:val="21"/>
              </w:rPr>
            </w:pPr>
            <w:r>
              <w:rPr>
                <w:rFonts w:hint="eastAsia" w:ascii="宋体" w:hAnsi="宋体"/>
                <w:szCs w:val="21"/>
              </w:rPr>
              <w:t>比选内容</w:t>
            </w:r>
          </w:p>
        </w:tc>
        <w:tc>
          <w:tcPr>
            <w:tcW w:w="6468" w:type="dxa"/>
            <w:vAlign w:val="center"/>
          </w:tcPr>
          <w:p>
            <w:pPr>
              <w:spacing w:line="410" w:lineRule="exact"/>
              <w:rPr>
                <w:rFonts w:ascii="宋体"/>
                <w:szCs w:val="21"/>
              </w:rPr>
            </w:pPr>
            <w:r>
              <w:rPr>
                <w:rFonts w:hint="eastAsia" w:ascii="宋体" w:hAnsi="宋体"/>
                <w:bCs/>
                <w:szCs w:val="21"/>
              </w:rPr>
              <w:t>详见比选公告“比选内容”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kern w:val="0"/>
                <w:szCs w:val="21"/>
              </w:rPr>
            </w:pPr>
            <w:r>
              <w:rPr>
                <w:rFonts w:hint="eastAsia" w:ascii="宋体" w:cs="宋体"/>
                <w:kern w:val="0"/>
                <w:szCs w:val="21"/>
              </w:rPr>
              <w:t>9</w:t>
            </w:r>
          </w:p>
        </w:tc>
        <w:tc>
          <w:tcPr>
            <w:tcW w:w="1319" w:type="dxa"/>
            <w:vAlign w:val="center"/>
          </w:tcPr>
          <w:p>
            <w:pPr>
              <w:snapToGrid w:val="0"/>
              <w:spacing w:line="400" w:lineRule="exact"/>
              <w:jc w:val="center"/>
              <w:rPr>
                <w:rFonts w:ascii="宋体" w:cs="宋体"/>
                <w:kern w:val="0"/>
                <w:szCs w:val="21"/>
              </w:rPr>
            </w:pPr>
            <w:r>
              <w:rPr>
                <w:rFonts w:hint="eastAsia" w:ascii="宋体" w:hAnsi="宋体" w:cs="宋体"/>
                <w:kern w:val="0"/>
                <w:szCs w:val="21"/>
              </w:rPr>
              <w:t>工期</w:t>
            </w:r>
          </w:p>
        </w:tc>
        <w:tc>
          <w:tcPr>
            <w:tcW w:w="6468" w:type="dxa"/>
            <w:vAlign w:val="center"/>
          </w:tcPr>
          <w:p>
            <w:pPr>
              <w:snapToGrid w:val="0"/>
              <w:spacing w:line="400" w:lineRule="exact"/>
              <w:ind w:firstLine="420" w:firstLineChars="200"/>
              <w:rPr>
                <w:rFonts w:ascii="宋体" w:cs="宋体"/>
                <w:b/>
                <w:kern w:val="0"/>
                <w:szCs w:val="21"/>
              </w:rPr>
            </w:pPr>
            <w:r>
              <w:rPr>
                <w:rFonts w:hint="eastAsia" w:ascii="宋体" w:hAnsi="宋体" w:cs="宋体"/>
                <w:kern w:val="0"/>
                <w:szCs w:val="21"/>
              </w:rPr>
              <w:t>20日历天（含安装）。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kern w:val="0"/>
                <w:szCs w:val="21"/>
              </w:rPr>
            </w:pPr>
            <w:r>
              <w:rPr>
                <w:rFonts w:hint="eastAsia" w:ascii="宋体" w:cs="宋体"/>
                <w:kern w:val="0"/>
                <w:szCs w:val="21"/>
              </w:rPr>
              <w:t>10</w:t>
            </w:r>
          </w:p>
        </w:tc>
        <w:tc>
          <w:tcPr>
            <w:tcW w:w="1319" w:type="dxa"/>
            <w:vAlign w:val="center"/>
          </w:tcPr>
          <w:p>
            <w:pPr>
              <w:snapToGrid w:val="0"/>
              <w:spacing w:line="400" w:lineRule="exact"/>
              <w:jc w:val="center"/>
              <w:rPr>
                <w:rFonts w:ascii="宋体" w:cs="宋体"/>
                <w:kern w:val="0"/>
                <w:szCs w:val="21"/>
              </w:rPr>
            </w:pPr>
            <w:r>
              <w:rPr>
                <w:rFonts w:hint="eastAsia" w:ascii="宋体" w:hAnsi="宋体" w:cs="宋体"/>
                <w:kern w:val="0"/>
                <w:szCs w:val="21"/>
              </w:rPr>
              <w:t>质量要求</w:t>
            </w:r>
          </w:p>
        </w:tc>
        <w:tc>
          <w:tcPr>
            <w:tcW w:w="6468" w:type="dxa"/>
            <w:vAlign w:val="center"/>
          </w:tcPr>
          <w:p>
            <w:pPr>
              <w:snapToGrid w:val="0"/>
              <w:spacing w:line="400" w:lineRule="exact"/>
              <w:ind w:firstLine="420" w:firstLineChars="200"/>
              <w:rPr>
                <w:rFonts w:ascii="宋体" w:cs="宋体"/>
                <w:kern w:val="0"/>
                <w:szCs w:val="21"/>
              </w:rPr>
            </w:pPr>
            <w:r>
              <w:rPr>
                <w:rFonts w:hint="eastAsia" w:ascii="宋体" w:hAnsi="宋体" w:cs="宋体"/>
                <w:kern w:val="0"/>
                <w:szCs w:val="21"/>
              </w:rPr>
              <w:t>符合国家及行业现行技术标准和规范，满足比选人的技术要求。</w:t>
            </w:r>
          </w:p>
          <w:p>
            <w:pPr>
              <w:snapToGrid w:val="0"/>
              <w:spacing w:line="400" w:lineRule="exact"/>
              <w:ind w:firstLine="420" w:firstLineChars="200"/>
              <w:rPr>
                <w:rFonts w:ascii="宋体" w:cs="宋体"/>
                <w:szCs w:val="21"/>
              </w:rPr>
            </w:pPr>
            <w:r>
              <w:rPr>
                <w:rFonts w:hint="eastAsia" w:ascii="宋体" w:hAnsi="宋体" w:cs="宋体"/>
                <w:kern w:val="0"/>
                <w:szCs w:val="21"/>
              </w:rPr>
              <w:t>质保期：3年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kern w:val="0"/>
                <w:szCs w:val="21"/>
              </w:rPr>
            </w:pPr>
            <w:r>
              <w:rPr>
                <w:rFonts w:hint="eastAsia" w:ascii="宋体" w:cs="宋体"/>
                <w:kern w:val="0"/>
                <w:szCs w:val="21"/>
              </w:rPr>
              <w:t>11</w:t>
            </w:r>
          </w:p>
        </w:tc>
        <w:tc>
          <w:tcPr>
            <w:tcW w:w="1319" w:type="dxa"/>
            <w:vAlign w:val="center"/>
          </w:tcPr>
          <w:p>
            <w:pPr>
              <w:snapToGrid w:val="0"/>
              <w:spacing w:line="400" w:lineRule="exact"/>
              <w:jc w:val="center"/>
              <w:rPr>
                <w:rFonts w:ascii="宋体" w:cs="宋体"/>
                <w:szCs w:val="21"/>
              </w:rPr>
            </w:pPr>
            <w:r>
              <w:rPr>
                <w:rFonts w:hint="eastAsia" w:ascii="宋体" w:hAnsi="宋体" w:cs="宋体"/>
                <w:szCs w:val="21"/>
              </w:rPr>
              <w:t>竞选人合格条件</w:t>
            </w:r>
          </w:p>
        </w:tc>
        <w:tc>
          <w:tcPr>
            <w:tcW w:w="6468" w:type="dxa"/>
            <w:vAlign w:val="center"/>
          </w:tcPr>
          <w:p>
            <w:pPr>
              <w:spacing w:line="400" w:lineRule="exact"/>
              <w:ind w:left="105" w:leftChars="50" w:firstLine="420" w:firstLineChars="200"/>
              <w:rPr>
                <w:rFonts w:ascii="宋体"/>
                <w:szCs w:val="21"/>
              </w:rPr>
            </w:pPr>
            <w:r>
              <w:rPr>
                <w:rFonts w:hint="eastAsia" w:ascii="宋体" w:hAnsi="宋体"/>
                <w:szCs w:val="21"/>
              </w:rPr>
              <w:t>本次比选实行资格后审，竞选人应满足下列资格条件和业绩要求：</w:t>
            </w:r>
          </w:p>
          <w:p>
            <w:pPr>
              <w:numPr>
                <w:ilvl w:val="0"/>
                <w:numId w:val="1"/>
              </w:numPr>
              <w:spacing w:line="400" w:lineRule="exact"/>
              <w:ind w:left="105" w:leftChars="50" w:firstLine="420" w:firstLineChars="200"/>
              <w:rPr>
                <w:rFonts w:ascii="宋体"/>
                <w:szCs w:val="21"/>
              </w:rPr>
            </w:pPr>
            <w:r>
              <w:rPr>
                <w:rFonts w:hint="eastAsia" w:ascii="宋体" w:hAnsi="宋体"/>
                <w:szCs w:val="21"/>
              </w:rPr>
              <w:t>竞选人为中华人民共和国境内依法注册、具有独立法人资格，</w:t>
            </w:r>
            <w:r>
              <w:rPr>
                <w:rFonts w:hint="eastAsia" w:ascii="宋体" w:hAnsi="宋体"/>
              </w:rPr>
              <w:t>生产或供应本项目所需材料的生产商或代理商均可参加竞选。</w:t>
            </w:r>
            <w:r>
              <w:rPr>
                <w:rFonts w:hint="eastAsia" w:ascii="宋体" w:hAnsi="宋体"/>
                <w:szCs w:val="21"/>
              </w:rPr>
              <w:t>【提供竞选人营业执照副本复印件并加盖竞选人单位公章鲜章】</w:t>
            </w:r>
          </w:p>
          <w:p>
            <w:pPr>
              <w:numPr>
                <w:ilvl w:val="0"/>
                <w:numId w:val="2"/>
              </w:numPr>
              <w:spacing w:line="400" w:lineRule="exact"/>
              <w:ind w:left="105" w:firstLine="315"/>
              <w:rPr>
                <w:rFonts w:ascii="宋体"/>
                <w:szCs w:val="21"/>
              </w:rPr>
            </w:pPr>
            <w:r>
              <w:rPr>
                <w:rFonts w:hint="eastAsia" w:ascii="宋体" w:hAnsi="宋体"/>
                <w:szCs w:val="21"/>
              </w:rPr>
              <w:t>若为代理商竞选的，须提供主要产品生产商出具的针对本项目</w:t>
            </w:r>
            <w:r>
              <w:rPr>
                <w:rFonts w:hint="eastAsia" w:ascii="宋体" w:hAnsi="宋体" w:cs="宋体"/>
                <w:szCs w:val="21"/>
              </w:rPr>
              <w:t>的授权书</w:t>
            </w:r>
            <w:r>
              <w:rPr>
                <w:rFonts w:hint="eastAsia" w:ascii="宋体" w:hAnsi="宋体"/>
                <w:szCs w:val="21"/>
              </w:rPr>
              <w:t>。</w:t>
            </w:r>
          </w:p>
          <w:p>
            <w:pPr>
              <w:spacing w:line="400" w:lineRule="exact"/>
              <w:rPr>
                <w:rFonts w:ascii="宋体"/>
                <w:szCs w:val="21"/>
              </w:rPr>
            </w:pPr>
            <w:r>
              <w:rPr>
                <w:rFonts w:hint="eastAsia" w:ascii="宋体" w:hAnsi="宋体"/>
                <w:szCs w:val="21"/>
              </w:rPr>
              <w:t>【提供代理商营业执照复印件加盖代理商公章，生产商营业执照副本复印件、授权书并加盖生产厂商公章鲜章】</w:t>
            </w:r>
          </w:p>
          <w:p>
            <w:pPr>
              <w:numPr>
                <w:ilvl w:val="0"/>
                <w:numId w:val="2"/>
              </w:numPr>
              <w:spacing w:line="400" w:lineRule="exact"/>
              <w:ind w:left="105" w:leftChars="50" w:firstLine="420" w:firstLineChars="200"/>
              <w:rPr>
                <w:rFonts w:ascii="宋体"/>
                <w:szCs w:val="21"/>
              </w:rPr>
            </w:pPr>
            <w:r>
              <w:rPr>
                <w:rFonts w:hint="eastAsia" w:ascii="宋体" w:hAnsi="宋体"/>
                <w:szCs w:val="21"/>
              </w:rPr>
              <w:t>具备在有效期内的税务登记证、组织机构代码证。【提供税务登记证、组织机构代码证或“三证合一”的营业执照复印件并加盖鲜章；若为代理商竞选的须同时提供生产商的税务登记证、组织机构代码证或“三证合一”的营业执照复印件并加盖生产商鲜章】</w:t>
            </w:r>
          </w:p>
          <w:p>
            <w:pPr>
              <w:adjustRightInd w:val="0"/>
              <w:spacing w:line="400" w:lineRule="exact"/>
              <w:ind w:firstLine="420" w:firstLineChars="200"/>
              <w:textAlignment w:val="baseline"/>
              <w:rPr>
                <w:rFonts w:ascii="宋体" w:hAnsi="宋体"/>
                <w:bCs/>
                <w:szCs w:val="21"/>
              </w:rPr>
            </w:pPr>
            <w:r>
              <w:rPr>
                <w:rFonts w:hint="eastAsia" w:ascii="宋体" w:hAnsi="宋体"/>
                <w:bCs/>
                <w:szCs w:val="21"/>
              </w:rPr>
              <w:t>4、安全生产承诺</w:t>
            </w:r>
          </w:p>
          <w:p>
            <w:pPr>
              <w:adjustRightInd w:val="0"/>
              <w:spacing w:line="400" w:lineRule="exact"/>
              <w:ind w:firstLine="420" w:firstLineChars="200"/>
              <w:textAlignment w:val="baseline"/>
              <w:rPr>
                <w:rFonts w:ascii="宋体" w:hAnsi="宋体"/>
                <w:bCs/>
                <w:szCs w:val="21"/>
              </w:rPr>
            </w:pPr>
            <w:r>
              <w:rPr>
                <w:rFonts w:hint="eastAsia" w:ascii="宋体" w:hAnsi="宋体"/>
                <w:bCs/>
                <w:szCs w:val="21"/>
              </w:rPr>
              <w:t>制造商须在竞选文件中承诺，在竞选截止日前两年内无安全生产事故；</w:t>
            </w:r>
          </w:p>
          <w:p>
            <w:pPr>
              <w:adjustRightInd w:val="0"/>
              <w:spacing w:line="400" w:lineRule="exact"/>
              <w:textAlignment w:val="baseline"/>
              <w:rPr>
                <w:rFonts w:ascii="宋体" w:hAnsi="宋体"/>
                <w:bCs/>
                <w:szCs w:val="21"/>
              </w:rPr>
            </w:pPr>
            <w:r>
              <w:rPr>
                <w:rFonts w:hint="eastAsia" w:ascii="宋体" w:hAnsi="宋体"/>
                <w:bCs/>
                <w:szCs w:val="21"/>
              </w:rPr>
              <w:t>（注：①竞选人为制造商的，由竞选人自行承诺，格式自拟；②竞选人为代理商的，提供制造商出具的承诺书，格式自拟）</w:t>
            </w:r>
          </w:p>
          <w:p>
            <w:pPr>
              <w:adjustRightInd w:val="0"/>
              <w:spacing w:line="400" w:lineRule="exact"/>
              <w:textAlignment w:val="baseline"/>
              <w:rPr>
                <w:rFonts w:ascii="宋体"/>
                <w:b/>
                <w:szCs w:val="21"/>
              </w:rPr>
            </w:pPr>
            <w:r>
              <w:rPr>
                <w:rFonts w:hint="eastAsia" w:ascii="宋体" w:hAnsi="宋体"/>
                <w:b/>
                <w:szCs w:val="21"/>
              </w:rPr>
              <w:t>特别说明：</w:t>
            </w:r>
          </w:p>
          <w:p>
            <w:pPr>
              <w:spacing w:line="400" w:lineRule="exact"/>
              <w:ind w:firstLine="413" w:firstLineChars="196"/>
              <w:rPr>
                <w:rFonts w:ascii="宋体"/>
                <w:b/>
                <w:szCs w:val="21"/>
              </w:rPr>
            </w:pPr>
            <w:r>
              <w:rPr>
                <w:rFonts w:hint="eastAsia" w:ascii="宋体" w:hAnsi="宋体"/>
                <w:b/>
                <w:szCs w:val="21"/>
              </w:rPr>
              <w:t>竞选人需对自己提供的材料的真实性负责。比选人对竞选人提供的相关资料保留进一步审查、核实的权利。若一旦发现竞选人弄虚作假的，将取消其竞选（或中选）资格，并进一步追究其相关责任，依法赔偿由此造成的相关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kern w:val="0"/>
                <w:szCs w:val="21"/>
              </w:rPr>
            </w:pPr>
            <w:r>
              <w:rPr>
                <w:rFonts w:hint="eastAsia" w:ascii="宋体" w:cs="宋体"/>
                <w:kern w:val="0"/>
                <w:szCs w:val="21"/>
              </w:rPr>
              <w:t>12</w:t>
            </w:r>
          </w:p>
        </w:tc>
        <w:tc>
          <w:tcPr>
            <w:tcW w:w="1319" w:type="dxa"/>
            <w:vAlign w:val="center"/>
          </w:tcPr>
          <w:p>
            <w:pPr>
              <w:snapToGrid w:val="0"/>
              <w:spacing w:line="400" w:lineRule="exact"/>
              <w:jc w:val="center"/>
              <w:rPr>
                <w:rFonts w:ascii="宋体" w:cs="宋体"/>
                <w:kern w:val="0"/>
                <w:szCs w:val="21"/>
              </w:rPr>
            </w:pPr>
            <w:r>
              <w:rPr>
                <w:rFonts w:hint="eastAsia" w:ascii="宋体" w:hAnsi="宋体" w:cs="宋体"/>
                <w:kern w:val="0"/>
                <w:szCs w:val="21"/>
              </w:rPr>
              <w:t>是否接受联合体竞选</w:t>
            </w:r>
          </w:p>
        </w:tc>
        <w:tc>
          <w:tcPr>
            <w:tcW w:w="6468" w:type="dxa"/>
            <w:vAlign w:val="center"/>
          </w:tcPr>
          <w:p>
            <w:pPr>
              <w:snapToGrid w:val="0"/>
              <w:spacing w:line="400" w:lineRule="exact"/>
              <w:rPr>
                <w:rFonts w:ascii="宋体" w:cs="宋体"/>
                <w:kern w:val="0"/>
                <w:szCs w:val="21"/>
              </w:rPr>
            </w:pPr>
            <w:r>
              <w:rPr>
                <w:rFonts w:ascii="宋体" w:hAnsi="宋体" w:cs="宋体"/>
                <w:kern w:val="0"/>
                <w:szCs w:val="21"/>
              </w:rPr>
              <w:fldChar w:fldCharType="begin"/>
            </w:r>
            <w:r>
              <w:rPr>
                <w:rFonts w:ascii="宋体" w:hAnsi="宋体" w:cs="宋体"/>
                <w:kern w:val="0"/>
                <w:szCs w:val="21"/>
              </w:rPr>
              <w:instrText xml:space="preserve"> eq \o\ac(</w:instrText>
            </w:r>
            <w:r>
              <w:rPr>
                <w:rFonts w:hint="eastAsia" w:ascii="宋体" w:hAnsi="宋体" w:cs="宋体"/>
                <w:kern w:val="0"/>
                <w:position w:val="-4"/>
                <w:sz w:val="31"/>
                <w:szCs w:val="21"/>
              </w:rPr>
              <w:instrText xml:space="preserve">□</w:instrText>
            </w:r>
            <w:r>
              <w:rPr>
                <w:rFonts w:ascii="宋体" w:cs="宋体"/>
                <w:kern w:val="0"/>
                <w:szCs w:val="21"/>
              </w:rPr>
              <w:instrText xml:space="preserve">,</w:instrText>
            </w:r>
            <w:r>
              <w:rPr>
                <w:rFonts w:hint="eastAsia" w:ascii="宋体" w:hAnsi="宋体" w:cs="宋体"/>
                <w:kern w:val="0"/>
                <w:szCs w:val="21"/>
              </w:rPr>
              <w:instrText xml:space="preserve">√</w:instrText>
            </w:r>
            <w:r>
              <w:rPr>
                <w:rFonts w:ascii="宋体" w:hAnsi="宋体" w:cs="宋体"/>
                <w:kern w:val="0"/>
                <w:szCs w:val="21"/>
              </w:rPr>
              <w:instrText xml:space="preserve">)</w:instrText>
            </w:r>
            <w:r>
              <w:rPr>
                <w:rFonts w:ascii="宋体" w:hAnsi="宋体" w:cs="宋体"/>
                <w:kern w:val="0"/>
                <w:szCs w:val="21"/>
              </w:rPr>
              <w:fldChar w:fldCharType="end"/>
            </w:r>
            <w:r>
              <w:rPr>
                <w:rFonts w:hint="eastAsia" w:ascii="宋体" w:hAnsi="宋体" w:cs="宋体"/>
                <w:kern w:val="0"/>
                <w:szCs w:val="21"/>
              </w:rPr>
              <w:t>不接受</w:t>
            </w:r>
          </w:p>
          <w:p>
            <w:pPr>
              <w:snapToGrid w:val="0"/>
              <w:spacing w:line="400" w:lineRule="exact"/>
              <w:rPr>
                <w:rFonts w:ascii="宋体" w:cs="宋体"/>
                <w:kern w:val="0"/>
                <w:szCs w:val="21"/>
              </w:rPr>
            </w:pPr>
            <w:r>
              <w:rPr>
                <w:rFonts w:hint="eastAsia" w:ascii="宋体" w:hAnsi="宋体" w:cs="宋体"/>
                <w:kern w:val="0"/>
                <w:szCs w:val="21"/>
              </w:rPr>
              <w:t>口接受，应满足下列要求：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kern w:val="0"/>
                <w:szCs w:val="21"/>
              </w:rPr>
            </w:pPr>
            <w:r>
              <w:rPr>
                <w:rFonts w:hint="eastAsia" w:ascii="宋体" w:cs="宋体"/>
                <w:kern w:val="0"/>
                <w:szCs w:val="21"/>
              </w:rPr>
              <w:t>13</w:t>
            </w:r>
          </w:p>
        </w:tc>
        <w:tc>
          <w:tcPr>
            <w:tcW w:w="1319" w:type="dxa"/>
            <w:vAlign w:val="center"/>
          </w:tcPr>
          <w:p>
            <w:pPr>
              <w:snapToGrid w:val="0"/>
              <w:spacing w:line="400" w:lineRule="exact"/>
              <w:jc w:val="center"/>
              <w:rPr>
                <w:rFonts w:ascii="宋体" w:cs="宋体"/>
                <w:kern w:val="0"/>
                <w:szCs w:val="21"/>
              </w:rPr>
            </w:pPr>
            <w:r>
              <w:rPr>
                <w:rFonts w:hint="eastAsia" w:ascii="宋体" w:hAnsi="宋体" w:cs="宋体"/>
                <w:kern w:val="0"/>
                <w:szCs w:val="21"/>
              </w:rPr>
              <w:t>踏勘现场</w:t>
            </w:r>
          </w:p>
        </w:tc>
        <w:tc>
          <w:tcPr>
            <w:tcW w:w="6468" w:type="dxa"/>
            <w:vAlign w:val="center"/>
          </w:tcPr>
          <w:p>
            <w:pPr>
              <w:snapToGrid w:val="0"/>
              <w:spacing w:line="400" w:lineRule="exact"/>
              <w:rPr>
                <w:rFonts w:ascii="宋体" w:cs="宋体"/>
                <w:kern w:val="0"/>
                <w:szCs w:val="21"/>
              </w:rPr>
            </w:pPr>
            <w:r>
              <w:rPr>
                <w:rFonts w:hint="eastAsia" w:ascii="宋体" w:hAnsi="宋体" w:cs="宋体"/>
                <w:kern w:val="0"/>
                <w:szCs w:val="21"/>
              </w:rPr>
              <w:t>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kern w:val="0"/>
                <w:szCs w:val="21"/>
              </w:rPr>
            </w:pPr>
            <w:r>
              <w:rPr>
                <w:rFonts w:hint="eastAsia" w:ascii="宋体" w:cs="宋体"/>
                <w:kern w:val="0"/>
                <w:szCs w:val="21"/>
              </w:rPr>
              <w:t>14</w:t>
            </w:r>
          </w:p>
        </w:tc>
        <w:tc>
          <w:tcPr>
            <w:tcW w:w="1319" w:type="dxa"/>
            <w:vAlign w:val="center"/>
          </w:tcPr>
          <w:p>
            <w:pPr>
              <w:snapToGrid w:val="0"/>
              <w:spacing w:line="400" w:lineRule="exact"/>
              <w:jc w:val="center"/>
              <w:rPr>
                <w:rFonts w:ascii="宋体" w:cs="宋体"/>
                <w:kern w:val="0"/>
                <w:szCs w:val="21"/>
              </w:rPr>
            </w:pPr>
            <w:r>
              <w:rPr>
                <w:rFonts w:hint="eastAsia" w:ascii="宋体" w:hAnsi="宋体" w:cs="宋体"/>
                <w:kern w:val="0"/>
                <w:szCs w:val="21"/>
              </w:rPr>
              <w:t>竞选预备会</w:t>
            </w:r>
          </w:p>
        </w:tc>
        <w:tc>
          <w:tcPr>
            <w:tcW w:w="6468" w:type="dxa"/>
            <w:vAlign w:val="center"/>
          </w:tcPr>
          <w:p>
            <w:pPr>
              <w:snapToGrid w:val="0"/>
              <w:spacing w:line="400" w:lineRule="exact"/>
              <w:rPr>
                <w:rFonts w:ascii="宋体" w:cs="宋体"/>
                <w:kern w:val="0"/>
                <w:szCs w:val="21"/>
              </w:rPr>
            </w:pPr>
            <w:r>
              <w:rPr>
                <w:rFonts w:ascii="宋体" w:hAnsi="宋体" w:cs="宋体"/>
                <w:kern w:val="0"/>
                <w:szCs w:val="21"/>
              </w:rPr>
              <w:fldChar w:fldCharType="begin"/>
            </w:r>
            <w:r>
              <w:rPr>
                <w:rFonts w:ascii="宋体" w:hAnsi="宋体" w:cs="宋体"/>
                <w:kern w:val="0"/>
                <w:szCs w:val="21"/>
              </w:rPr>
              <w:instrText xml:space="preserve"> eq \o\ac(</w:instrText>
            </w:r>
            <w:r>
              <w:rPr>
                <w:rFonts w:hint="eastAsia" w:ascii="宋体" w:hAnsi="宋体" w:cs="宋体"/>
                <w:kern w:val="0"/>
                <w:position w:val="-4"/>
                <w:sz w:val="31"/>
                <w:szCs w:val="21"/>
              </w:rPr>
              <w:instrText xml:space="preserve">□</w:instrText>
            </w:r>
            <w:r>
              <w:rPr>
                <w:rFonts w:ascii="宋体" w:cs="宋体"/>
                <w:kern w:val="0"/>
                <w:szCs w:val="21"/>
              </w:rPr>
              <w:instrText xml:space="preserve">,</w:instrText>
            </w:r>
            <w:r>
              <w:rPr>
                <w:rFonts w:hint="eastAsia" w:ascii="宋体" w:hAnsi="宋体" w:cs="宋体"/>
                <w:kern w:val="0"/>
                <w:szCs w:val="21"/>
              </w:rPr>
              <w:instrText xml:space="preserve">√</w:instrText>
            </w:r>
            <w:r>
              <w:rPr>
                <w:rFonts w:ascii="宋体" w:hAnsi="宋体" w:cs="宋体"/>
                <w:kern w:val="0"/>
                <w:szCs w:val="21"/>
              </w:rPr>
              <w:instrText xml:space="preserve">)</w:instrText>
            </w:r>
            <w:r>
              <w:rPr>
                <w:rFonts w:ascii="宋体" w:hAnsi="宋体" w:cs="宋体"/>
                <w:kern w:val="0"/>
                <w:szCs w:val="21"/>
              </w:rPr>
              <w:fldChar w:fldCharType="end"/>
            </w:r>
            <w:r>
              <w:rPr>
                <w:rFonts w:hint="eastAsia" w:ascii="宋体" w:hAnsi="宋体" w:cs="宋体"/>
                <w:kern w:val="0"/>
                <w:szCs w:val="21"/>
              </w:rPr>
              <w:t>不召开</w:t>
            </w:r>
          </w:p>
          <w:p>
            <w:pPr>
              <w:snapToGrid w:val="0"/>
              <w:spacing w:line="400" w:lineRule="exact"/>
              <w:rPr>
                <w:rFonts w:ascii="宋体" w:cs="宋体"/>
                <w:kern w:val="0"/>
                <w:szCs w:val="21"/>
              </w:rPr>
            </w:pPr>
            <w:r>
              <w:rPr>
                <w:rFonts w:hint="eastAsia" w:ascii="宋体" w:hAnsi="宋体" w:cs="宋体"/>
                <w:kern w:val="0"/>
                <w:szCs w:val="21"/>
              </w:rPr>
              <w:t>口召开，召开时间：</w:t>
            </w:r>
          </w:p>
          <w:p>
            <w:pPr>
              <w:snapToGrid w:val="0"/>
              <w:spacing w:line="400" w:lineRule="exact"/>
              <w:ind w:firstLine="840" w:firstLineChars="400"/>
              <w:rPr>
                <w:rFonts w:ascii="宋体" w:cs="宋体"/>
                <w:kern w:val="0"/>
                <w:szCs w:val="21"/>
              </w:rPr>
            </w:pPr>
            <w:r>
              <w:rPr>
                <w:rFonts w:hint="eastAsia" w:ascii="宋体" w:hAnsi="宋体" w:cs="宋体"/>
                <w:kern w:val="0"/>
                <w:szCs w:val="21"/>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kern w:val="0"/>
                <w:szCs w:val="21"/>
              </w:rPr>
            </w:pPr>
            <w:r>
              <w:rPr>
                <w:rFonts w:hint="eastAsia" w:ascii="宋体" w:cs="宋体"/>
                <w:kern w:val="0"/>
                <w:szCs w:val="21"/>
              </w:rPr>
              <w:t>15</w:t>
            </w:r>
          </w:p>
        </w:tc>
        <w:tc>
          <w:tcPr>
            <w:tcW w:w="1319" w:type="dxa"/>
            <w:vAlign w:val="center"/>
          </w:tcPr>
          <w:p>
            <w:pPr>
              <w:snapToGrid w:val="0"/>
              <w:spacing w:line="400" w:lineRule="exact"/>
              <w:jc w:val="center"/>
              <w:rPr>
                <w:rFonts w:ascii="宋体" w:cs="宋体"/>
                <w:kern w:val="0"/>
                <w:szCs w:val="21"/>
              </w:rPr>
            </w:pPr>
            <w:r>
              <w:rPr>
                <w:rFonts w:hint="eastAsia" w:ascii="宋体" w:hAnsi="宋体" w:cs="宋体"/>
                <w:kern w:val="0"/>
                <w:szCs w:val="21"/>
              </w:rPr>
              <w:t>分包</w:t>
            </w:r>
          </w:p>
        </w:tc>
        <w:tc>
          <w:tcPr>
            <w:tcW w:w="6468" w:type="dxa"/>
            <w:vAlign w:val="center"/>
          </w:tcPr>
          <w:p>
            <w:pPr>
              <w:snapToGrid w:val="0"/>
              <w:spacing w:line="400" w:lineRule="exact"/>
              <w:rPr>
                <w:rFonts w:ascii="宋体" w:cs="宋体"/>
                <w:kern w:val="0"/>
                <w:szCs w:val="21"/>
              </w:rPr>
            </w:pPr>
            <w:r>
              <w:rPr>
                <w:rFonts w:hint="eastAsia" w:ascii="宋体" w:hAnsi="宋体" w:cs="宋体"/>
                <w:kern w:val="0"/>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ind w:firstLine="210" w:firstLineChars="100"/>
              <w:rPr>
                <w:rFonts w:ascii="宋体" w:cs="宋体"/>
                <w:kern w:val="0"/>
                <w:szCs w:val="21"/>
              </w:rPr>
            </w:pPr>
            <w:r>
              <w:rPr>
                <w:rFonts w:hint="eastAsia" w:ascii="宋体" w:cs="宋体"/>
                <w:kern w:val="0"/>
                <w:szCs w:val="21"/>
              </w:rPr>
              <w:t>16</w:t>
            </w:r>
          </w:p>
        </w:tc>
        <w:tc>
          <w:tcPr>
            <w:tcW w:w="1319" w:type="dxa"/>
            <w:vAlign w:val="center"/>
          </w:tcPr>
          <w:p>
            <w:pPr>
              <w:snapToGrid w:val="0"/>
              <w:spacing w:line="400" w:lineRule="exact"/>
              <w:jc w:val="center"/>
              <w:rPr>
                <w:rFonts w:ascii="宋体" w:cs="宋体"/>
                <w:kern w:val="0"/>
                <w:szCs w:val="21"/>
              </w:rPr>
            </w:pPr>
            <w:r>
              <w:rPr>
                <w:rFonts w:hint="eastAsia" w:ascii="宋体" w:hAnsi="宋体" w:cs="宋体"/>
                <w:kern w:val="0"/>
                <w:szCs w:val="21"/>
              </w:rPr>
              <w:t>偏离</w:t>
            </w:r>
          </w:p>
        </w:tc>
        <w:tc>
          <w:tcPr>
            <w:tcW w:w="6468" w:type="dxa"/>
            <w:vAlign w:val="center"/>
          </w:tcPr>
          <w:p>
            <w:pPr>
              <w:snapToGrid w:val="0"/>
              <w:spacing w:line="400" w:lineRule="exact"/>
              <w:rPr>
                <w:rFonts w:ascii="宋体" w:cs="宋体"/>
                <w:kern w:val="0"/>
                <w:szCs w:val="21"/>
              </w:rPr>
            </w:pPr>
            <w:r>
              <w:rPr>
                <w:rFonts w:hint="eastAsia" w:ascii="宋体" w:hAnsi="宋体" w:cs="宋体"/>
                <w:kern w:val="0"/>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ind w:firstLine="315" w:firstLineChars="150"/>
              <w:rPr>
                <w:rFonts w:ascii="宋体" w:cs="宋体"/>
                <w:kern w:val="0"/>
                <w:szCs w:val="21"/>
              </w:rPr>
            </w:pPr>
            <w:r>
              <w:rPr>
                <w:rFonts w:hint="eastAsia" w:ascii="宋体" w:cs="宋体"/>
                <w:kern w:val="0"/>
                <w:szCs w:val="21"/>
              </w:rPr>
              <w:t>17</w:t>
            </w:r>
          </w:p>
        </w:tc>
        <w:tc>
          <w:tcPr>
            <w:tcW w:w="1319" w:type="dxa"/>
            <w:vAlign w:val="center"/>
          </w:tcPr>
          <w:p>
            <w:pPr>
              <w:snapToGrid w:val="0"/>
              <w:spacing w:line="400" w:lineRule="exact"/>
              <w:jc w:val="center"/>
              <w:rPr>
                <w:rFonts w:ascii="宋体" w:cs="宋体"/>
                <w:kern w:val="0"/>
                <w:szCs w:val="21"/>
              </w:rPr>
            </w:pPr>
            <w:r>
              <w:rPr>
                <w:rFonts w:hint="eastAsia" w:ascii="宋体" w:hAnsi="宋体" w:cs="宋体"/>
                <w:kern w:val="0"/>
                <w:szCs w:val="21"/>
              </w:rPr>
              <w:t>构成比选文件的其他材料</w:t>
            </w:r>
          </w:p>
        </w:tc>
        <w:tc>
          <w:tcPr>
            <w:tcW w:w="6468" w:type="dxa"/>
            <w:vAlign w:val="center"/>
          </w:tcPr>
          <w:p>
            <w:pPr>
              <w:snapToGrid w:val="0"/>
              <w:spacing w:line="400" w:lineRule="exact"/>
              <w:rPr>
                <w:rFonts w:ascii="宋体" w:cs="宋体"/>
                <w:szCs w:val="21"/>
              </w:rPr>
            </w:pPr>
            <w:r>
              <w:rPr>
                <w:rFonts w:hint="eastAsia" w:ascii="宋体" w:hAnsi="宋体" w:cs="宋体"/>
                <w:szCs w:val="21"/>
              </w:rPr>
              <w:t>澄清、补遗、修改、以及答疑等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0" w:hRule="atLeast"/>
        </w:trPr>
        <w:tc>
          <w:tcPr>
            <w:tcW w:w="1240" w:type="dxa"/>
            <w:vAlign w:val="center"/>
          </w:tcPr>
          <w:p>
            <w:pPr>
              <w:snapToGrid w:val="0"/>
              <w:spacing w:line="400" w:lineRule="exact"/>
              <w:jc w:val="center"/>
              <w:rPr>
                <w:rFonts w:ascii="宋体" w:cs="宋体"/>
                <w:kern w:val="0"/>
                <w:szCs w:val="21"/>
              </w:rPr>
            </w:pPr>
            <w:r>
              <w:rPr>
                <w:rFonts w:hint="eastAsia" w:ascii="宋体" w:cs="宋体"/>
                <w:kern w:val="0"/>
                <w:szCs w:val="21"/>
              </w:rPr>
              <w:t>18</w:t>
            </w:r>
          </w:p>
        </w:tc>
        <w:tc>
          <w:tcPr>
            <w:tcW w:w="1319" w:type="dxa"/>
            <w:vAlign w:val="center"/>
          </w:tcPr>
          <w:p>
            <w:pPr>
              <w:snapToGrid w:val="0"/>
              <w:spacing w:line="400" w:lineRule="exact"/>
              <w:jc w:val="center"/>
              <w:rPr>
                <w:rFonts w:ascii="宋体" w:cs="宋体"/>
                <w:kern w:val="0"/>
                <w:szCs w:val="21"/>
              </w:rPr>
            </w:pPr>
            <w:r>
              <w:rPr>
                <w:rFonts w:hint="eastAsia" w:ascii="宋体" w:hAnsi="宋体" w:cs="宋体"/>
                <w:kern w:val="0"/>
                <w:szCs w:val="21"/>
              </w:rPr>
              <w:t>竞选截止时间</w:t>
            </w:r>
          </w:p>
        </w:tc>
        <w:tc>
          <w:tcPr>
            <w:tcW w:w="6468" w:type="dxa"/>
            <w:vAlign w:val="center"/>
          </w:tcPr>
          <w:p>
            <w:pPr>
              <w:adjustRightInd w:val="0"/>
              <w:spacing w:line="400" w:lineRule="exact"/>
              <w:textAlignment w:val="baseline"/>
              <w:rPr>
                <w:rFonts w:ascii="宋体"/>
                <w:szCs w:val="21"/>
                <w:u w:val="single"/>
              </w:rPr>
            </w:pPr>
            <w:r>
              <w:rPr>
                <w:rFonts w:hint="eastAsia" w:ascii="宋体" w:hAnsi="宋体"/>
                <w:szCs w:val="21"/>
                <w:u w:val="single"/>
              </w:rPr>
              <w:t>竞选文件递交时间：</w:t>
            </w:r>
            <w:r>
              <w:rPr>
                <w:rFonts w:ascii="宋体" w:hAnsi="宋体"/>
                <w:szCs w:val="21"/>
                <w:u w:val="single"/>
              </w:rPr>
              <w:t>201</w:t>
            </w:r>
            <w:r>
              <w:rPr>
                <w:rFonts w:hint="eastAsia" w:ascii="宋体" w:hAnsi="宋体"/>
                <w:szCs w:val="21"/>
                <w:u w:val="single"/>
              </w:rPr>
              <w:t>8年</w:t>
            </w:r>
            <w:r>
              <w:rPr>
                <w:rFonts w:hint="eastAsia" w:ascii="宋体" w:hAnsi="宋体"/>
                <w:szCs w:val="21"/>
                <w:u w:val="single"/>
                <w:lang w:val="en-US" w:eastAsia="zh-CN"/>
              </w:rPr>
              <w:t>11</w:t>
            </w:r>
            <w:r>
              <w:rPr>
                <w:rFonts w:hint="eastAsia" w:ascii="宋体" w:hAnsi="宋体"/>
                <w:szCs w:val="21"/>
                <w:u w:val="single"/>
              </w:rPr>
              <w:t>月</w:t>
            </w:r>
            <w:r>
              <w:rPr>
                <w:rFonts w:hint="eastAsia" w:ascii="宋体" w:hAnsi="宋体"/>
                <w:szCs w:val="21"/>
                <w:u w:val="single"/>
                <w:lang w:val="en-US" w:eastAsia="zh-CN"/>
              </w:rPr>
              <w:t>15</w:t>
            </w:r>
            <w:r>
              <w:rPr>
                <w:rFonts w:hint="eastAsia" w:ascii="宋体" w:hAnsi="宋体"/>
                <w:szCs w:val="21"/>
                <w:u w:val="single"/>
              </w:rPr>
              <w:t>日</w:t>
            </w:r>
            <w:r>
              <w:rPr>
                <w:rFonts w:ascii="宋体" w:hAnsi="宋体"/>
                <w:szCs w:val="21"/>
                <w:u w:val="single"/>
              </w:rPr>
              <w:t xml:space="preserve"> 9 </w:t>
            </w:r>
            <w:r>
              <w:rPr>
                <w:rFonts w:hint="eastAsia" w:ascii="宋体" w:hAnsi="宋体"/>
                <w:szCs w:val="21"/>
                <w:u w:val="single"/>
              </w:rPr>
              <w:t>时30分至</w:t>
            </w:r>
            <w:r>
              <w:rPr>
                <w:rFonts w:ascii="宋体" w:hAnsi="宋体"/>
                <w:szCs w:val="21"/>
                <w:u w:val="single"/>
              </w:rPr>
              <w:t>10</w:t>
            </w:r>
            <w:r>
              <w:rPr>
                <w:rFonts w:hint="eastAsia" w:ascii="宋体" w:hAnsi="宋体"/>
                <w:szCs w:val="21"/>
                <w:u w:val="single"/>
              </w:rPr>
              <w:t>时（北京时间）</w:t>
            </w:r>
          </w:p>
          <w:p>
            <w:pPr>
              <w:adjustRightInd w:val="0"/>
              <w:spacing w:line="400" w:lineRule="exact"/>
              <w:textAlignment w:val="baseline"/>
              <w:rPr>
                <w:rFonts w:ascii="宋体" w:cs="宋体"/>
                <w:b/>
                <w:kern w:val="0"/>
                <w:szCs w:val="21"/>
              </w:rPr>
            </w:pPr>
            <w:r>
              <w:rPr>
                <w:rFonts w:hint="eastAsia" w:ascii="宋体" w:hAnsi="宋体"/>
                <w:szCs w:val="21"/>
                <w:u w:val="single"/>
              </w:rPr>
              <w:t>竞选截止时间：</w:t>
            </w:r>
            <w:r>
              <w:rPr>
                <w:rFonts w:ascii="宋体" w:hAnsi="宋体"/>
                <w:szCs w:val="21"/>
                <w:u w:val="single"/>
              </w:rPr>
              <w:t>201</w:t>
            </w:r>
            <w:r>
              <w:rPr>
                <w:rFonts w:hint="eastAsia" w:ascii="宋体" w:hAnsi="宋体"/>
                <w:szCs w:val="21"/>
                <w:u w:val="single"/>
              </w:rPr>
              <w:t>8年</w:t>
            </w:r>
            <w:r>
              <w:rPr>
                <w:rFonts w:hint="eastAsia" w:ascii="宋体" w:hAnsi="宋体"/>
                <w:szCs w:val="21"/>
                <w:u w:val="single"/>
                <w:lang w:val="en-US" w:eastAsia="zh-CN"/>
              </w:rPr>
              <w:t>11</w:t>
            </w:r>
            <w:r>
              <w:rPr>
                <w:rFonts w:hint="eastAsia" w:ascii="宋体" w:hAnsi="宋体"/>
                <w:szCs w:val="21"/>
                <w:u w:val="single"/>
              </w:rPr>
              <w:t>月</w:t>
            </w:r>
            <w:r>
              <w:rPr>
                <w:rFonts w:hint="eastAsia" w:ascii="宋体" w:hAnsi="宋体"/>
                <w:szCs w:val="21"/>
                <w:u w:val="single"/>
                <w:lang w:val="en-US" w:eastAsia="zh-CN"/>
              </w:rPr>
              <w:t>15</w:t>
            </w:r>
            <w:r>
              <w:rPr>
                <w:rFonts w:hint="eastAsia" w:ascii="宋体" w:hAnsi="宋体"/>
                <w:szCs w:val="21"/>
                <w:u w:val="single"/>
              </w:rPr>
              <w:t>日</w:t>
            </w:r>
            <w:r>
              <w:rPr>
                <w:rFonts w:ascii="宋体" w:hAnsi="宋体"/>
                <w:szCs w:val="21"/>
                <w:u w:val="single"/>
              </w:rPr>
              <w:t xml:space="preserve">  10  </w:t>
            </w:r>
            <w:r>
              <w:rPr>
                <w:rFonts w:hint="eastAsia" w:ascii="宋体" w:hAnsi="宋体"/>
                <w:szCs w:val="21"/>
                <w:u w:val="single"/>
              </w:rPr>
              <w:t>时</w:t>
            </w:r>
            <w:r>
              <w:rPr>
                <w:rFonts w:ascii="宋体" w:hAnsi="宋体"/>
                <w:szCs w:val="21"/>
                <w:u w:val="single"/>
              </w:rPr>
              <w:t xml:space="preserve">  00 </w:t>
            </w:r>
            <w:r>
              <w:rPr>
                <w:rFonts w:hint="eastAsia" w:ascii="宋体" w:hAnsi="宋体"/>
                <w:szCs w:val="21"/>
                <w:u w:val="single"/>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kern w:val="0"/>
                <w:szCs w:val="21"/>
              </w:rPr>
            </w:pPr>
            <w:r>
              <w:rPr>
                <w:rFonts w:hint="eastAsia" w:ascii="宋体" w:cs="宋体"/>
                <w:kern w:val="0"/>
                <w:szCs w:val="21"/>
              </w:rPr>
              <w:t>19</w:t>
            </w:r>
          </w:p>
        </w:tc>
        <w:tc>
          <w:tcPr>
            <w:tcW w:w="1319" w:type="dxa"/>
            <w:vAlign w:val="center"/>
          </w:tcPr>
          <w:p>
            <w:pPr>
              <w:snapToGrid w:val="0"/>
              <w:spacing w:line="400" w:lineRule="exact"/>
              <w:jc w:val="center"/>
              <w:rPr>
                <w:rFonts w:ascii="宋体" w:cs="宋体"/>
                <w:kern w:val="0"/>
                <w:szCs w:val="21"/>
              </w:rPr>
            </w:pPr>
            <w:r>
              <w:rPr>
                <w:rFonts w:hint="eastAsia" w:ascii="宋体" w:hAnsi="宋体" w:cs="宋体"/>
                <w:kern w:val="0"/>
                <w:szCs w:val="21"/>
              </w:rPr>
              <w:t>竞选报价</w:t>
            </w:r>
          </w:p>
        </w:tc>
        <w:tc>
          <w:tcPr>
            <w:tcW w:w="6468" w:type="dxa"/>
            <w:vAlign w:val="center"/>
          </w:tcPr>
          <w:p>
            <w:pPr>
              <w:numPr>
                <w:ilvl w:val="0"/>
                <w:numId w:val="3"/>
              </w:numPr>
              <w:snapToGrid w:val="0"/>
              <w:spacing w:line="360" w:lineRule="auto"/>
              <w:ind w:firstLine="373" w:firstLineChars="178"/>
              <w:rPr>
                <w:rFonts w:asciiTheme="minorEastAsia" w:hAnsiTheme="minorEastAsia" w:eastAsiaTheme="minorEastAsia"/>
                <w:szCs w:val="21"/>
              </w:rPr>
            </w:pPr>
            <w:r>
              <w:rPr>
                <w:rFonts w:hint="eastAsia" w:asciiTheme="minorEastAsia" w:hAnsiTheme="minorEastAsia" w:eastAsiaTheme="minorEastAsia"/>
                <w:szCs w:val="21"/>
              </w:rPr>
              <w:t>竞选人的竞选报价应是本章竞选人须知前附表中所述的全部内容的竞选报价，</w:t>
            </w:r>
            <w:r>
              <w:rPr>
                <w:rFonts w:hint="eastAsia" w:asciiTheme="minorEastAsia" w:hAnsiTheme="minorEastAsia" w:eastAsiaTheme="minorEastAsia"/>
                <w:szCs w:val="21"/>
                <w:highlight w:val="yellow"/>
                <w:lang w:eastAsia="zh-CN"/>
              </w:rPr>
              <w:t>包括但不限于“附表一”中所有项目</w:t>
            </w:r>
            <w:r>
              <w:rPr>
                <w:rFonts w:hint="eastAsia" w:asciiTheme="minorEastAsia" w:hAnsiTheme="minorEastAsia" w:eastAsiaTheme="minorEastAsia"/>
                <w:szCs w:val="21"/>
              </w:rPr>
              <w:t>原料购置、各种配件、机械器具费、辅材费、人工费、检验检测费、管理费、规费、保险、利润、税金、机房降噪（标准：白天55分贝，晚上45分贝）等所有费用，如果有任何遗漏，均被视为竞选人已经在其竞选价格中考虑。</w:t>
            </w:r>
          </w:p>
          <w:p>
            <w:pPr>
              <w:snapToGrid w:val="0"/>
              <w:spacing w:line="360" w:lineRule="auto"/>
              <w:ind w:firstLine="373" w:firstLineChars="178"/>
              <w:rPr>
                <w:rFonts w:asciiTheme="minorEastAsia" w:hAnsiTheme="minorEastAsia" w:eastAsiaTheme="minorEastAsia"/>
                <w:szCs w:val="21"/>
              </w:rPr>
            </w:pPr>
            <w:r>
              <w:rPr>
                <w:rFonts w:hint="eastAsia" w:asciiTheme="minorEastAsia" w:hAnsiTheme="minorEastAsia" w:eastAsiaTheme="minorEastAsia"/>
                <w:szCs w:val="21"/>
              </w:rPr>
              <w:t>2. 本项目采用固定单价的计价和结算方式，竞选报价按固定单价填报，该报价在合同期内有效，且不因市场因素进行调整；结算时设备数量按实际使用的数量计算。</w:t>
            </w:r>
          </w:p>
          <w:p>
            <w:pPr>
              <w:snapToGrid w:val="0"/>
              <w:spacing w:line="360" w:lineRule="auto"/>
              <w:ind w:firstLine="373" w:firstLineChars="178"/>
              <w:rPr>
                <w:rFonts w:asciiTheme="minorEastAsia" w:hAnsiTheme="minorEastAsia" w:eastAsiaTheme="minorEastAsia"/>
                <w:szCs w:val="21"/>
                <w:highlight w:val="yellow"/>
              </w:rPr>
            </w:pPr>
            <w:r>
              <w:rPr>
                <w:rFonts w:hint="eastAsia" w:asciiTheme="minorEastAsia" w:hAnsiTheme="minorEastAsia" w:eastAsiaTheme="minorEastAsia"/>
                <w:szCs w:val="21"/>
                <w:highlight w:val="yellow"/>
              </w:rPr>
              <w:t>结算总价=</w:t>
            </w:r>
            <w:r>
              <w:rPr>
                <w:rFonts w:hint="eastAsia" w:asciiTheme="minorEastAsia" w:hAnsiTheme="minorEastAsia" w:eastAsiaTheme="minorEastAsia"/>
                <w:szCs w:val="21"/>
                <w:highlight w:val="yellow"/>
                <w:lang w:eastAsia="zh-CN"/>
              </w:rPr>
              <w:t>中选报价</w:t>
            </w:r>
            <w:r>
              <w:rPr>
                <w:rFonts w:hint="eastAsia" w:asciiTheme="minorEastAsia" w:hAnsiTheme="minorEastAsia" w:eastAsiaTheme="minorEastAsia"/>
                <w:szCs w:val="21"/>
                <w:highlight w:val="yellow"/>
              </w:rPr>
              <w:t>。</w:t>
            </w:r>
          </w:p>
          <w:p>
            <w:pPr>
              <w:snapToGrid w:val="0"/>
              <w:spacing w:line="360" w:lineRule="auto"/>
              <w:ind w:firstLine="373" w:firstLineChars="178"/>
              <w:rPr>
                <w:rFonts w:asciiTheme="minorEastAsia" w:hAnsiTheme="minorEastAsia" w:eastAsiaTheme="minorEastAsia"/>
                <w:szCs w:val="21"/>
              </w:rPr>
            </w:pPr>
            <w:r>
              <w:rPr>
                <w:rFonts w:hint="eastAsia" w:asciiTheme="minorEastAsia" w:hAnsiTheme="minorEastAsia" w:eastAsiaTheme="minorEastAsia"/>
                <w:szCs w:val="21"/>
              </w:rPr>
              <w:t>3.竞选人应按比选文件中规定的报价表格式填写报价，不得漏项，否则，将被认定为废标。</w:t>
            </w:r>
          </w:p>
          <w:p>
            <w:pPr>
              <w:snapToGrid w:val="0"/>
              <w:spacing w:line="360" w:lineRule="auto"/>
              <w:ind w:firstLine="373" w:firstLineChars="178"/>
              <w:rPr>
                <w:rFonts w:ascii="宋体" w:cs="宋体"/>
                <w:szCs w:val="21"/>
              </w:rPr>
            </w:pPr>
            <w:r>
              <w:rPr>
                <w:rFonts w:hint="eastAsia" w:asciiTheme="minorEastAsia" w:hAnsiTheme="minorEastAsia" w:eastAsiaTheme="minorEastAsia"/>
                <w:szCs w:val="21"/>
              </w:rPr>
              <w:t>4.本项目最高限价为87万元。竞选人的竞选报价不得超过比选控制价，否则，将被认定为废标。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kern w:val="0"/>
                <w:szCs w:val="21"/>
              </w:rPr>
            </w:pPr>
            <w:r>
              <w:rPr>
                <w:rFonts w:hint="eastAsia" w:ascii="宋体" w:cs="宋体"/>
                <w:kern w:val="0"/>
                <w:szCs w:val="21"/>
              </w:rPr>
              <w:t>20</w:t>
            </w:r>
          </w:p>
        </w:tc>
        <w:tc>
          <w:tcPr>
            <w:tcW w:w="1319" w:type="dxa"/>
            <w:vAlign w:val="center"/>
          </w:tcPr>
          <w:p>
            <w:pPr>
              <w:snapToGrid w:val="0"/>
              <w:spacing w:line="400" w:lineRule="exact"/>
              <w:jc w:val="center"/>
              <w:rPr>
                <w:rFonts w:ascii="宋体" w:cs="宋体"/>
                <w:kern w:val="0"/>
                <w:szCs w:val="21"/>
              </w:rPr>
            </w:pPr>
            <w:r>
              <w:rPr>
                <w:rFonts w:hint="eastAsia" w:ascii="宋体" w:hAnsi="宋体" w:cs="宋体"/>
                <w:kern w:val="0"/>
                <w:szCs w:val="21"/>
              </w:rPr>
              <w:t>竞选有效期</w:t>
            </w:r>
          </w:p>
        </w:tc>
        <w:tc>
          <w:tcPr>
            <w:tcW w:w="6468" w:type="dxa"/>
            <w:vAlign w:val="center"/>
          </w:tcPr>
          <w:p>
            <w:pPr>
              <w:snapToGrid w:val="0"/>
              <w:spacing w:line="400" w:lineRule="exact"/>
              <w:rPr>
                <w:rFonts w:ascii="宋体" w:cs="宋体"/>
                <w:szCs w:val="21"/>
              </w:rPr>
            </w:pPr>
            <w:r>
              <w:rPr>
                <w:rFonts w:ascii="宋体" w:hAnsi="宋体"/>
                <w:szCs w:val="21"/>
                <w:u w:val="single"/>
              </w:rPr>
              <w:t>90</w:t>
            </w:r>
            <w:r>
              <w:rPr>
                <w:rFonts w:hint="eastAsia" w:ascii="宋体" w:hAnsi="宋体"/>
                <w:szCs w:val="21"/>
              </w:rPr>
              <w:t>日历天（从提交竞选文件截止日起计算）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kern w:val="0"/>
                <w:szCs w:val="21"/>
              </w:rPr>
            </w:pPr>
            <w:r>
              <w:rPr>
                <w:rFonts w:hint="eastAsia" w:ascii="宋体" w:cs="宋体"/>
                <w:kern w:val="0"/>
                <w:szCs w:val="21"/>
              </w:rPr>
              <w:t>21</w:t>
            </w:r>
          </w:p>
        </w:tc>
        <w:tc>
          <w:tcPr>
            <w:tcW w:w="1319" w:type="dxa"/>
            <w:vAlign w:val="center"/>
          </w:tcPr>
          <w:p>
            <w:pPr>
              <w:snapToGrid w:val="0"/>
              <w:spacing w:line="400" w:lineRule="exact"/>
              <w:jc w:val="center"/>
              <w:rPr>
                <w:rFonts w:ascii="宋体" w:cs="宋体"/>
                <w:kern w:val="0"/>
                <w:szCs w:val="21"/>
              </w:rPr>
            </w:pPr>
            <w:r>
              <w:rPr>
                <w:rFonts w:hint="eastAsia" w:ascii="宋体" w:hAnsi="宋体" w:cs="宋体"/>
                <w:kern w:val="0"/>
                <w:szCs w:val="21"/>
              </w:rPr>
              <w:t>竞选保证金</w:t>
            </w:r>
          </w:p>
        </w:tc>
        <w:tc>
          <w:tcPr>
            <w:tcW w:w="6468" w:type="dxa"/>
            <w:vAlign w:val="center"/>
          </w:tcPr>
          <w:p>
            <w:pPr>
              <w:spacing w:line="360" w:lineRule="auto"/>
              <w:rPr>
                <w:rFonts w:ascii="宋体" w:hAnsi="宋体"/>
                <w:szCs w:val="21"/>
              </w:rPr>
            </w:pPr>
            <w:r>
              <w:rPr>
                <w:rFonts w:hint="eastAsia" w:ascii="宋体" w:hAnsi="宋体"/>
                <w:szCs w:val="21"/>
              </w:rPr>
              <w:t>一、竞选保证金的交纳</w:t>
            </w:r>
          </w:p>
          <w:p>
            <w:pPr>
              <w:spacing w:line="360" w:lineRule="auto"/>
              <w:rPr>
                <w:rFonts w:ascii="宋体" w:hAnsi="宋体"/>
                <w:szCs w:val="21"/>
              </w:rPr>
            </w:pPr>
            <w:r>
              <w:rPr>
                <w:rFonts w:hint="eastAsia" w:ascii="宋体" w:hAnsi="宋体"/>
                <w:szCs w:val="21"/>
              </w:rPr>
              <w:t xml:space="preserve">    1、竞选保证金交款形式及要求：竞选人从企业的基本账户（开户行）通过转账或电汇方式转入指定账户。</w:t>
            </w:r>
          </w:p>
          <w:p>
            <w:pPr>
              <w:spacing w:line="360" w:lineRule="auto"/>
              <w:rPr>
                <w:rFonts w:ascii="宋体" w:hAnsi="宋体"/>
                <w:szCs w:val="21"/>
              </w:rPr>
            </w:pPr>
            <w:r>
              <w:rPr>
                <w:rFonts w:hint="eastAsia" w:ascii="宋体" w:hAnsi="宋体"/>
                <w:szCs w:val="21"/>
              </w:rPr>
              <w:t xml:space="preserve">    2、竞选保证金到账截止时间：竞选文件递交截止3小时前，竞选人应自行考虑汇入时间风险，如同城汇入、异地汇入、跨行汇入的时间要求。</w:t>
            </w:r>
          </w:p>
          <w:p>
            <w:pPr>
              <w:spacing w:line="360" w:lineRule="auto"/>
              <w:rPr>
                <w:rFonts w:ascii="宋体" w:hAnsi="宋体"/>
                <w:szCs w:val="21"/>
              </w:rPr>
            </w:pPr>
            <w:r>
              <w:rPr>
                <w:rFonts w:hint="eastAsia" w:ascii="宋体" w:hAnsi="宋体"/>
                <w:szCs w:val="21"/>
              </w:rPr>
              <w:t xml:space="preserve">    3、竞选保证金的金额：人民币1</w:t>
            </w:r>
            <w:r>
              <w:rPr>
                <w:rFonts w:hint="eastAsia" w:ascii="宋体" w:hAnsi="宋体"/>
                <w:bCs/>
                <w:szCs w:val="21"/>
              </w:rPr>
              <w:t>0000.00</w:t>
            </w:r>
            <w:r>
              <w:rPr>
                <w:rFonts w:hint="eastAsia" w:ascii="宋体" w:hAnsi="宋体"/>
                <w:szCs w:val="21"/>
              </w:rPr>
              <w:t>元（大写：壹万元整）</w:t>
            </w:r>
          </w:p>
          <w:p>
            <w:pPr>
              <w:spacing w:line="360" w:lineRule="auto"/>
              <w:rPr>
                <w:rFonts w:ascii="宋体" w:hAnsi="宋体"/>
                <w:szCs w:val="21"/>
              </w:rPr>
            </w:pPr>
            <w:r>
              <w:rPr>
                <w:rFonts w:hint="eastAsia" w:ascii="宋体" w:hAnsi="宋体"/>
                <w:szCs w:val="21"/>
              </w:rPr>
              <w:t xml:space="preserve">    4、竞选保证金收款单位： </w:t>
            </w:r>
          </w:p>
          <w:p>
            <w:pPr>
              <w:pStyle w:val="30"/>
              <w:spacing w:line="360" w:lineRule="auto"/>
              <w:ind w:firstLine="420" w:firstLineChars="200"/>
              <w:rPr>
                <w:rFonts w:hAnsi="宋体"/>
                <w:szCs w:val="21"/>
              </w:rPr>
            </w:pPr>
            <w:r>
              <w:rPr>
                <w:rFonts w:hint="eastAsia" w:hAnsi="宋体"/>
                <w:szCs w:val="21"/>
              </w:rPr>
              <w:t>开户名： 重庆医科大学附属第二医院</w:t>
            </w:r>
          </w:p>
          <w:p>
            <w:pPr>
              <w:pStyle w:val="30"/>
              <w:spacing w:line="360" w:lineRule="auto"/>
              <w:ind w:firstLine="420" w:firstLineChars="200"/>
              <w:rPr>
                <w:rFonts w:hAnsi="宋体"/>
                <w:szCs w:val="21"/>
              </w:rPr>
            </w:pPr>
            <w:r>
              <w:rPr>
                <w:rFonts w:hint="eastAsia" w:hAnsi="宋体"/>
                <w:szCs w:val="21"/>
              </w:rPr>
              <w:t>开户行： 建行重庆市分行营业部</w:t>
            </w:r>
          </w:p>
          <w:p>
            <w:pPr>
              <w:pStyle w:val="30"/>
              <w:spacing w:line="360" w:lineRule="auto"/>
              <w:ind w:firstLine="420" w:firstLineChars="200"/>
              <w:rPr>
                <w:rFonts w:hAnsi="宋体"/>
                <w:szCs w:val="21"/>
              </w:rPr>
            </w:pPr>
            <w:r>
              <w:rPr>
                <w:rFonts w:hint="eastAsia" w:hAnsi="宋体"/>
                <w:szCs w:val="21"/>
              </w:rPr>
              <w:t>账  号：50001333600050010455</w:t>
            </w:r>
          </w:p>
          <w:p>
            <w:pPr>
              <w:spacing w:line="360" w:lineRule="auto"/>
              <w:rPr>
                <w:rFonts w:ascii="宋体" w:hAnsi="宋体"/>
                <w:szCs w:val="21"/>
              </w:rPr>
            </w:pPr>
            <w:r>
              <w:rPr>
                <w:rFonts w:hint="eastAsia" w:ascii="宋体" w:hAnsi="宋体"/>
                <w:szCs w:val="21"/>
              </w:rPr>
              <w:t xml:space="preserve">    5、竞选保证金有效期为竞选有效期加30天。</w:t>
            </w:r>
          </w:p>
          <w:p>
            <w:pPr>
              <w:spacing w:line="360" w:lineRule="auto"/>
              <w:rPr>
                <w:rFonts w:ascii="宋体" w:hAnsi="宋体"/>
                <w:szCs w:val="21"/>
              </w:rPr>
            </w:pPr>
            <w:r>
              <w:rPr>
                <w:rFonts w:hint="eastAsia" w:ascii="宋体" w:hAnsi="宋体"/>
                <w:kern w:val="0"/>
                <w:szCs w:val="21"/>
              </w:rPr>
              <w:t>二</w:t>
            </w:r>
            <w:r>
              <w:rPr>
                <w:rFonts w:hint="eastAsia" w:ascii="宋体" w:hAnsi="宋体"/>
                <w:szCs w:val="21"/>
              </w:rPr>
              <w:t>、竞选保证金的退还</w:t>
            </w:r>
          </w:p>
          <w:p>
            <w:pPr>
              <w:spacing w:line="400" w:lineRule="exact"/>
              <w:ind w:left="-2" w:firstLine="315" w:firstLineChars="150"/>
              <w:jc w:val="left"/>
              <w:rPr>
                <w:rFonts w:ascii="宋体" w:cs="宋体"/>
                <w:kern w:val="0"/>
                <w:szCs w:val="21"/>
              </w:rPr>
            </w:pPr>
            <w:r>
              <w:rPr>
                <w:rFonts w:hint="eastAsia" w:ascii="宋体" w:hAnsi="宋体"/>
                <w:szCs w:val="21"/>
              </w:rPr>
              <w:t>中选通知书发出5个工作日内，向中选候选人以外的其他竞选人退还竞选保证金；合同签订后5个工作日内，向中选人及其他中选候选人退还竞选保证金。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kern w:val="0"/>
                <w:szCs w:val="21"/>
              </w:rPr>
            </w:pPr>
            <w:r>
              <w:rPr>
                <w:rFonts w:hint="eastAsia" w:ascii="宋体" w:cs="宋体"/>
                <w:kern w:val="0"/>
                <w:szCs w:val="21"/>
              </w:rPr>
              <w:t>22</w:t>
            </w:r>
          </w:p>
        </w:tc>
        <w:tc>
          <w:tcPr>
            <w:tcW w:w="1319" w:type="dxa"/>
            <w:vAlign w:val="center"/>
          </w:tcPr>
          <w:p>
            <w:pPr>
              <w:snapToGrid w:val="0"/>
              <w:spacing w:line="400" w:lineRule="exact"/>
              <w:jc w:val="center"/>
              <w:rPr>
                <w:rFonts w:ascii="宋体" w:cs="宋体"/>
                <w:kern w:val="0"/>
                <w:szCs w:val="21"/>
              </w:rPr>
            </w:pPr>
            <w:r>
              <w:rPr>
                <w:rFonts w:hint="eastAsia" w:ascii="宋体" w:hAnsi="宋体" w:cs="宋体"/>
                <w:kern w:val="0"/>
                <w:szCs w:val="21"/>
              </w:rPr>
              <w:t>是否允许递交备选竞选方案</w:t>
            </w:r>
          </w:p>
        </w:tc>
        <w:tc>
          <w:tcPr>
            <w:tcW w:w="6468" w:type="dxa"/>
            <w:vAlign w:val="center"/>
          </w:tcPr>
          <w:p>
            <w:pPr>
              <w:snapToGrid w:val="0"/>
              <w:spacing w:line="400" w:lineRule="exact"/>
              <w:rPr>
                <w:rFonts w:ascii="宋体" w:cs="宋体"/>
                <w:kern w:val="0"/>
                <w:szCs w:val="21"/>
              </w:rPr>
            </w:pPr>
            <w:r>
              <w:rPr>
                <w:rFonts w:ascii="宋体" w:hAnsi="宋体" w:cs="宋体"/>
                <w:kern w:val="0"/>
                <w:szCs w:val="21"/>
              </w:rPr>
              <w:fldChar w:fldCharType="begin"/>
            </w:r>
            <w:r>
              <w:rPr>
                <w:rFonts w:ascii="宋体" w:hAnsi="宋体" w:cs="宋体"/>
                <w:kern w:val="0"/>
                <w:szCs w:val="21"/>
              </w:rPr>
              <w:instrText xml:space="preserve"> eq \o\ac(</w:instrText>
            </w:r>
            <w:r>
              <w:rPr>
                <w:rFonts w:hint="eastAsia" w:ascii="宋体" w:hAnsi="宋体" w:cs="宋体"/>
                <w:kern w:val="0"/>
                <w:position w:val="-4"/>
                <w:sz w:val="31"/>
                <w:szCs w:val="21"/>
              </w:rPr>
              <w:instrText xml:space="preserve">□</w:instrText>
            </w:r>
            <w:r>
              <w:rPr>
                <w:rFonts w:ascii="宋体" w:cs="宋体"/>
                <w:kern w:val="0"/>
                <w:szCs w:val="21"/>
              </w:rPr>
              <w:instrText xml:space="preserve">,</w:instrText>
            </w:r>
            <w:r>
              <w:rPr>
                <w:rFonts w:hint="eastAsia" w:ascii="宋体" w:hAnsi="宋体" w:cs="宋体"/>
                <w:kern w:val="0"/>
                <w:szCs w:val="21"/>
              </w:rPr>
              <w:instrText xml:space="preserve">√</w:instrText>
            </w:r>
            <w:r>
              <w:rPr>
                <w:rFonts w:ascii="宋体" w:hAnsi="宋体" w:cs="宋体"/>
                <w:kern w:val="0"/>
                <w:szCs w:val="21"/>
              </w:rPr>
              <w:instrText xml:space="preserve">)</w:instrText>
            </w:r>
            <w:r>
              <w:rPr>
                <w:rFonts w:ascii="宋体" w:hAnsi="宋体" w:cs="宋体"/>
                <w:kern w:val="0"/>
                <w:szCs w:val="21"/>
              </w:rPr>
              <w:fldChar w:fldCharType="end"/>
            </w:r>
            <w:r>
              <w:rPr>
                <w:rFonts w:hint="eastAsia" w:ascii="宋体" w:hAnsi="宋体" w:cs="宋体"/>
                <w:kern w:val="0"/>
                <w:szCs w:val="21"/>
              </w:rPr>
              <w:t>不允许</w:t>
            </w:r>
          </w:p>
          <w:p>
            <w:pPr>
              <w:snapToGrid w:val="0"/>
              <w:spacing w:line="400" w:lineRule="exact"/>
              <w:rPr>
                <w:rFonts w:ascii="宋体" w:cs="宋体"/>
                <w:kern w:val="0"/>
                <w:szCs w:val="21"/>
              </w:rPr>
            </w:pPr>
            <w:r>
              <w:rPr>
                <w:rFonts w:hint="eastAsia" w:ascii="宋体" w:hAnsi="宋体" w:cs="宋体"/>
                <w:kern w:val="0"/>
                <w:szCs w:val="21"/>
              </w:rPr>
              <w:t>口允许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kern w:val="0"/>
                <w:szCs w:val="21"/>
              </w:rPr>
            </w:pPr>
            <w:r>
              <w:rPr>
                <w:rFonts w:hint="eastAsia" w:ascii="宋体" w:cs="宋体"/>
                <w:kern w:val="0"/>
                <w:szCs w:val="21"/>
              </w:rPr>
              <w:t>23</w:t>
            </w:r>
          </w:p>
        </w:tc>
        <w:tc>
          <w:tcPr>
            <w:tcW w:w="1319" w:type="dxa"/>
            <w:vAlign w:val="center"/>
          </w:tcPr>
          <w:p>
            <w:pPr>
              <w:snapToGrid w:val="0"/>
              <w:spacing w:line="400" w:lineRule="exact"/>
              <w:jc w:val="center"/>
              <w:rPr>
                <w:rFonts w:ascii="宋体" w:cs="宋体"/>
                <w:kern w:val="0"/>
                <w:szCs w:val="21"/>
              </w:rPr>
            </w:pPr>
            <w:r>
              <w:rPr>
                <w:rFonts w:hint="eastAsia" w:ascii="宋体" w:hAnsi="宋体" w:cs="宋体"/>
                <w:kern w:val="0"/>
                <w:szCs w:val="21"/>
              </w:rPr>
              <w:t>签字盖章要求</w:t>
            </w:r>
          </w:p>
        </w:tc>
        <w:tc>
          <w:tcPr>
            <w:tcW w:w="6468" w:type="dxa"/>
            <w:vAlign w:val="center"/>
          </w:tcPr>
          <w:p>
            <w:pPr>
              <w:spacing w:line="400" w:lineRule="exact"/>
              <w:jc w:val="left"/>
              <w:rPr>
                <w:rFonts w:ascii="宋体"/>
                <w:bCs/>
                <w:szCs w:val="21"/>
              </w:rPr>
            </w:pPr>
            <w:r>
              <w:rPr>
                <w:rFonts w:ascii="宋体" w:hAnsi="宋体"/>
                <w:bCs/>
                <w:szCs w:val="21"/>
              </w:rPr>
              <w:t>1.</w:t>
            </w:r>
            <w:r>
              <w:rPr>
                <w:rFonts w:hint="eastAsia" w:ascii="宋体" w:hAnsi="宋体"/>
                <w:bCs/>
                <w:szCs w:val="21"/>
              </w:rPr>
              <w:t>所有竞选文件封面须加盖竞选人公章（鲜章），正副本均须加盖骑缝章（鲜章）；</w:t>
            </w:r>
          </w:p>
          <w:p>
            <w:pPr>
              <w:spacing w:line="400" w:lineRule="exact"/>
              <w:jc w:val="left"/>
              <w:rPr>
                <w:rFonts w:ascii="宋体"/>
                <w:bCs/>
                <w:szCs w:val="21"/>
              </w:rPr>
            </w:pPr>
            <w:r>
              <w:rPr>
                <w:rFonts w:ascii="宋体" w:hAnsi="宋体"/>
                <w:bCs/>
                <w:szCs w:val="21"/>
              </w:rPr>
              <w:t>2.</w:t>
            </w:r>
            <w:r>
              <w:rPr>
                <w:rFonts w:hint="eastAsia" w:ascii="宋体" w:hAnsi="宋体"/>
                <w:bCs/>
                <w:szCs w:val="21"/>
              </w:rPr>
              <w:t>比选文件要求签字、盖章的地方均须由法定代表人或其委托代理人签字、加盖竞选人公章（鲜章）。</w:t>
            </w:r>
          </w:p>
          <w:p>
            <w:pPr>
              <w:spacing w:line="400" w:lineRule="exact"/>
              <w:jc w:val="left"/>
              <w:rPr>
                <w:rFonts w:ascii="宋体"/>
                <w:bCs/>
                <w:szCs w:val="21"/>
              </w:rPr>
            </w:pPr>
            <w:r>
              <w:rPr>
                <w:rFonts w:hint="eastAsia" w:ascii="宋体" w:hAnsi="宋体"/>
                <w:bCs/>
                <w:szCs w:val="21"/>
              </w:rPr>
              <w:t>注：以上所要求鲜章均为竞选人公章，不得以“竞选专用章”等代替，否则，评标委员会将否决其竞选。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kern w:val="0"/>
                <w:szCs w:val="21"/>
              </w:rPr>
            </w:pPr>
            <w:r>
              <w:rPr>
                <w:rFonts w:hint="eastAsia" w:ascii="宋体" w:cs="宋体"/>
                <w:kern w:val="0"/>
                <w:szCs w:val="21"/>
              </w:rPr>
              <w:t>24</w:t>
            </w:r>
          </w:p>
        </w:tc>
        <w:tc>
          <w:tcPr>
            <w:tcW w:w="1319" w:type="dxa"/>
            <w:vAlign w:val="center"/>
          </w:tcPr>
          <w:p>
            <w:pPr>
              <w:snapToGrid w:val="0"/>
              <w:spacing w:line="400" w:lineRule="exact"/>
              <w:jc w:val="center"/>
              <w:rPr>
                <w:rFonts w:ascii="宋体" w:cs="宋体"/>
                <w:kern w:val="0"/>
                <w:szCs w:val="21"/>
              </w:rPr>
            </w:pPr>
            <w:r>
              <w:rPr>
                <w:rFonts w:hint="eastAsia" w:ascii="宋体" w:hAnsi="宋体" w:cs="宋体"/>
                <w:kern w:val="0"/>
                <w:szCs w:val="21"/>
              </w:rPr>
              <w:t>竞选文件份数</w:t>
            </w:r>
          </w:p>
        </w:tc>
        <w:tc>
          <w:tcPr>
            <w:tcW w:w="6468" w:type="dxa"/>
            <w:vAlign w:val="center"/>
          </w:tcPr>
          <w:p>
            <w:pPr>
              <w:autoSpaceDE w:val="0"/>
              <w:autoSpaceDN w:val="0"/>
              <w:adjustRightInd w:val="0"/>
              <w:snapToGrid w:val="0"/>
              <w:spacing w:line="400" w:lineRule="exact"/>
              <w:rPr>
                <w:rFonts w:ascii="宋体"/>
                <w:kern w:val="0"/>
                <w:szCs w:val="21"/>
              </w:rPr>
            </w:pPr>
            <w:r>
              <w:rPr>
                <w:rFonts w:ascii="宋体" w:hAnsi="宋体"/>
                <w:kern w:val="0"/>
                <w:szCs w:val="21"/>
              </w:rPr>
              <w:t>1</w:t>
            </w:r>
            <w:r>
              <w:rPr>
                <w:rFonts w:hint="eastAsia" w:ascii="宋体" w:hAnsi="宋体"/>
                <w:kern w:val="0"/>
                <w:szCs w:val="21"/>
              </w:rPr>
              <w:t>份正本，</w:t>
            </w:r>
            <w:r>
              <w:rPr>
                <w:rFonts w:ascii="宋体" w:hAnsi="宋体"/>
                <w:kern w:val="0"/>
                <w:szCs w:val="21"/>
              </w:rPr>
              <w:t>3</w:t>
            </w:r>
            <w:r>
              <w:rPr>
                <w:rFonts w:hint="eastAsia" w:ascii="宋体" w:hAnsi="宋体"/>
                <w:kern w:val="0"/>
                <w:szCs w:val="21"/>
              </w:rPr>
              <w:t>份副本，</w:t>
            </w:r>
            <w:r>
              <w:rPr>
                <w:rFonts w:ascii="宋体" w:hAnsi="宋体"/>
                <w:kern w:val="0"/>
                <w:szCs w:val="21"/>
              </w:rPr>
              <w:t>1</w:t>
            </w:r>
            <w:r>
              <w:rPr>
                <w:rFonts w:hint="eastAsia" w:ascii="宋体" w:hAnsi="宋体"/>
                <w:kern w:val="0"/>
                <w:szCs w:val="21"/>
              </w:rPr>
              <w:t>份唱标函，另提供</w:t>
            </w:r>
            <w:r>
              <w:rPr>
                <w:rFonts w:ascii="宋体" w:hAnsi="宋体"/>
                <w:kern w:val="0"/>
                <w:szCs w:val="21"/>
              </w:rPr>
              <w:t>1</w:t>
            </w:r>
            <w:r>
              <w:rPr>
                <w:rFonts w:hint="eastAsia" w:ascii="宋体" w:hAnsi="宋体"/>
                <w:kern w:val="0"/>
                <w:szCs w:val="21"/>
              </w:rPr>
              <w:t>份与竞选文件内容相同的电子文档（光盘或</w:t>
            </w:r>
            <w:r>
              <w:rPr>
                <w:rFonts w:ascii="宋体" w:hAnsi="宋体"/>
                <w:kern w:val="0"/>
                <w:szCs w:val="21"/>
              </w:rPr>
              <w:t>U</w:t>
            </w:r>
            <w:r>
              <w:rPr>
                <w:rFonts w:hint="eastAsia" w:ascii="宋体" w:hAnsi="宋体"/>
                <w:kern w:val="0"/>
                <w:szCs w:val="21"/>
              </w:rPr>
              <w:t>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kern w:val="0"/>
                <w:szCs w:val="21"/>
              </w:rPr>
            </w:pPr>
            <w:r>
              <w:rPr>
                <w:rFonts w:hint="eastAsia" w:ascii="宋体" w:cs="宋体"/>
                <w:kern w:val="0"/>
                <w:szCs w:val="21"/>
              </w:rPr>
              <w:t>25</w:t>
            </w:r>
          </w:p>
        </w:tc>
        <w:tc>
          <w:tcPr>
            <w:tcW w:w="1319" w:type="dxa"/>
            <w:vAlign w:val="center"/>
          </w:tcPr>
          <w:p>
            <w:pPr>
              <w:snapToGrid w:val="0"/>
              <w:spacing w:line="400" w:lineRule="exact"/>
              <w:jc w:val="center"/>
              <w:rPr>
                <w:rFonts w:ascii="宋体" w:cs="宋体"/>
                <w:kern w:val="0"/>
                <w:szCs w:val="21"/>
              </w:rPr>
            </w:pPr>
            <w:r>
              <w:rPr>
                <w:rFonts w:hint="eastAsia" w:ascii="宋体" w:hAnsi="宋体" w:cs="宋体"/>
                <w:kern w:val="0"/>
                <w:szCs w:val="21"/>
              </w:rPr>
              <w:t>装订要求</w:t>
            </w:r>
          </w:p>
        </w:tc>
        <w:tc>
          <w:tcPr>
            <w:tcW w:w="6468" w:type="dxa"/>
            <w:vAlign w:val="center"/>
          </w:tcPr>
          <w:p>
            <w:pPr>
              <w:adjustRightInd w:val="0"/>
              <w:snapToGrid w:val="0"/>
              <w:spacing w:line="400" w:lineRule="exact"/>
              <w:rPr>
                <w:rFonts w:ascii="宋体"/>
                <w:szCs w:val="21"/>
              </w:rPr>
            </w:pPr>
            <w:r>
              <w:rPr>
                <w:rFonts w:hint="eastAsia" w:ascii="宋体" w:hAnsi="宋体"/>
                <w:spacing w:val="-4"/>
                <w:szCs w:val="21"/>
              </w:rPr>
              <w:t>竞选文件的正本与副本应分别装订成册，采用胶订、平订或线订等，不得采用活页装订方式。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kern w:val="0"/>
                <w:szCs w:val="21"/>
              </w:rPr>
            </w:pPr>
            <w:r>
              <w:rPr>
                <w:rFonts w:hint="eastAsia" w:ascii="宋体" w:cs="宋体"/>
                <w:kern w:val="0"/>
                <w:szCs w:val="21"/>
              </w:rPr>
              <w:t>26</w:t>
            </w:r>
          </w:p>
        </w:tc>
        <w:tc>
          <w:tcPr>
            <w:tcW w:w="1319" w:type="dxa"/>
            <w:vAlign w:val="center"/>
          </w:tcPr>
          <w:p>
            <w:pPr>
              <w:snapToGrid w:val="0"/>
              <w:spacing w:line="400" w:lineRule="exact"/>
              <w:jc w:val="center"/>
              <w:rPr>
                <w:rFonts w:ascii="宋体" w:cs="宋体"/>
                <w:kern w:val="0"/>
                <w:szCs w:val="21"/>
              </w:rPr>
            </w:pPr>
            <w:r>
              <w:rPr>
                <w:rFonts w:hint="eastAsia" w:ascii="宋体" w:hAnsi="宋体" w:cs="宋体"/>
                <w:kern w:val="0"/>
                <w:szCs w:val="21"/>
              </w:rPr>
              <w:t>竞选文件的密封</w:t>
            </w:r>
          </w:p>
        </w:tc>
        <w:tc>
          <w:tcPr>
            <w:tcW w:w="6468" w:type="dxa"/>
            <w:vAlign w:val="center"/>
          </w:tcPr>
          <w:p>
            <w:pPr>
              <w:spacing w:line="360" w:lineRule="auto"/>
              <w:ind w:firstLine="420" w:firstLineChars="200"/>
              <w:rPr>
                <w:rFonts w:ascii="宋体"/>
                <w:szCs w:val="28"/>
              </w:rPr>
            </w:pPr>
            <w:r>
              <w:rPr>
                <w:rFonts w:hint="eastAsia" w:ascii="宋体" w:hAnsi="宋体"/>
                <w:szCs w:val="28"/>
              </w:rPr>
              <w:t>密封件之一：竞选人应将竞选文件中的竞选函另做一份（与装订在正本中的完全一致，并签字、加盖竞选人公章）、竞选文件电子版封装在一个文件袋内，并在袋上加盖竞选人单位公章。（封套应标明</w:t>
            </w:r>
            <w:r>
              <w:rPr>
                <w:rFonts w:hint="eastAsia" w:ascii="宋体"/>
                <w:szCs w:val="28"/>
              </w:rPr>
              <w:t>“</w:t>
            </w:r>
            <w:r>
              <w:rPr>
                <w:rFonts w:hint="eastAsia" w:ascii="宋体" w:hAnsi="宋体"/>
                <w:szCs w:val="28"/>
              </w:rPr>
              <w:t>唱标函</w:t>
            </w:r>
            <w:r>
              <w:rPr>
                <w:rFonts w:hint="eastAsia" w:ascii="宋体"/>
                <w:szCs w:val="28"/>
              </w:rPr>
              <w:t>”</w:t>
            </w:r>
            <w:r>
              <w:rPr>
                <w:rFonts w:hint="eastAsia" w:ascii="宋体" w:hAnsi="宋体"/>
                <w:szCs w:val="28"/>
              </w:rPr>
              <w:t>字样）</w:t>
            </w:r>
          </w:p>
          <w:p>
            <w:pPr>
              <w:spacing w:line="360" w:lineRule="auto"/>
              <w:ind w:firstLine="420" w:firstLineChars="200"/>
              <w:rPr>
                <w:rFonts w:ascii="宋体"/>
                <w:szCs w:val="28"/>
              </w:rPr>
            </w:pPr>
            <w:r>
              <w:rPr>
                <w:rFonts w:hint="eastAsia" w:ascii="宋体" w:hAnsi="宋体"/>
                <w:szCs w:val="28"/>
              </w:rPr>
              <w:t>密封件之二：竞选人应将装订好的竞选文件正、副本封装在一个文件袋内，并在袋上加盖竞选人单位公章。（封套应标明</w:t>
            </w:r>
            <w:r>
              <w:rPr>
                <w:rFonts w:hint="eastAsia" w:ascii="宋体"/>
                <w:szCs w:val="28"/>
              </w:rPr>
              <w:t>“</w:t>
            </w:r>
            <w:r>
              <w:rPr>
                <w:rFonts w:hint="eastAsia" w:ascii="宋体" w:hAnsi="宋体"/>
                <w:szCs w:val="28"/>
              </w:rPr>
              <w:t>竞选文件</w:t>
            </w:r>
            <w:r>
              <w:rPr>
                <w:rFonts w:hint="eastAsia" w:ascii="宋体"/>
                <w:szCs w:val="28"/>
              </w:rPr>
              <w:t>”</w:t>
            </w:r>
            <w:r>
              <w:rPr>
                <w:rFonts w:hint="eastAsia" w:ascii="宋体" w:hAnsi="宋体"/>
                <w:szCs w:val="28"/>
              </w:rPr>
              <w:t>字样）</w:t>
            </w:r>
          </w:p>
          <w:p>
            <w:pPr>
              <w:spacing w:line="360" w:lineRule="auto"/>
              <w:ind w:firstLine="420" w:firstLineChars="200"/>
              <w:rPr>
                <w:rFonts w:ascii="宋体"/>
                <w:spacing w:val="-4"/>
                <w:szCs w:val="21"/>
              </w:rPr>
            </w:pPr>
            <w:r>
              <w:rPr>
                <w:rFonts w:hint="eastAsia" w:ascii="宋体" w:hAnsi="宋体"/>
                <w:szCs w:val="28"/>
              </w:rPr>
              <w:t>上述两个密封件均应按竞选人须知前附表规定写明封套，密封完好</w:t>
            </w:r>
            <w:r>
              <w:rPr>
                <w:rFonts w:hint="eastAsia" w:ascii="宋体"/>
                <w:szCs w:val="21"/>
              </w:rPr>
              <w:t>装入“竞选文件大袋”中，并在大袋上加盖竞选人单位公章。</w:t>
            </w:r>
            <w:r>
              <w:rPr>
                <w:rFonts w:hint="eastAsia" w:ascii="宋体" w:hAnsi="宋体"/>
                <w:szCs w:val="28"/>
              </w:rPr>
              <w:t>（封套应标明</w:t>
            </w:r>
            <w:r>
              <w:rPr>
                <w:rFonts w:hint="eastAsia" w:ascii="宋体"/>
                <w:szCs w:val="28"/>
              </w:rPr>
              <w:t>“</w:t>
            </w:r>
            <w:r>
              <w:rPr>
                <w:rFonts w:hint="eastAsia" w:ascii="宋体" w:hAnsi="宋体"/>
                <w:szCs w:val="28"/>
              </w:rPr>
              <w:t>竞选文件大袋</w:t>
            </w:r>
            <w:r>
              <w:rPr>
                <w:rFonts w:hint="eastAsia" w:ascii="宋体"/>
                <w:szCs w:val="28"/>
              </w:rPr>
              <w:t>”</w:t>
            </w:r>
            <w:r>
              <w:rPr>
                <w:rFonts w:hint="eastAsia" w:ascii="宋体" w:hAnsi="宋体"/>
                <w:szCs w:val="28"/>
              </w:rPr>
              <w:t>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kern w:val="0"/>
                <w:szCs w:val="21"/>
              </w:rPr>
            </w:pPr>
            <w:r>
              <w:rPr>
                <w:rFonts w:hint="eastAsia" w:ascii="宋体" w:cs="宋体"/>
                <w:kern w:val="0"/>
                <w:szCs w:val="21"/>
              </w:rPr>
              <w:t>27</w:t>
            </w:r>
          </w:p>
        </w:tc>
        <w:tc>
          <w:tcPr>
            <w:tcW w:w="1319" w:type="dxa"/>
            <w:vAlign w:val="center"/>
          </w:tcPr>
          <w:p>
            <w:pPr>
              <w:snapToGrid w:val="0"/>
              <w:spacing w:line="400" w:lineRule="exact"/>
              <w:jc w:val="center"/>
              <w:rPr>
                <w:rFonts w:ascii="宋体" w:cs="宋体"/>
                <w:kern w:val="0"/>
                <w:szCs w:val="21"/>
              </w:rPr>
            </w:pPr>
            <w:r>
              <w:rPr>
                <w:rFonts w:hint="eastAsia" w:ascii="宋体" w:hAnsi="宋体" w:cs="宋体"/>
                <w:kern w:val="0"/>
                <w:szCs w:val="21"/>
              </w:rPr>
              <w:t>封套上写明</w:t>
            </w:r>
          </w:p>
        </w:tc>
        <w:tc>
          <w:tcPr>
            <w:tcW w:w="6468" w:type="dxa"/>
            <w:vAlign w:val="center"/>
          </w:tcPr>
          <w:p>
            <w:pPr>
              <w:snapToGrid w:val="0"/>
              <w:spacing w:line="400" w:lineRule="exact"/>
              <w:rPr>
                <w:rFonts w:ascii="宋体" w:cs="宋体"/>
                <w:kern w:val="0"/>
                <w:szCs w:val="21"/>
              </w:rPr>
            </w:pPr>
            <w:r>
              <w:rPr>
                <w:rFonts w:hint="eastAsia" w:ascii="宋体" w:hAnsi="宋体" w:cs="宋体"/>
                <w:kern w:val="0"/>
                <w:szCs w:val="21"/>
                <w:u w:val="single"/>
              </w:rPr>
              <w:t>（项目名称）</w:t>
            </w:r>
            <w:r>
              <w:rPr>
                <w:rFonts w:hint="eastAsia" w:ascii="宋体" w:hAnsi="宋体" w:cs="宋体"/>
                <w:kern w:val="0"/>
                <w:szCs w:val="21"/>
              </w:rPr>
              <w:t>竞选文件</w:t>
            </w:r>
          </w:p>
          <w:p>
            <w:pPr>
              <w:snapToGrid w:val="0"/>
              <w:spacing w:line="400" w:lineRule="exact"/>
              <w:rPr>
                <w:rFonts w:ascii="宋体" w:cs="宋体"/>
                <w:kern w:val="0"/>
                <w:szCs w:val="21"/>
              </w:rPr>
            </w:pPr>
            <w:r>
              <w:rPr>
                <w:rFonts w:hint="eastAsia" w:ascii="宋体" w:hAnsi="宋体" w:cs="宋体"/>
                <w:kern w:val="0"/>
                <w:szCs w:val="21"/>
              </w:rPr>
              <w:t>（竞选文件）</w:t>
            </w:r>
            <w:r>
              <w:rPr>
                <w:rFonts w:ascii="宋体" w:hAnsi="宋体" w:cs="宋体"/>
                <w:kern w:val="0"/>
                <w:szCs w:val="21"/>
              </w:rPr>
              <w:t>/</w:t>
            </w:r>
            <w:r>
              <w:rPr>
                <w:rFonts w:hint="eastAsia" w:ascii="宋体" w:hAnsi="宋体" w:cs="宋体"/>
                <w:kern w:val="0"/>
                <w:szCs w:val="21"/>
              </w:rPr>
              <w:t>（唱标函）</w:t>
            </w:r>
            <w:r>
              <w:rPr>
                <w:rFonts w:ascii="宋体" w:hAnsi="宋体" w:cs="宋体"/>
                <w:kern w:val="0"/>
                <w:szCs w:val="21"/>
              </w:rPr>
              <w:t>/</w:t>
            </w:r>
            <w:r>
              <w:rPr>
                <w:rFonts w:hint="eastAsia" w:ascii="宋体" w:hAnsi="宋体" w:cs="宋体"/>
                <w:kern w:val="0"/>
                <w:szCs w:val="21"/>
              </w:rPr>
              <w:t>（竞选文件大袋）</w:t>
            </w:r>
          </w:p>
          <w:p>
            <w:pPr>
              <w:snapToGrid w:val="0"/>
              <w:spacing w:line="400" w:lineRule="exact"/>
              <w:rPr>
                <w:rFonts w:ascii="宋体" w:cs="宋体"/>
                <w:kern w:val="0"/>
                <w:szCs w:val="21"/>
              </w:rPr>
            </w:pPr>
            <w:r>
              <w:rPr>
                <w:rFonts w:hint="eastAsia" w:ascii="宋体" w:hAnsi="宋体" w:cs="宋体"/>
                <w:kern w:val="0"/>
                <w:szCs w:val="21"/>
              </w:rPr>
              <w:t>在</w:t>
            </w:r>
            <w:r>
              <w:rPr>
                <w:rFonts w:ascii="宋体" w:hAnsi="宋体" w:cs="宋体"/>
                <w:kern w:val="0"/>
                <w:szCs w:val="21"/>
                <w:u w:val="single"/>
              </w:rPr>
              <w:t xml:space="preserve"> 201</w:t>
            </w:r>
            <w:r>
              <w:rPr>
                <w:rFonts w:hint="eastAsia" w:ascii="宋体" w:hAnsi="宋体" w:cs="宋体"/>
                <w:kern w:val="0"/>
                <w:szCs w:val="21"/>
                <w:u w:val="single"/>
              </w:rPr>
              <w:t>8</w:t>
            </w:r>
            <w:r>
              <w:rPr>
                <w:rFonts w:hint="eastAsia" w:ascii="宋体" w:hAnsi="宋体" w:cs="宋体"/>
                <w:kern w:val="0"/>
                <w:szCs w:val="21"/>
              </w:rPr>
              <w:t>年</w:t>
            </w:r>
            <w:r>
              <w:rPr>
                <w:rFonts w:hint="eastAsia" w:ascii="宋体" w:hAnsi="宋体" w:cs="宋体"/>
                <w:kern w:val="0"/>
                <w:szCs w:val="21"/>
                <w:lang w:val="en-US" w:eastAsia="zh-CN"/>
              </w:rPr>
              <w:t xml:space="preserve"> </w:t>
            </w:r>
            <w:r>
              <w:rPr>
                <w:rFonts w:hint="eastAsia" w:ascii="宋体" w:hAnsi="宋体" w:cs="宋体"/>
                <w:kern w:val="0"/>
                <w:szCs w:val="21"/>
              </w:rPr>
              <w:t>月</w:t>
            </w:r>
            <w:r>
              <w:rPr>
                <w:rFonts w:hint="eastAsia" w:ascii="宋体" w:hAnsi="宋体" w:cs="宋体"/>
                <w:kern w:val="0"/>
                <w:szCs w:val="21"/>
                <w:lang w:val="en-US" w:eastAsia="zh-CN"/>
              </w:rPr>
              <w:t xml:space="preserve"> </w:t>
            </w:r>
            <w:r>
              <w:rPr>
                <w:rFonts w:hint="eastAsia" w:ascii="宋体" w:hAnsi="宋体" w:cs="宋体"/>
                <w:kern w:val="0"/>
                <w:szCs w:val="21"/>
              </w:rPr>
              <w:t>日</w:t>
            </w:r>
            <w:r>
              <w:rPr>
                <w:rFonts w:hint="eastAsia" w:ascii="宋体" w:hAnsi="宋体" w:cs="宋体"/>
                <w:kern w:val="0"/>
                <w:szCs w:val="21"/>
                <w:lang w:val="en-US" w:eastAsia="zh-CN"/>
              </w:rPr>
              <w:t xml:space="preserve"> </w:t>
            </w:r>
            <w:r>
              <w:rPr>
                <w:rFonts w:hint="eastAsia" w:ascii="宋体" w:hAnsi="宋体" w:cs="宋体"/>
                <w:kern w:val="0"/>
                <w:szCs w:val="21"/>
              </w:rPr>
              <w:t>时</w:t>
            </w:r>
            <w:r>
              <w:rPr>
                <w:rFonts w:hint="eastAsia" w:ascii="宋体" w:hAnsi="宋体" w:cs="宋体"/>
                <w:kern w:val="0"/>
                <w:szCs w:val="21"/>
                <w:lang w:val="en-US" w:eastAsia="zh-CN"/>
              </w:rPr>
              <w:t xml:space="preserve"> </w:t>
            </w:r>
            <w:r>
              <w:rPr>
                <w:rFonts w:hint="eastAsia" w:ascii="宋体" w:hAnsi="宋体" w:cs="宋体"/>
                <w:kern w:val="0"/>
                <w:szCs w:val="21"/>
              </w:rPr>
              <w:t>分前不得开启</w:t>
            </w:r>
          </w:p>
          <w:p>
            <w:pPr>
              <w:snapToGrid w:val="0"/>
              <w:spacing w:line="400" w:lineRule="exact"/>
              <w:rPr>
                <w:rFonts w:ascii="宋体" w:cs="宋体"/>
                <w:kern w:val="0"/>
                <w:szCs w:val="21"/>
                <w:u w:val="single"/>
              </w:rPr>
            </w:pPr>
            <w:r>
              <w:rPr>
                <w:rFonts w:hint="eastAsia" w:ascii="宋体" w:hAnsi="宋体" w:cs="宋体"/>
                <w:kern w:val="0"/>
                <w:szCs w:val="21"/>
              </w:rPr>
              <w:t>竞选人名称：</w:t>
            </w:r>
            <w:r>
              <w:rPr>
                <w:rFonts w:hint="eastAsia" w:ascii="宋体" w:hAnsi="宋体" w:cs="宋体"/>
                <w:kern w:val="0"/>
                <w:szCs w:val="21"/>
                <w:u w:val="single"/>
              </w:rPr>
              <w:t>（加盖公章）</w:t>
            </w:r>
          </w:p>
          <w:p>
            <w:pPr>
              <w:snapToGrid w:val="0"/>
              <w:spacing w:line="400" w:lineRule="exact"/>
              <w:rPr>
                <w:rFonts w:ascii="宋体" w:cs="宋体"/>
                <w:kern w:val="0"/>
                <w:szCs w:val="21"/>
              </w:rPr>
            </w:pPr>
            <w:r>
              <w:rPr>
                <w:rFonts w:hint="eastAsia" w:ascii="宋体" w:hAnsi="宋体" w:cs="宋体"/>
                <w:kern w:val="0"/>
                <w:szCs w:val="21"/>
              </w:rPr>
              <w:t>（采用</w:t>
            </w:r>
            <w:r>
              <w:rPr>
                <w:rFonts w:ascii="宋体" w:hAnsi="宋体" w:cs="宋体"/>
                <w:kern w:val="0"/>
                <w:szCs w:val="21"/>
              </w:rPr>
              <w:t>A4</w:t>
            </w:r>
            <w:r>
              <w:rPr>
                <w:rFonts w:hint="eastAsia" w:ascii="宋体" w:hAnsi="宋体" w:cs="宋体"/>
                <w:kern w:val="0"/>
                <w:szCs w:val="21"/>
              </w:rPr>
              <w:t>白纸打印后粘贴在封套背面）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kern w:val="0"/>
                <w:szCs w:val="21"/>
              </w:rPr>
            </w:pPr>
            <w:r>
              <w:rPr>
                <w:rFonts w:hint="eastAsia" w:ascii="宋体" w:cs="宋体"/>
                <w:kern w:val="0"/>
                <w:szCs w:val="21"/>
              </w:rPr>
              <w:t>28</w:t>
            </w:r>
          </w:p>
        </w:tc>
        <w:tc>
          <w:tcPr>
            <w:tcW w:w="1319" w:type="dxa"/>
            <w:vAlign w:val="center"/>
          </w:tcPr>
          <w:p>
            <w:pPr>
              <w:snapToGrid w:val="0"/>
              <w:spacing w:line="400" w:lineRule="exact"/>
              <w:jc w:val="center"/>
              <w:rPr>
                <w:rFonts w:ascii="宋体" w:cs="宋体"/>
                <w:kern w:val="0"/>
                <w:szCs w:val="21"/>
              </w:rPr>
            </w:pPr>
            <w:r>
              <w:rPr>
                <w:rFonts w:hint="eastAsia" w:ascii="宋体" w:hAnsi="宋体" w:cs="宋体"/>
                <w:kern w:val="0"/>
                <w:szCs w:val="21"/>
              </w:rPr>
              <w:t>递交竞选文件地点</w:t>
            </w:r>
          </w:p>
        </w:tc>
        <w:tc>
          <w:tcPr>
            <w:tcW w:w="6468" w:type="dxa"/>
            <w:vAlign w:val="center"/>
          </w:tcPr>
          <w:p>
            <w:pPr>
              <w:snapToGrid w:val="0"/>
              <w:spacing w:line="400" w:lineRule="exact"/>
              <w:rPr>
                <w:rFonts w:ascii="宋体" w:cs="宋体"/>
                <w:b/>
                <w:szCs w:val="21"/>
              </w:rPr>
            </w:pPr>
            <w:r>
              <w:rPr>
                <w:rFonts w:hint="eastAsia" w:ascii="宋体" w:hAnsi="宋体" w:cs="宋体"/>
                <w:kern w:val="0"/>
                <w:szCs w:val="21"/>
              </w:rPr>
              <w:t>重庆医科大学附属第二医院综合楼17楼会议室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kern w:val="0"/>
                <w:szCs w:val="21"/>
              </w:rPr>
            </w:pPr>
            <w:r>
              <w:rPr>
                <w:rFonts w:hint="eastAsia" w:ascii="宋体" w:cs="宋体"/>
                <w:kern w:val="0"/>
                <w:szCs w:val="21"/>
              </w:rPr>
              <w:t>29</w:t>
            </w:r>
          </w:p>
        </w:tc>
        <w:tc>
          <w:tcPr>
            <w:tcW w:w="1319" w:type="dxa"/>
            <w:vAlign w:val="center"/>
          </w:tcPr>
          <w:p>
            <w:pPr>
              <w:snapToGrid w:val="0"/>
              <w:spacing w:line="400" w:lineRule="exact"/>
              <w:jc w:val="center"/>
              <w:rPr>
                <w:rFonts w:ascii="宋体" w:cs="宋体"/>
                <w:kern w:val="0"/>
                <w:szCs w:val="21"/>
              </w:rPr>
            </w:pPr>
            <w:r>
              <w:rPr>
                <w:rFonts w:hint="eastAsia" w:ascii="宋体" w:hAnsi="宋体" w:cs="宋体"/>
                <w:kern w:val="0"/>
                <w:szCs w:val="21"/>
              </w:rPr>
              <w:t>是否退还竞选文件</w:t>
            </w:r>
          </w:p>
        </w:tc>
        <w:tc>
          <w:tcPr>
            <w:tcW w:w="6468" w:type="dxa"/>
            <w:vAlign w:val="center"/>
          </w:tcPr>
          <w:p>
            <w:pPr>
              <w:snapToGrid w:val="0"/>
              <w:spacing w:line="400" w:lineRule="exact"/>
              <w:rPr>
                <w:rFonts w:ascii="宋体" w:cs="宋体"/>
                <w:kern w:val="0"/>
                <w:szCs w:val="21"/>
              </w:rPr>
            </w:pPr>
            <w:r>
              <w:rPr>
                <w:rFonts w:ascii="宋体" w:hAnsi="宋体" w:cs="宋体"/>
                <w:kern w:val="0"/>
                <w:szCs w:val="21"/>
              </w:rPr>
              <w:fldChar w:fldCharType="begin"/>
            </w:r>
            <w:r>
              <w:rPr>
                <w:rFonts w:ascii="宋体" w:hAnsi="宋体" w:cs="宋体"/>
                <w:kern w:val="0"/>
                <w:szCs w:val="21"/>
              </w:rPr>
              <w:instrText xml:space="preserve"> eq \o\ac(</w:instrText>
            </w:r>
            <w:r>
              <w:rPr>
                <w:rFonts w:hint="eastAsia" w:ascii="宋体" w:hAnsi="宋体" w:cs="宋体"/>
                <w:kern w:val="0"/>
                <w:position w:val="-4"/>
                <w:sz w:val="31"/>
                <w:szCs w:val="21"/>
              </w:rPr>
              <w:instrText xml:space="preserve">□</w:instrText>
            </w:r>
            <w:r>
              <w:rPr>
                <w:rFonts w:ascii="宋体" w:cs="宋体"/>
                <w:kern w:val="0"/>
                <w:szCs w:val="21"/>
              </w:rPr>
              <w:instrText xml:space="preserve">,</w:instrText>
            </w:r>
            <w:r>
              <w:rPr>
                <w:rFonts w:hint="eastAsia" w:ascii="宋体" w:hAnsi="宋体" w:cs="宋体"/>
                <w:kern w:val="0"/>
                <w:szCs w:val="21"/>
              </w:rPr>
              <w:instrText xml:space="preserve">√</w:instrText>
            </w:r>
            <w:r>
              <w:rPr>
                <w:rFonts w:ascii="宋体" w:hAnsi="宋体" w:cs="宋体"/>
                <w:kern w:val="0"/>
                <w:szCs w:val="21"/>
              </w:rPr>
              <w:instrText xml:space="preserve">)</w:instrText>
            </w:r>
            <w:r>
              <w:rPr>
                <w:rFonts w:ascii="宋体" w:hAnsi="宋体" w:cs="宋体"/>
                <w:kern w:val="0"/>
                <w:szCs w:val="21"/>
              </w:rPr>
              <w:fldChar w:fldCharType="end"/>
            </w:r>
            <w:r>
              <w:rPr>
                <w:rFonts w:hint="eastAsia" w:ascii="宋体" w:hAnsi="宋体" w:cs="宋体"/>
                <w:kern w:val="0"/>
                <w:szCs w:val="21"/>
              </w:rPr>
              <w:t>否</w:t>
            </w:r>
          </w:p>
          <w:p>
            <w:pPr>
              <w:snapToGrid w:val="0"/>
              <w:spacing w:line="400" w:lineRule="exact"/>
              <w:rPr>
                <w:rFonts w:ascii="宋体" w:cs="宋体"/>
                <w:kern w:val="0"/>
                <w:szCs w:val="21"/>
              </w:rPr>
            </w:pPr>
            <w:r>
              <w:rPr>
                <w:rFonts w:hint="eastAsia" w:ascii="宋体" w:hAnsi="宋体" w:cs="宋体"/>
                <w:kern w:val="0"/>
                <w:szCs w:val="21"/>
              </w:rPr>
              <w:t>口是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kern w:val="0"/>
                <w:szCs w:val="21"/>
              </w:rPr>
            </w:pPr>
            <w:r>
              <w:rPr>
                <w:rFonts w:hint="eastAsia" w:ascii="宋体" w:cs="宋体"/>
                <w:kern w:val="0"/>
                <w:szCs w:val="21"/>
              </w:rPr>
              <w:t>30</w:t>
            </w:r>
          </w:p>
        </w:tc>
        <w:tc>
          <w:tcPr>
            <w:tcW w:w="1319" w:type="dxa"/>
            <w:vAlign w:val="center"/>
          </w:tcPr>
          <w:p>
            <w:pPr>
              <w:snapToGrid w:val="0"/>
              <w:spacing w:line="400" w:lineRule="exact"/>
              <w:jc w:val="center"/>
              <w:rPr>
                <w:rFonts w:ascii="宋体" w:cs="宋体"/>
                <w:kern w:val="0"/>
                <w:szCs w:val="21"/>
              </w:rPr>
            </w:pPr>
            <w:r>
              <w:rPr>
                <w:rFonts w:hint="eastAsia" w:ascii="宋体" w:hAnsi="宋体" w:cs="宋体"/>
                <w:kern w:val="0"/>
                <w:szCs w:val="21"/>
              </w:rPr>
              <w:t>开标时间和地点</w:t>
            </w:r>
          </w:p>
        </w:tc>
        <w:tc>
          <w:tcPr>
            <w:tcW w:w="6468" w:type="dxa"/>
            <w:vAlign w:val="center"/>
          </w:tcPr>
          <w:p>
            <w:pPr>
              <w:autoSpaceDE w:val="0"/>
              <w:autoSpaceDN w:val="0"/>
              <w:adjustRightInd w:val="0"/>
              <w:snapToGrid w:val="0"/>
              <w:spacing w:line="400" w:lineRule="exact"/>
              <w:ind w:firstLine="46" w:firstLineChars="22"/>
              <w:jc w:val="left"/>
              <w:rPr>
                <w:rFonts w:ascii="宋体"/>
                <w:szCs w:val="21"/>
              </w:rPr>
            </w:pPr>
            <w:r>
              <w:rPr>
                <w:rFonts w:hint="eastAsia" w:ascii="宋体" w:hAnsi="宋体"/>
                <w:szCs w:val="21"/>
              </w:rPr>
              <w:t>开标时间：同竞选截止时间。</w:t>
            </w:r>
          </w:p>
          <w:p>
            <w:pPr>
              <w:autoSpaceDE w:val="0"/>
              <w:autoSpaceDN w:val="0"/>
              <w:adjustRightInd w:val="0"/>
              <w:snapToGrid w:val="0"/>
              <w:spacing w:line="400" w:lineRule="exact"/>
              <w:ind w:firstLine="46" w:firstLineChars="22"/>
              <w:jc w:val="left"/>
              <w:rPr>
                <w:rFonts w:ascii="宋体"/>
                <w:szCs w:val="21"/>
              </w:rPr>
            </w:pPr>
            <w:r>
              <w:rPr>
                <w:rFonts w:hint="eastAsia" w:ascii="宋体" w:hAnsi="宋体"/>
                <w:szCs w:val="21"/>
              </w:rPr>
              <w:t>开标地点：</w:t>
            </w:r>
            <w:r>
              <w:rPr>
                <w:rFonts w:hint="eastAsia" w:ascii="宋体" w:hAnsi="宋体" w:cs="宋体"/>
                <w:kern w:val="0"/>
                <w:szCs w:val="21"/>
              </w:rPr>
              <w:t>重庆医科大学附属第二医院会议室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szCs w:val="21"/>
              </w:rPr>
            </w:pPr>
            <w:r>
              <w:rPr>
                <w:rFonts w:hint="eastAsia" w:ascii="宋体" w:cs="宋体"/>
                <w:szCs w:val="21"/>
              </w:rPr>
              <w:t>31</w:t>
            </w:r>
          </w:p>
        </w:tc>
        <w:tc>
          <w:tcPr>
            <w:tcW w:w="1319" w:type="dxa"/>
            <w:vAlign w:val="center"/>
          </w:tcPr>
          <w:p>
            <w:pPr>
              <w:snapToGrid w:val="0"/>
              <w:spacing w:line="400" w:lineRule="exact"/>
              <w:jc w:val="center"/>
              <w:rPr>
                <w:rFonts w:ascii="宋体" w:cs="宋体"/>
                <w:szCs w:val="21"/>
              </w:rPr>
            </w:pPr>
            <w:r>
              <w:rPr>
                <w:rFonts w:hint="eastAsia" w:ascii="宋体" w:hAnsi="宋体" w:cs="宋体"/>
                <w:kern w:val="0"/>
                <w:szCs w:val="21"/>
              </w:rPr>
              <w:t>开标程序</w:t>
            </w:r>
          </w:p>
        </w:tc>
        <w:tc>
          <w:tcPr>
            <w:tcW w:w="6468" w:type="dxa"/>
            <w:vAlign w:val="center"/>
          </w:tcPr>
          <w:p>
            <w:pPr>
              <w:spacing w:line="400" w:lineRule="exact"/>
              <w:ind w:left="105" w:leftChars="50" w:right="113"/>
              <w:rPr>
                <w:rFonts w:ascii="宋体"/>
                <w:szCs w:val="21"/>
              </w:rPr>
            </w:pPr>
            <w:r>
              <w:rPr>
                <w:rFonts w:hint="eastAsia" w:ascii="宋体" w:hAnsi="宋体"/>
                <w:szCs w:val="21"/>
              </w:rPr>
              <w:t>主持人按下列程序进行开标：</w:t>
            </w:r>
          </w:p>
          <w:p>
            <w:pPr>
              <w:spacing w:line="400" w:lineRule="exact"/>
              <w:ind w:left="105" w:leftChars="50" w:right="113"/>
              <w:rPr>
                <w:rFonts w:ascii="宋体"/>
                <w:szCs w:val="21"/>
              </w:rPr>
            </w:pPr>
            <w:r>
              <w:rPr>
                <w:rFonts w:hint="eastAsia" w:ascii="宋体" w:hAnsi="宋体"/>
                <w:szCs w:val="21"/>
              </w:rPr>
              <w:t>（</w:t>
            </w:r>
            <w:r>
              <w:rPr>
                <w:rFonts w:ascii="宋体" w:hAnsi="宋体"/>
                <w:szCs w:val="21"/>
              </w:rPr>
              <w:t>1</w:t>
            </w:r>
            <w:r>
              <w:rPr>
                <w:rFonts w:hint="eastAsia" w:ascii="宋体" w:hAnsi="宋体"/>
                <w:szCs w:val="21"/>
              </w:rPr>
              <w:t>）宣布开标纪律；</w:t>
            </w:r>
          </w:p>
          <w:p>
            <w:pPr>
              <w:spacing w:line="400" w:lineRule="exact"/>
              <w:ind w:left="105" w:leftChars="50" w:right="113"/>
              <w:rPr>
                <w:rFonts w:ascii="宋体"/>
                <w:szCs w:val="21"/>
              </w:rPr>
            </w:pPr>
            <w:r>
              <w:rPr>
                <w:rFonts w:hint="eastAsia" w:ascii="宋体" w:hAnsi="宋体"/>
                <w:szCs w:val="21"/>
              </w:rPr>
              <w:t>（</w:t>
            </w:r>
            <w:r>
              <w:rPr>
                <w:rFonts w:ascii="宋体" w:hAnsi="宋体"/>
                <w:szCs w:val="21"/>
              </w:rPr>
              <w:t>2</w:t>
            </w:r>
            <w:r>
              <w:rPr>
                <w:rFonts w:hint="eastAsia" w:ascii="宋体" w:hAnsi="宋体"/>
                <w:szCs w:val="21"/>
              </w:rPr>
              <w:t>）宣布开标人、唱标人、记录人、监标人等有关信息；</w:t>
            </w:r>
          </w:p>
          <w:p>
            <w:pPr>
              <w:spacing w:line="400" w:lineRule="exact"/>
              <w:ind w:left="105" w:leftChars="50" w:right="113"/>
              <w:rPr>
                <w:rFonts w:ascii="宋体"/>
                <w:szCs w:val="21"/>
              </w:rPr>
            </w:pPr>
            <w:r>
              <w:rPr>
                <w:rFonts w:hint="eastAsia" w:ascii="宋体" w:hAnsi="宋体"/>
                <w:szCs w:val="21"/>
              </w:rPr>
              <w:t>（</w:t>
            </w:r>
            <w:r>
              <w:rPr>
                <w:rFonts w:ascii="宋体" w:hAnsi="宋体"/>
                <w:szCs w:val="21"/>
              </w:rPr>
              <w:t>3</w:t>
            </w:r>
            <w:r>
              <w:rPr>
                <w:rFonts w:hint="eastAsia" w:ascii="宋体" w:hAnsi="宋体"/>
                <w:szCs w:val="21"/>
              </w:rPr>
              <w:t>）现场展示竞选保证金缴纳情况并作如实记录；</w:t>
            </w:r>
          </w:p>
          <w:p>
            <w:pPr>
              <w:spacing w:line="400" w:lineRule="exact"/>
              <w:ind w:left="105" w:leftChars="50" w:right="113"/>
              <w:rPr>
                <w:rFonts w:ascii="宋体"/>
                <w:szCs w:val="21"/>
              </w:rPr>
            </w:pPr>
            <w:r>
              <w:rPr>
                <w:rFonts w:hint="eastAsia" w:ascii="宋体" w:hAnsi="宋体"/>
                <w:szCs w:val="21"/>
              </w:rPr>
              <w:t>（</w:t>
            </w:r>
            <w:r>
              <w:rPr>
                <w:rFonts w:ascii="宋体" w:hAnsi="宋体"/>
                <w:szCs w:val="21"/>
              </w:rPr>
              <w:t>4</w:t>
            </w:r>
            <w:r>
              <w:rPr>
                <w:rFonts w:hint="eastAsia" w:ascii="宋体" w:hAnsi="宋体"/>
                <w:szCs w:val="21"/>
              </w:rPr>
              <w:t>）竞选人代表检查竞选文件的密封情况；</w:t>
            </w:r>
          </w:p>
          <w:p>
            <w:pPr>
              <w:spacing w:line="400" w:lineRule="exact"/>
              <w:ind w:left="105" w:leftChars="50" w:right="113"/>
              <w:rPr>
                <w:rFonts w:ascii="宋体"/>
                <w:szCs w:val="21"/>
              </w:rPr>
            </w:pPr>
            <w:r>
              <w:rPr>
                <w:rFonts w:hint="eastAsia" w:ascii="宋体" w:hAnsi="宋体"/>
                <w:szCs w:val="21"/>
              </w:rPr>
              <w:t>（</w:t>
            </w:r>
            <w:r>
              <w:rPr>
                <w:rFonts w:ascii="宋体" w:hAnsi="宋体"/>
                <w:szCs w:val="21"/>
              </w:rPr>
              <w:t>5</w:t>
            </w:r>
            <w:r>
              <w:rPr>
                <w:rFonts w:hint="eastAsia" w:ascii="宋体" w:hAnsi="宋体"/>
                <w:szCs w:val="21"/>
              </w:rPr>
              <w:t>）开标顺序：随机开启；</w:t>
            </w:r>
          </w:p>
          <w:p>
            <w:pPr>
              <w:spacing w:line="400" w:lineRule="exact"/>
              <w:ind w:left="105" w:leftChars="50" w:right="113"/>
              <w:rPr>
                <w:rFonts w:ascii="宋体"/>
                <w:szCs w:val="21"/>
              </w:rPr>
            </w:pPr>
            <w:r>
              <w:rPr>
                <w:rFonts w:hint="eastAsia" w:ascii="宋体" w:hAnsi="宋体"/>
                <w:szCs w:val="21"/>
              </w:rPr>
              <w:t>（</w:t>
            </w:r>
            <w:r>
              <w:rPr>
                <w:rFonts w:ascii="宋体" w:hAnsi="宋体"/>
                <w:szCs w:val="21"/>
              </w:rPr>
              <w:t>6</w:t>
            </w:r>
            <w:r>
              <w:rPr>
                <w:rFonts w:hint="eastAsia" w:ascii="宋体" w:hAnsi="宋体"/>
                <w:szCs w:val="21"/>
              </w:rPr>
              <w:t>）当众公布竞选人名称、交货期、质量、竞选报价等内容，并记录在案；</w:t>
            </w:r>
          </w:p>
          <w:p>
            <w:pPr>
              <w:spacing w:line="400" w:lineRule="exact"/>
              <w:ind w:left="105" w:leftChars="50" w:right="113"/>
              <w:rPr>
                <w:rFonts w:ascii="宋体"/>
                <w:szCs w:val="21"/>
              </w:rPr>
            </w:pPr>
            <w:r>
              <w:rPr>
                <w:rFonts w:hint="eastAsia" w:ascii="宋体" w:hAnsi="宋体"/>
                <w:szCs w:val="21"/>
              </w:rPr>
              <w:t>（</w:t>
            </w:r>
            <w:r>
              <w:rPr>
                <w:rFonts w:ascii="宋体" w:hAnsi="宋体"/>
                <w:szCs w:val="21"/>
              </w:rPr>
              <w:t>7</w:t>
            </w:r>
            <w:r>
              <w:rPr>
                <w:rFonts w:hint="eastAsia" w:ascii="宋体" w:hAnsi="宋体"/>
                <w:szCs w:val="21"/>
              </w:rPr>
              <w:t>）竞选人代表、比选人代表、监标人等有关人员在开标记录上签字确认；</w:t>
            </w:r>
          </w:p>
          <w:p>
            <w:pPr>
              <w:snapToGrid w:val="0"/>
              <w:spacing w:line="400" w:lineRule="exact"/>
              <w:ind w:firstLine="105" w:firstLineChars="50"/>
              <w:rPr>
                <w:rFonts w:ascii="宋体"/>
                <w:szCs w:val="21"/>
              </w:rPr>
            </w:pPr>
            <w:r>
              <w:rPr>
                <w:rFonts w:hint="eastAsia" w:ascii="宋体" w:hAnsi="宋体"/>
                <w:szCs w:val="21"/>
              </w:rPr>
              <w:t>（</w:t>
            </w:r>
            <w:r>
              <w:rPr>
                <w:rFonts w:ascii="宋体" w:hAnsi="宋体"/>
                <w:szCs w:val="21"/>
              </w:rPr>
              <w:t>8</w:t>
            </w:r>
            <w:r>
              <w:rPr>
                <w:rFonts w:hint="eastAsia" w:ascii="宋体" w:hAnsi="宋体"/>
                <w:szCs w:val="21"/>
              </w:rPr>
              <w:t>）开标结束。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kern w:val="0"/>
                <w:szCs w:val="21"/>
              </w:rPr>
            </w:pPr>
            <w:r>
              <w:rPr>
                <w:rFonts w:hint="eastAsia" w:ascii="宋体" w:cs="宋体"/>
                <w:kern w:val="0"/>
                <w:szCs w:val="21"/>
              </w:rPr>
              <w:t>32</w:t>
            </w:r>
          </w:p>
        </w:tc>
        <w:tc>
          <w:tcPr>
            <w:tcW w:w="1319" w:type="dxa"/>
            <w:vAlign w:val="center"/>
          </w:tcPr>
          <w:p>
            <w:pPr>
              <w:snapToGrid w:val="0"/>
              <w:spacing w:line="400" w:lineRule="exact"/>
              <w:jc w:val="center"/>
              <w:rPr>
                <w:rFonts w:ascii="宋体" w:cs="宋体"/>
                <w:kern w:val="0"/>
                <w:szCs w:val="21"/>
              </w:rPr>
            </w:pPr>
            <w:r>
              <w:rPr>
                <w:rFonts w:hint="eastAsia" w:ascii="宋体" w:hAnsi="宋体" w:cs="宋体"/>
                <w:kern w:val="0"/>
                <w:szCs w:val="21"/>
              </w:rPr>
              <w:t>评标委员会的组建</w:t>
            </w:r>
          </w:p>
        </w:tc>
        <w:tc>
          <w:tcPr>
            <w:tcW w:w="6468" w:type="dxa"/>
            <w:vAlign w:val="center"/>
          </w:tcPr>
          <w:p>
            <w:pPr>
              <w:autoSpaceDE w:val="0"/>
              <w:autoSpaceDN w:val="0"/>
              <w:adjustRightInd w:val="0"/>
              <w:snapToGrid w:val="0"/>
              <w:spacing w:line="400" w:lineRule="exact"/>
              <w:jc w:val="left"/>
              <w:rPr>
                <w:rFonts w:ascii="宋体" w:cs="宋体"/>
                <w:kern w:val="0"/>
                <w:szCs w:val="21"/>
              </w:rPr>
            </w:pPr>
            <w:r>
              <w:rPr>
                <w:rFonts w:hint="eastAsia" w:ascii="宋体" w:hAnsi="宋体" w:cs="宋体"/>
                <w:kern w:val="0"/>
                <w:szCs w:val="21"/>
              </w:rPr>
              <w:t>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0" w:type="dxa"/>
            <w:vAlign w:val="center"/>
          </w:tcPr>
          <w:p>
            <w:pPr>
              <w:snapToGrid w:val="0"/>
              <w:spacing w:line="400" w:lineRule="exact"/>
              <w:jc w:val="center"/>
              <w:rPr>
                <w:rFonts w:ascii="宋体" w:cs="宋体"/>
                <w:kern w:val="0"/>
                <w:szCs w:val="21"/>
              </w:rPr>
            </w:pPr>
            <w:r>
              <w:rPr>
                <w:rFonts w:hint="eastAsia" w:ascii="宋体" w:cs="宋体"/>
                <w:kern w:val="0"/>
                <w:szCs w:val="21"/>
              </w:rPr>
              <w:t>33</w:t>
            </w:r>
          </w:p>
        </w:tc>
        <w:tc>
          <w:tcPr>
            <w:tcW w:w="1319" w:type="dxa"/>
            <w:vAlign w:val="center"/>
          </w:tcPr>
          <w:p>
            <w:pPr>
              <w:snapToGrid w:val="0"/>
              <w:spacing w:line="400" w:lineRule="exact"/>
              <w:jc w:val="center"/>
              <w:rPr>
                <w:rFonts w:ascii="宋体" w:cs="宋体"/>
                <w:kern w:val="0"/>
                <w:szCs w:val="21"/>
              </w:rPr>
            </w:pPr>
            <w:r>
              <w:rPr>
                <w:rFonts w:hint="eastAsia" w:ascii="宋体" w:hAnsi="宋体" w:cs="宋体"/>
                <w:kern w:val="0"/>
                <w:szCs w:val="21"/>
              </w:rPr>
              <w:t>是否授权评标委员会确定中选人</w:t>
            </w:r>
          </w:p>
        </w:tc>
        <w:tc>
          <w:tcPr>
            <w:tcW w:w="6468" w:type="dxa"/>
            <w:vAlign w:val="center"/>
          </w:tcPr>
          <w:p>
            <w:pPr>
              <w:snapToGrid w:val="0"/>
              <w:spacing w:line="400" w:lineRule="exact"/>
              <w:rPr>
                <w:rFonts w:ascii="宋体" w:cs="宋体"/>
                <w:kern w:val="0"/>
                <w:szCs w:val="21"/>
              </w:rPr>
            </w:pPr>
            <w:r>
              <w:rPr>
                <w:rFonts w:hint="eastAsia" w:ascii="宋体" w:hAnsi="宋体" w:cs="宋体"/>
                <w:kern w:val="0"/>
                <w:szCs w:val="21"/>
              </w:rPr>
              <w:t>口是</w:t>
            </w:r>
          </w:p>
          <w:p>
            <w:pPr>
              <w:snapToGrid w:val="0"/>
              <w:spacing w:line="400" w:lineRule="exact"/>
              <w:rPr>
                <w:rFonts w:ascii="宋体" w:cs="宋体"/>
                <w:kern w:val="0"/>
                <w:szCs w:val="21"/>
              </w:rPr>
            </w:pPr>
            <w:r>
              <w:rPr>
                <w:rFonts w:ascii="宋体" w:hAnsi="宋体" w:cs="宋体"/>
                <w:kern w:val="0"/>
                <w:szCs w:val="21"/>
              </w:rPr>
              <w:fldChar w:fldCharType="begin"/>
            </w:r>
            <w:r>
              <w:rPr>
                <w:rFonts w:ascii="宋体" w:hAnsi="宋体" w:cs="宋体"/>
                <w:kern w:val="0"/>
                <w:szCs w:val="21"/>
              </w:rPr>
              <w:instrText xml:space="preserve"> eq \o\ac(</w:instrText>
            </w:r>
            <w:r>
              <w:rPr>
                <w:rFonts w:hint="eastAsia" w:ascii="宋体" w:hAnsi="宋体" w:cs="宋体"/>
                <w:kern w:val="0"/>
                <w:position w:val="-4"/>
                <w:sz w:val="31"/>
                <w:szCs w:val="21"/>
              </w:rPr>
              <w:instrText xml:space="preserve">□</w:instrText>
            </w:r>
            <w:r>
              <w:rPr>
                <w:rFonts w:ascii="宋体" w:cs="宋体"/>
                <w:kern w:val="0"/>
                <w:szCs w:val="21"/>
              </w:rPr>
              <w:instrText xml:space="preserve">,</w:instrText>
            </w:r>
            <w:r>
              <w:rPr>
                <w:rFonts w:hint="eastAsia" w:ascii="宋体" w:hAnsi="宋体" w:cs="宋体"/>
                <w:kern w:val="0"/>
                <w:szCs w:val="21"/>
              </w:rPr>
              <w:instrText xml:space="preserve">√</w:instrText>
            </w:r>
            <w:r>
              <w:rPr>
                <w:rFonts w:ascii="宋体" w:hAnsi="宋体" w:cs="宋体"/>
                <w:kern w:val="0"/>
                <w:szCs w:val="21"/>
              </w:rPr>
              <w:instrText xml:space="preserve">)</w:instrText>
            </w:r>
            <w:r>
              <w:rPr>
                <w:rFonts w:ascii="宋体" w:hAnsi="宋体" w:cs="宋体"/>
                <w:kern w:val="0"/>
                <w:szCs w:val="21"/>
              </w:rPr>
              <w:fldChar w:fldCharType="end"/>
            </w:r>
            <w:r>
              <w:rPr>
                <w:rFonts w:hint="eastAsia" w:ascii="宋体" w:hAnsi="宋体" w:cs="宋体"/>
                <w:kern w:val="0"/>
                <w:szCs w:val="21"/>
              </w:rPr>
              <w:t>否，推荐经评审得分由高到低排名前</w:t>
            </w:r>
            <w:r>
              <w:rPr>
                <w:rFonts w:ascii="宋体" w:hAnsi="宋体" w:cs="宋体"/>
                <w:kern w:val="0"/>
                <w:szCs w:val="21"/>
              </w:rPr>
              <w:t>3</w:t>
            </w:r>
            <w:r>
              <w:rPr>
                <w:rFonts w:hint="eastAsia" w:ascii="宋体" w:hAnsi="宋体" w:cs="宋体"/>
                <w:kern w:val="0"/>
                <w:szCs w:val="21"/>
              </w:rPr>
              <w:t>名为中选候选人。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5" w:hRule="atLeast"/>
        </w:trPr>
        <w:tc>
          <w:tcPr>
            <w:tcW w:w="2559" w:type="dxa"/>
            <w:gridSpan w:val="2"/>
            <w:vAlign w:val="center"/>
          </w:tcPr>
          <w:p>
            <w:pPr>
              <w:spacing w:line="400" w:lineRule="exact"/>
              <w:jc w:val="center"/>
              <w:rPr>
                <w:rFonts w:ascii="宋体"/>
                <w:szCs w:val="21"/>
              </w:rPr>
            </w:pPr>
            <w:r>
              <w:rPr>
                <w:rFonts w:hint="eastAsia" w:ascii="宋体"/>
                <w:szCs w:val="21"/>
              </w:rPr>
              <w:t>34</w:t>
            </w:r>
          </w:p>
        </w:tc>
        <w:tc>
          <w:tcPr>
            <w:tcW w:w="6468" w:type="dxa"/>
            <w:vAlign w:val="center"/>
          </w:tcPr>
          <w:p>
            <w:pPr>
              <w:spacing w:line="400" w:lineRule="exact"/>
              <w:ind w:right="113" w:firstLine="420" w:firstLineChars="200"/>
              <w:rPr>
                <w:rFonts w:ascii="宋体"/>
                <w:szCs w:val="21"/>
              </w:rPr>
            </w:pPr>
            <w:r>
              <w:rPr>
                <w:rFonts w:hint="eastAsia"/>
                <w:szCs w:val="21"/>
              </w:rPr>
              <w:t>付款方式：签订合同后10日内支付合同金额的30%，供货完成后10日内支付至合同金额的75%，调试并验收合格后支付至合同金额的97%（若到货之日起90日仍未调试验收的，须在到期后10日内支付该笔款项），剩余3%作为质保金，质保期满后无息退还</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559" w:type="dxa"/>
            <w:gridSpan w:val="2"/>
            <w:vAlign w:val="center"/>
          </w:tcPr>
          <w:p>
            <w:pPr>
              <w:adjustRightInd w:val="0"/>
              <w:spacing w:line="400" w:lineRule="exact"/>
              <w:jc w:val="center"/>
              <w:textAlignment w:val="baseline"/>
              <w:rPr>
                <w:rFonts w:ascii="宋体"/>
                <w:szCs w:val="21"/>
              </w:rPr>
            </w:pPr>
            <w:r>
              <w:rPr>
                <w:rFonts w:hint="eastAsia" w:ascii="宋体"/>
                <w:szCs w:val="21"/>
              </w:rPr>
              <w:t>35</w:t>
            </w:r>
          </w:p>
        </w:tc>
        <w:tc>
          <w:tcPr>
            <w:tcW w:w="6468" w:type="dxa"/>
            <w:vAlign w:val="center"/>
          </w:tcPr>
          <w:p>
            <w:pPr>
              <w:spacing w:line="400" w:lineRule="exact"/>
              <w:ind w:right="113" w:firstLine="420" w:firstLineChars="200"/>
              <w:rPr>
                <w:rFonts w:ascii="宋体"/>
                <w:szCs w:val="21"/>
              </w:rPr>
            </w:pPr>
            <w:r>
              <w:rPr>
                <w:rFonts w:hint="eastAsia" w:ascii="宋体" w:hAnsi="宋体"/>
                <w:szCs w:val="21"/>
              </w:rPr>
              <w:t>比选代理服务费按计价格【</w:t>
            </w:r>
            <w:r>
              <w:rPr>
                <w:rFonts w:ascii="宋体" w:hAnsi="宋体"/>
                <w:szCs w:val="21"/>
              </w:rPr>
              <w:t>2002</w:t>
            </w:r>
            <w:r>
              <w:rPr>
                <w:rFonts w:hint="eastAsia" w:ascii="宋体" w:hAnsi="宋体"/>
                <w:szCs w:val="21"/>
              </w:rPr>
              <w:t>】</w:t>
            </w:r>
            <w:r>
              <w:rPr>
                <w:rFonts w:ascii="宋体" w:hAnsi="宋体"/>
                <w:szCs w:val="21"/>
              </w:rPr>
              <w:t>1980</w:t>
            </w:r>
            <w:r>
              <w:rPr>
                <w:rFonts w:hint="eastAsia" w:ascii="宋体" w:hAnsi="宋体"/>
                <w:szCs w:val="21"/>
              </w:rPr>
              <w:t>号文下浮</w:t>
            </w:r>
            <w:r>
              <w:rPr>
                <w:rFonts w:ascii="宋体" w:hAnsi="宋体"/>
                <w:szCs w:val="21"/>
              </w:rPr>
              <w:t>20%</w:t>
            </w:r>
            <w:r>
              <w:rPr>
                <w:rFonts w:hint="eastAsia" w:ascii="宋体" w:hAnsi="宋体"/>
                <w:szCs w:val="21"/>
              </w:rPr>
              <w:t>计取，由中选人支付。</w:t>
            </w:r>
          </w:p>
        </w:tc>
      </w:tr>
    </w:tbl>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br w:type="page"/>
      </w:r>
    </w:p>
    <w:p>
      <w:pPr>
        <w:rPr>
          <w:rFonts w:asciiTheme="minorEastAsia" w:hAnsiTheme="minorEastAsia" w:eastAsiaTheme="minorEastAsia"/>
        </w:rPr>
      </w:pPr>
      <w:r>
        <w:rPr>
          <w:rFonts w:hint="eastAsia" w:asciiTheme="minorEastAsia" w:hAnsiTheme="minorEastAsia" w:eastAsiaTheme="minorEastAsia"/>
        </w:rPr>
        <w:t>附表</w:t>
      </w:r>
      <w:r>
        <w:rPr>
          <w:rFonts w:hint="eastAsia" w:asciiTheme="minorEastAsia" w:hAnsiTheme="minorEastAsia" w:eastAsiaTheme="minorEastAsia"/>
          <w:lang w:eastAsia="zh-CN"/>
        </w:rPr>
        <w:t>一</w:t>
      </w:r>
      <w:r>
        <w:rPr>
          <w:rFonts w:hint="eastAsia" w:asciiTheme="minorEastAsia" w:hAnsiTheme="minorEastAsia" w:eastAsiaTheme="minorEastAsia"/>
        </w:rPr>
        <w:t>：</w:t>
      </w:r>
    </w:p>
    <w:bookmarkEnd w:id="81"/>
    <w:bookmarkEnd w:id="82"/>
    <w:bookmarkEnd w:id="83"/>
    <w:bookmarkEnd w:id="84"/>
    <w:bookmarkEnd w:id="85"/>
    <w:tbl>
      <w:tblPr>
        <w:tblW w:w="97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670"/>
        <w:gridCol w:w="2290"/>
        <w:gridCol w:w="2332"/>
        <w:gridCol w:w="772"/>
        <w:gridCol w:w="910"/>
        <w:gridCol w:w="27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6" w:hRule="atLeast"/>
        </w:trPr>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bookmarkStart w:id="86" w:name="_Toc18301"/>
            <w:bookmarkStart w:id="87" w:name="_Toc416768986"/>
            <w:bookmarkStart w:id="88" w:name="_Toc238552254"/>
            <w:bookmarkStart w:id="89" w:name="_Toc152045587"/>
            <w:bookmarkStart w:id="90" w:name="_Toc238797609"/>
            <w:bookmarkStart w:id="91" w:name="_Toc144974554"/>
            <w:bookmarkStart w:id="92" w:name="_Toc152042364"/>
            <w:r>
              <w:rPr>
                <w:rFonts w:hint="eastAsia" w:ascii="宋体" w:hAnsi="宋体" w:eastAsia="宋体" w:cs="宋体"/>
                <w:i w:val="0"/>
                <w:color w:val="000000"/>
                <w:kern w:val="0"/>
                <w:sz w:val="21"/>
                <w:szCs w:val="21"/>
                <w:highlight w:val="yellow"/>
                <w:u w:val="none"/>
                <w:lang w:val="en-US" w:eastAsia="zh-CN" w:bidi="ar"/>
              </w:rPr>
              <w:t>序号</w:t>
            </w:r>
          </w:p>
        </w:tc>
        <w:tc>
          <w:tcPr>
            <w:tcW w:w="2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名称</w:t>
            </w:r>
          </w:p>
        </w:tc>
        <w:tc>
          <w:tcPr>
            <w:tcW w:w="23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规格型号</w:t>
            </w:r>
          </w:p>
        </w:tc>
        <w:tc>
          <w:tcPr>
            <w:tcW w:w="7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数量</w:t>
            </w:r>
          </w:p>
        </w:tc>
        <w:tc>
          <w:tcPr>
            <w:tcW w:w="9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单位</w:t>
            </w:r>
          </w:p>
        </w:tc>
        <w:tc>
          <w:tcPr>
            <w:tcW w:w="27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1" w:hRule="atLeast"/>
        </w:trPr>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1</w:t>
            </w:r>
          </w:p>
        </w:tc>
        <w:tc>
          <w:tcPr>
            <w:tcW w:w="2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柴油发电机组</w:t>
            </w:r>
          </w:p>
        </w:tc>
        <w:tc>
          <w:tcPr>
            <w:tcW w:w="23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电喷柴油发电机组      主用功率350KW.  400V/230V,50HZ</w:t>
            </w:r>
          </w:p>
        </w:tc>
        <w:tc>
          <w:tcPr>
            <w:tcW w:w="7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1</w:t>
            </w:r>
          </w:p>
        </w:tc>
        <w:tc>
          <w:tcPr>
            <w:tcW w:w="9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台</w:t>
            </w:r>
          </w:p>
        </w:tc>
        <w:tc>
          <w:tcPr>
            <w:tcW w:w="279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1"/>
                <w:szCs w:val="21"/>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2</w:t>
            </w:r>
          </w:p>
        </w:tc>
        <w:tc>
          <w:tcPr>
            <w:tcW w:w="2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室内静音箱体</w:t>
            </w:r>
          </w:p>
        </w:tc>
        <w:tc>
          <w:tcPr>
            <w:tcW w:w="23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74dB</w:t>
            </w:r>
          </w:p>
        </w:tc>
        <w:tc>
          <w:tcPr>
            <w:tcW w:w="7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1</w:t>
            </w:r>
          </w:p>
        </w:tc>
        <w:tc>
          <w:tcPr>
            <w:tcW w:w="9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套</w:t>
            </w:r>
          </w:p>
        </w:tc>
        <w:tc>
          <w:tcPr>
            <w:tcW w:w="27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机组7米处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3</w:t>
            </w:r>
          </w:p>
        </w:tc>
        <w:tc>
          <w:tcPr>
            <w:tcW w:w="2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机组输出开关</w:t>
            </w:r>
          </w:p>
        </w:tc>
        <w:tc>
          <w:tcPr>
            <w:tcW w:w="23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ABB 800A 3P</w:t>
            </w:r>
          </w:p>
        </w:tc>
        <w:tc>
          <w:tcPr>
            <w:tcW w:w="7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1</w:t>
            </w:r>
          </w:p>
        </w:tc>
        <w:tc>
          <w:tcPr>
            <w:tcW w:w="9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台</w:t>
            </w:r>
          </w:p>
        </w:tc>
        <w:tc>
          <w:tcPr>
            <w:tcW w:w="27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与机组整体配置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4</w:t>
            </w:r>
          </w:p>
        </w:tc>
        <w:tc>
          <w:tcPr>
            <w:tcW w:w="2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配电柜（1AE01）</w:t>
            </w:r>
          </w:p>
        </w:tc>
        <w:tc>
          <w:tcPr>
            <w:tcW w:w="23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GCS</w:t>
            </w:r>
          </w:p>
        </w:tc>
        <w:tc>
          <w:tcPr>
            <w:tcW w:w="7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1</w:t>
            </w:r>
          </w:p>
        </w:tc>
        <w:tc>
          <w:tcPr>
            <w:tcW w:w="9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面</w:t>
            </w:r>
          </w:p>
        </w:tc>
        <w:tc>
          <w:tcPr>
            <w:tcW w:w="279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其中控制柜至少预留3个自启动信号接收点位，且能向下一级配电柜输出合闸信号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5</w:t>
            </w:r>
          </w:p>
        </w:tc>
        <w:tc>
          <w:tcPr>
            <w:tcW w:w="2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配电柜（1AE02）</w:t>
            </w:r>
          </w:p>
        </w:tc>
        <w:tc>
          <w:tcPr>
            <w:tcW w:w="23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GCS</w:t>
            </w:r>
          </w:p>
        </w:tc>
        <w:tc>
          <w:tcPr>
            <w:tcW w:w="7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1</w:t>
            </w:r>
          </w:p>
        </w:tc>
        <w:tc>
          <w:tcPr>
            <w:tcW w:w="9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面</w:t>
            </w:r>
          </w:p>
        </w:tc>
        <w:tc>
          <w:tcPr>
            <w:tcW w:w="279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1"/>
                <w:szCs w:val="21"/>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6</w:t>
            </w:r>
          </w:p>
        </w:tc>
        <w:tc>
          <w:tcPr>
            <w:tcW w:w="2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配电柜（1AE03）</w:t>
            </w:r>
          </w:p>
        </w:tc>
        <w:tc>
          <w:tcPr>
            <w:tcW w:w="23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GCS</w:t>
            </w:r>
          </w:p>
        </w:tc>
        <w:tc>
          <w:tcPr>
            <w:tcW w:w="7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1</w:t>
            </w:r>
          </w:p>
        </w:tc>
        <w:tc>
          <w:tcPr>
            <w:tcW w:w="9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面</w:t>
            </w:r>
          </w:p>
        </w:tc>
        <w:tc>
          <w:tcPr>
            <w:tcW w:w="279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1"/>
                <w:szCs w:val="21"/>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7</w:t>
            </w:r>
          </w:p>
        </w:tc>
        <w:tc>
          <w:tcPr>
            <w:tcW w:w="2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机组输出耐火母线槽</w:t>
            </w:r>
          </w:p>
        </w:tc>
        <w:tc>
          <w:tcPr>
            <w:tcW w:w="23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800A/4P</w:t>
            </w:r>
          </w:p>
        </w:tc>
        <w:tc>
          <w:tcPr>
            <w:tcW w:w="7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12</w:t>
            </w:r>
          </w:p>
        </w:tc>
        <w:tc>
          <w:tcPr>
            <w:tcW w:w="9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米</w:t>
            </w:r>
          </w:p>
        </w:tc>
        <w:tc>
          <w:tcPr>
            <w:tcW w:w="2796"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机组至1AE01柜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8</w:t>
            </w:r>
          </w:p>
        </w:tc>
        <w:tc>
          <w:tcPr>
            <w:tcW w:w="2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耐火母线槽连接器</w:t>
            </w:r>
          </w:p>
        </w:tc>
        <w:tc>
          <w:tcPr>
            <w:tcW w:w="23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800A/4P</w:t>
            </w:r>
          </w:p>
        </w:tc>
        <w:tc>
          <w:tcPr>
            <w:tcW w:w="7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2</w:t>
            </w:r>
          </w:p>
        </w:tc>
        <w:tc>
          <w:tcPr>
            <w:tcW w:w="9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套</w:t>
            </w:r>
          </w:p>
        </w:tc>
        <w:tc>
          <w:tcPr>
            <w:tcW w:w="2796" w:type="dxa"/>
            <w:tcBorders>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1"/>
                <w:szCs w:val="21"/>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9</w:t>
            </w:r>
          </w:p>
        </w:tc>
        <w:tc>
          <w:tcPr>
            <w:tcW w:w="2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终始端箱</w:t>
            </w:r>
          </w:p>
        </w:tc>
        <w:tc>
          <w:tcPr>
            <w:tcW w:w="23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800A</w:t>
            </w:r>
          </w:p>
        </w:tc>
        <w:tc>
          <w:tcPr>
            <w:tcW w:w="7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2</w:t>
            </w:r>
          </w:p>
        </w:tc>
        <w:tc>
          <w:tcPr>
            <w:tcW w:w="9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套</w:t>
            </w:r>
          </w:p>
        </w:tc>
        <w:tc>
          <w:tcPr>
            <w:tcW w:w="2796" w:type="dxa"/>
            <w:tcBorders>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1"/>
                <w:szCs w:val="21"/>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10</w:t>
            </w:r>
          </w:p>
        </w:tc>
        <w:tc>
          <w:tcPr>
            <w:tcW w:w="2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连接电缆</w:t>
            </w:r>
          </w:p>
        </w:tc>
        <w:tc>
          <w:tcPr>
            <w:tcW w:w="23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BV1*150</w:t>
            </w:r>
          </w:p>
        </w:tc>
        <w:tc>
          <w:tcPr>
            <w:tcW w:w="7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14</w:t>
            </w:r>
          </w:p>
        </w:tc>
        <w:tc>
          <w:tcPr>
            <w:tcW w:w="9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米</w:t>
            </w:r>
          </w:p>
        </w:tc>
        <w:tc>
          <w:tcPr>
            <w:tcW w:w="2796" w:type="dxa"/>
            <w:tcBorders>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1"/>
                <w:szCs w:val="21"/>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11</w:t>
            </w:r>
          </w:p>
        </w:tc>
        <w:tc>
          <w:tcPr>
            <w:tcW w:w="2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日用油箱</w:t>
            </w:r>
          </w:p>
        </w:tc>
        <w:tc>
          <w:tcPr>
            <w:tcW w:w="23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1m³</w:t>
            </w:r>
          </w:p>
        </w:tc>
        <w:tc>
          <w:tcPr>
            <w:tcW w:w="7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1</w:t>
            </w:r>
          </w:p>
        </w:tc>
        <w:tc>
          <w:tcPr>
            <w:tcW w:w="9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个</w:t>
            </w:r>
          </w:p>
        </w:tc>
        <w:tc>
          <w:tcPr>
            <w:tcW w:w="27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含油箱支架及阀门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12</w:t>
            </w:r>
          </w:p>
        </w:tc>
        <w:tc>
          <w:tcPr>
            <w:tcW w:w="2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磁翻板液位仪</w:t>
            </w:r>
          </w:p>
        </w:tc>
        <w:tc>
          <w:tcPr>
            <w:tcW w:w="23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1M</w:t>
            </w:r>
          </w:p>
        </w:tc>
        <w:tc>
          <w:tcPr>
            <w:tcW w:w="7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1</w:t>
            </w:r>
          </w:p>
        </w:tc>
        <w:tc>
          <w:tcPr>
            <w:tcW w:w="9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个</w:t>
            </w:r>
          </w:p>
        </w:tc>
        <w:tc>
          <w:tcPr>
            <w:tcW w:w="279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13</w:t>
            </w:r>
          </w:p>
        </w:tc>
        <w:tc>
          <w:tcPr>
            <w:tcW w:w="2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燃油供油管道</w:t>
            </w:r>
          </w:p>
        </w:tc>
        <w:tc>
          <w:tcPr>
            <w:tcW w:w="23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DN25</w:t>
            </w:r>
          </w:p>
        </w:tc>
        <w:tc>
          <w:tcPr>
            <w:tcW w:w="7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10</w:t>
            </w:r>
          </w:p>
        </w:tc>
        <w:tc>
          <w:tcPr>
            <w:tcW w:w="9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米</w:t>
            </w:r>
          </w:p>
        </w:tc>
        <w:tc>
          <w:tcPr>
            <w:tcW w:w="279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14</w:t>
            </w:r>
          </w:p>
        </w:tc>
        <w:tc>
          <w:tcPr>
            <w:tcW w:w="2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燃油回油管道</w:t>
            </w:r>
          </w:p>
        </w:tc>
        <w:tc>
          <w:tcPr>
            <w:tcW w:w="23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DN25</w:t>
            </w:r>
          </w:p>
        </w:tc>
        <w:tc>
          <w:tcPr>
            <w:tcW w:w="7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10</w:t>
            </w:r>
          </w:p>
        </w:tc>
        <w:tc>
          <w:tcPr>
            <w:tcW w:w="9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米</w:t>
            </w:r>
          </w:p>
        </w:tc>
        <w:tc>
          <w:tcPr>
            <w:tcW w:w="279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15</w:t>
            </w:r>
          </w:p>
        </w:tc>
        <w:tc>
          <w:tcPr>
            <w:tcW w:w="2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通气管道</w:t>
            </w:r>
          </w:p>
        </w:tc>
        <w:tc>
          <w:tcPr>
            <w:tcW w:w="23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DN32</w:t>
            </w:r>
          </w:p>
        </w:tc>
        <w:tc>
          <w:tcPr>
            <w:tcW w:w="7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20</w:t>
            </w:r>
          </w:p>
        </w:tc>
        <w:tc>
          <w:tcPr>
            <w:tcW w:w="9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米</w:t>
            </w:r>
          </w:p>
        </w:tc>
        <w:tc>
          <w:tcPr>
            <w:tcW w:w="27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至室外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16</w:t>
            </w:r>
          </w:p>
        </w:tc>
        <w:tc>
          <w:tcPr>
            <w:tcW w:w="2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阻火呼吸阀</w:t>
            </w:r>
          </w:p>
        </w:tc>
        <w:tc>
          <w:tcPr>
            <w:tcW w:w="23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DN32</w:t>
            </w:r>
          </w:p>
        </w:tc>
        <w:tc>
          <w:tcPr>
            <w:tcW w:w="7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1</w:t>
            </w:r>
          </w:p>
        </w:tc>
        <w:tc>
          <w:tcPr>
            <w:tcW w:w="9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只</w:t>
            </w:r>
          </w:p>
        </w:tc>
        <w:tc>
          <w:tcPr>
            <w:tcW w:w="27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不锈钢外壳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17</w:t>
            </w:r>
          </w:p>
        </w:tc>
        <w:tc>
          <w:tcPr>
            <w:tcW w:w="2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排风罩</w:t>
            </w:r>
          </w:p>
        </w:tc>
        <w:tc>
          <w:tcPr>
            <w:tcW w:w="23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1800*1600*600</w:t>
            </w:r>
          </w:p>
        </w:tc>
        <w:tc>
          <w:tcPr>
            <w:tcW w:w="7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1</w:t>
            </w:r>
          </w:p>
        </w:tc>
        <w:tc>
          <w:tcPr>
            <w:tcW w:w="9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套</w:t>
            </w:r>
          </w:p>
        </w:tc>
        <w:tc>
          <w:tcPr>
            <w:tcW w:w="27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含软硬连接及法兰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18</w:t>
            </w:r>
          </w:p>
        </w:tc>
        <w:tc>
          <w:tcPr>
            <w:tcW w:w="2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排烟管道</w:t>
            </w:r>
          </w:p>
        </w:tc>
        <w:tc>
          <w:tcPr>
            <w:tcW w:w="23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DN200</w:t>
            </w:r>
          </w:p>
        </w:tc>
        <w:tc>
          <w:tcPr>
            <w:tcW w:w="7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7</w:t>
            </w:r>
          </w:p>
        </w:tc>
        <w:tc>
          <w:tcPr>
            <w:tcW w:w="9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米</w:t>
            </w:r>
          </w:p>
        </w:tc>
        <w:tc>
          <w:tcPr>
            <w:tcW w:w="27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岩棉隔热保护及铝板装饰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19</w:t>
            </w:r>
          </w:p>
        </w:tc>
        <w:tc>
          <w:tcPr>
            <w:tcW w:w="2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二级消声器</w:t>
            </w:r>
          </w:p>
        </w:tc>
        <w:tc>
          <w:tcPr>
            <w:tcW w:w="23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住宅级</w:t>
            </w:r>
          </w:p>
        </w:tc>
        <w:tc>
          <w:tcPr>
            <w:tcW w:w="7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1</w:t>
            </w:r>
          </w:p>
        </w:tc>
        <w:tc>
          <w:tcPr>
            <w:tcW w:w="9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只</w:t>
            </w:r>
          </w:p>
        </w:tc>
        <w:tc>
          <w:tcPr>
            <w:tcW w:w="279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1"/>
                <w:szCs w:val="21"/>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20</w:t>
            </w:r>
          </w:p>
        </w:tc>
        <w:tc>
          <w:tcPr>
            <w:tcW w:w="2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弹簧吊架</w:t>
            </w:r>
          </w:p>
        </w:tc>
        <w:tc>
          <w:tcPr>
            <w:tcW w:w="23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1000*50</w:t>
            </w:r>
          </w:p>
        </w:tc>
        <w:tc>
          <w:tcPr>
            <w:tcW w:w="7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6</w:t>
            </w:r>
          </w:p>
        </w:tc>
        <w:tc>
          <w:tcPr>
            <w:tcW w:w="9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套</w:t>
            </w:r>
          </w:p>
        </w:tc>
        <w:tc>
          <w:tcPr>
            <w:tcW w:w="27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含管道与支架间隔热处理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21</w:t>
            </w:r>
          </w:p>
        </w:tc>
        <w:tc>
          <w:tcPr>
            <w:tcW w:w="2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墙面降噪</w:t>
            </w:r>
          </w:p>
        </w:tc>
        <w:tc>
          <w:tcPr>
            <w:tcW w:w="23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轻钢龙骨、矿物岩棉、铝孔装饰板</w:t>
            </w:r>
          </w:p>
        </w:tc>
        <w:tc>
          <w:tcPr>
            <w:tcW w:w="7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153</w:t>
            </w:r>
          </w:p>
        </w:tc>
        <w:tc>
          <w:tcPr>
            <w:tcW w:w="9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w:t>
            </w:r>
          </w:p>
        </w:tc>
        <w:tc>
          <w:tcPr>
            <w:tcW w:w="279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22</w:t>
            </w:r>
          </w:p>
        </w:tc>
        <w:tc>
          <w:tcPr>
            <w:tcW w:w="2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顶面降噪</w:t>
            </w:r>
          </w:p>
        </w:tc>
        <w:tc>
          <w:tcPr>
            <w:tcW w:w="23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轻钢龙骨、矿物岩棉、铝孔装饰板</w:t>
            </w:r>
          </w:p>
        </w:tc>
        <w:tc>
          <w:tcPr>
            <w:tcW w:w="7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53</w:t>
            </w:r>
          </w:p>
        </w:tc>
        <w:tc>
          <w:tcPr>
            <w:tcW w:w="9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w:t>
            </w:r>
          </w:p>
        </w:tc>
        <w:tc>
          <w:tcPr>
            <w:tcW w:w="279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23</w:t>
            </w:r>
          </w:p>
        </w:tc>
        <w:tc>
          <w:tcPr>
            <w:tcW w:w="2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进风井降噪</w:t>
            </w:r>
          </w:p>
        </w:tc>
        <w:tc>
          <w:tcPr>
            <w:tcW w:w="23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片式吸音板</w:t>
            </w:r>
          </w:p>
        </w:tc>
        <w:tc>
          <w:tcPr>
            <w:tcW w:w="7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95</w:t>
            </w:r>
          </w:p>
        </w:tc>
        <w:tc>
          <w:tcPr>
            <w:tcW w:w="9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w:t>
            </w:r>
          </w:p>
        </w:tc>
        <w:tc>
          <w:tcPr>
            <w:tcW w:w="279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1"/>
                <w:szCs w:val="21"/>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24</w:t>
            </w:r>
          </w:p>
        </w:tc>
        <w:tc>
          <w:tcPr>
            <w:tcW w:w="2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排风井降噪</w:t>
            </w:r>
          </w:p>
        </w:tc>
        <w:tc>
          <w:tcPr>
            <w:tcW w:w="23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片式吸音板</w:t>
            </w:r>
          </w:p>
        </w:tc>
        <w:tc>
          <w:tcPr>
            <w:tcW w:w="7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75</w:t>
            </w:r>
          </w:p>
        </w:tc>
        <w:tc>
          <w:tcPr>
            <w:tcW w:w="9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w:t>
            </w:r>
          </w:p>
        </w:tc>
        <w:tc>
          <w:tcPr>
            <w:tcW w:w="279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1"/>
                <w:szCs w:val="21"/>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67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25</w:t>
            </w:r>
          </w:p>
        </w:tc>
        <w:tc>
          <w:tcPr>
            <w:tcW w:w="229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机房隔音门</w:t>
            </w:r>
          </w:p>
        </w:tc>
        <w:tc>
          <w:tcPr>
            <w:tcW w:w="2332" w:type="dxa"/>
            <w:tcBorders>
              <w:top w:val="single" w:color="000000" w:sz="4" w:space="0"/>
              <w:left w:val="single" w:color="000000" w:sz="4" w:space="0"/>
              <w:bottom w:val="single" w:color="auto"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岩棉、钢板</w:t>
            </w:r>
          </w:p>
        </w:tc>
        <w:tc>
          <w:tcPr>
            <w:tcW w:w="772" w:type="dxa"/>
            <w:tcBorders>
              <w:top w:val="single" w:color="000000" w:sz="4" w:space="0"/>
              <w:left w:val="single" w:color="000000" w:sz="4" w:space="0"/>
              <w:bottom w:val="single" w:color="auto"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8</w:t>
            </w:r>
          </w:p>
        </w:tc>
        <w:tc>
          <w:tcPr>
            <w:tcW w:w="910" w:type="dxa"/>
            <w:tcBorders>
              <w:top w:val="single" w:color="000000" w:sz="4" w:space="0"/>
              <w:left w:val="single" w:color="000000" w:sz="4" w:space="0"/>
              <w:bottom w:val="single" w:color="auto"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w:t>
            </w:r>
          </w:p>
        </w:tc>
        <w:tc>
          <w:tcPr>
            <w:tcW w:w="2796" w:type="dxa"/>
            <w:tcBorders>
              <w:top w:val="single" w:color="000000" w:sz="4" w:space="0"/>
              <w:left w:val="single" w:color="000000" w:sz="4" w:space="0"/>
              <w:bottom w:val="single" w:color="auto"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消防验收后现场定制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31" w:hRule="atLeast"/>
        </w:trPr>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26</w:t>
            </w:r>
          </w:p>
        </w:tc>
        <w:tc>
          <w:tcPr>
            <w:tcW w:w="2290" w:type="dxa"/>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工程配合</w:t>
            </w:r>
          </w:p>
        </w:tc>
        <w:tc>
          <w:tcPr>
            <w:tcW w:w="6810" w:type="dxa"/>
            <w:gridSpan w:val="4"/>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yellow"/>
                <w:u w:val="none"/>
              </w:rPr>
            </w:pPr>
            <w:r>
              <w:rPr>
                <w:rFonts w:hint="eastAsia" w:ascii="宋体" w:hAnsi="宋体" w:eastAsia="宋体" w:cs="宋体"/>
                <w:i w:val="0"/>
                <w:color w:val="000000"/>
                <w:kern w:val="0"/>
                <w:sz w:val="21"/>
                <w:szCs w:val="21"/>
                <w:highlight w:val="yellow"/>
                <w:u w:val="none"/>
                <w:lang w:val="en-US" w:eastAsia="zh-CN" w:bidi="ar"/>
              </w:rPr>
              <w:t>供配电、弱电、消防调试配合及工程验收</w:t>
            </w:r>
            <w:r>
              <w:rPr>
                <w:rFonts w:hint="eastAsia" w:ascii="宋体" w:hAnsi="宋体" w:eastAsia="宋体" w:cs="宋体"/>
                <w:i w:val="0"/>
                <w:color w:val="000000"/>
                <w:kern w:val="0"/>
                <w:sz w:val="21"/>
                <w:szCs w:val="21"/>
                <w:highlight w:val="yellow"/>
                <w:u w:val="none"/>
                <w:lang w:val="en-US" w:eastAsia="zh-CN" w:bidi="ar"/>
              </w:rPr>
              <w:br w:type="textWrapping"/>
            </w:r>
            <w:r>
              <w:rPr>
                <w:rFonts w:hint="eastAsia" w:ascii="宋体" w:hAnsi="宋体" w:eastAsia="宋体" w:cs="宋体"/>
                <w:i w:val="0"/>
                <w:color w:val="000000"/>
                <w:kern w:val="0"/>
                <w:sz w:val="21"/>
                <w:szCs w:val="21"/>
                <w:highlight w:val="yellow"/>
                <w:u w:val="none"/>
                <w:lang w:val="en-US" w:eastAsia="zh-CN" w:bidi="ar"/>
              </w:rPr>
              <w:t>所需机油、防冻液，含1000L0#柴油</w:t>
            </w:r>
          </w:p>
        </w:tc>
      </w:tr>
    </w:tbl>
    <w:p>
      <w:pPr>
        <w:pStyle w:val="16"/>
        <w:rPr>
          <w:rFonts w:hint="eastAsia" w:ascii="宋体" w:hAnsi="宋体"/>
          <w:kern w:val="2"/>
          <w:sz w:val="44"/>
          <w:szCs w:val="44"/>
        </w:rPr>
      </w:pPr>
      <w:r>
        <w:rPr>
          <w:rFonts w:hint="eastAsia" w:ascii="宋体" w:hAnsi="宋体"/>
          <w:kern w:val="2"/>
          <w:sz w:val="44"/>
          <w:szCs w:val="44"/>
        </w:rPr>
        <w:br w:type="page"/>
      </w:r>
    </w:p>
    <w:p>
      <w:pPr>
        <w:pStyle w:val="16"/>
        <w:rPr>
          <w:rFonts w:ascii="宋体"/>
          <w:kern w:val="2"/>
          <w:sz w:val="44"/>
          <w:szCs w:val="44"/>
        </w:rPr>
      </w:pPr>
      <w:r>
        <w:rPr>
          <w:rFonts w:hint="eastAsia" w:ascii="宋体" w:hAnsi="宋体"/>
          <w:kern w:val="2"/>
          <w:sz w:val="44"/>
          <w:szCs w:val="44"/>
        </w:rPr>
        <w:t>第三章评标办法</w:t>
      </w:r>
      <w:bookmarkEnd w:id="86"/>
      <w:bookmarkEnd w:id="87"/>
      <w:bookmarkEnd w:id="88"/>
      <w:bookmarkEnd w:id="89"/>
      <w:bookmarkEnd w:id="90"/>
      <w:bookmarkEnd w:id="91"/>
      <w:bookmarkEnd w:id="92"/>
      <w:bookmarkStart w:id="93" w:name="_Toc238797610"/>
      <w:bookmarkStart w:id="94" w:name="_Toc238552255"/>
      <w:bookmarkStart w:id="95" w:name="_Toc144974555"/>
      <w:bookmarkStart w:id="96" w:name="_Toc152045588"/>
      <w:bookmarkStart w:id="97" w:name="_Toc152042365"/>
    </w:p>
    <w:p>
      <w:pPr>
        <w:spacing w:line="400" w:lineRule="exact"/>
        <w:jc w:val="left"/>
        <w:rPr>
          <w:rFonts w:ascii="宋体"/>
          <w:b/>
          <w:sz w:val="28"/>
          <w:szCs w:val="28"/>
        </w:rPr>
      </w:pPr>
      <w:r>
        <w:rPr>
          <w:rFonts w:hint="eastAsia" w:ascii="宋体" w:hAnsi="宋体"/>
          <w:b/>
          <w:sz w:val="28"/>
          <w:szCs w:val="28"/>
        </w:rPr>
        <w:t>评标办法前附表</w:t>
      </w:r>
      <w:bookmarkEnd w:id="93"/>
      <w:bookmarkEnd w:id="94"/>
      <w:bookmarkEnd w:id="95"/>
      <w:bookmarkEnd w:id="96"/>
      <w:bookmarkEnd w:id="97"/>
    </w:p>
    <w:p>
      <w:pPr>
        <w:pStyle w:val="6"/>
        <w:spacing w:before="10"/>
        <w:rPr>
          <w:rFonts w:asciiTheme="minorEastAsia" w:hAnsiTheme="minorEastAsia" w:eastAsiaTheme="minorEastAsia"/>
          <w:b/>
          <w:sz w:val="26"/>
        </w:rPr>
      </w:pPr>
    </w:p>
    <w:tbl>
      <w:tblPr>
        <w:tblStyle w:val="34"/>
        <w:tblW w:w="9181" w:type="dxa"/>
        <w:tblInd w:w="4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1123"/>
        <w:gridCol w:w="2477"/>
        <w:gridCol w:w="46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blHeader/>
        </w:trPr>
        <w:tc>
          <w:tcPr>
            <w:tcW w:w="2023" w:type="dxa"/>
            <w:gridSpan w:val="2"/>
            <w:vAlign w:val="center"/>
          </w:tcPr>
          <w:p>
            <w:pPr>
              <w:pStyle w:val="33"/>
              <w:snapToGrid w:val="0"/>
              <w:spacing w:line="360" w:lineRule="auto"/>
              <w:ind w:left="675" w:right="668"/>
              <w:jc w:val="center"/>
              <w:rPr>
                <w:rFonts w:asciiTheme="minorEastAsia" w:hAnsiTheme="minorEastAsia" w:eastAsiaTheme="minorEastAsia"/>
                <w:b/>
              </w:rPr>
            </w:pPr>
            <w:r>
              <w:rPr>
                <w:rFonts w:hint="eastAsia" w:asciiTheme="minorEastAsia" w:hAnsiTheme="minorEastAsia" w:eastAsiaTheme="minorEastAsia"/>
                <w:b/>
              </w:rPr>
              <w:t>条款号</w:t>
            </w:r>
          </w:p>
        </w:tc>
        <w:tc>
          <w:tcPr>
            <w:tcW w:w="2477" w:type="dxa"/>
            <w:vAlign w:val="center"/>
          </w:tcPr>
          <w:p>
            <w:pPr>
              <w:pStyle w:val="33"/>
              <w:snapToGrid w:val="0"/>
              <w:spacing w:line="360" w:lineRule="auto"/>
              <w:ind w:left="62" w:right="52"/>
              <w:jc w:val="center"/>
              <w:rPr>
                <w:rFonts w:asciiTheme="minorEastAsia" w:hAnsiTheme="minorEastAsia" w:eastAsiaTheme="minorEastAsia"/>
                <w:b/>
              </w:rPr>
            </w:pPr>
            <w:r>
              <w:rPr>
                <w:rFonts w:hint="eastAsia" w:asciiTheme="minorEastAsia" w:hAnsiTheme="minorEastAsia" w:eastAsiaTheme="minorEastAsia"/>
                <w:b/>
              </w:rPr>
              <w:t>评审因素</w:t>
            </w:r>
          </w:p>
        </w:tc>
        <w:tc>
          <w:tcPr>
            <w:tcW w:w="4681" w:type="dxa"/>
            <w:vAlign w:val="center"/>
          </w:tcPr>
          <w:p>
            <w:pPr>
              <w:pStyle w:val="33"/>
              <w:snapToGrid w:val="0"/>
              <w:spacing w:line="360" w:lineRule="auto"/>
              <w:ind w:left="1690" w:right="1680"/>
              <w:jc w:val="center"/>
              <w:rPr>
                <w:rFonts w:asciiTheme="minorEastAsia" w:hAnsiTheme="minorEastAsia" w:eastAsiaTheme="minorEastAsia"/>
                <w:b/>
              </w:rPr>
            </w:pPr>
            <w:r>
              <w:rPr>
                <w:rFonts w:hint="eastAsia" w:asciiTheme="minorEastAsia" w:hAnsiTheme="minorEastAsia" w:eastAsiaTheme="minorEastAsia"/>
                <w:b/>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900" w:type="dxa"/>
            <w:vAlign w:val="center"/>
          </w:tcPr>
          <w:p>
            <w:pPr>
              <w:pStyle w:val="33"/>
              <w:snapToGrid w:val="0"/>
              <w:spacing w:line="360" w:lineRule="auto"/>
              <w:ind w:left="7"/>
              <w:jc w:val="center"/>
              <w:rPr>
                <w:rFonts w:asciiTheme="minorEastAsia" w:hAnsiTheme="minorEastAsia" w:eastAsiaTheme="minorEastAsia"/>
              </w:rPr>
            </w:pPr>
            <w:r>
              <w:rPr>
                <w:rFonts w:asciiTheme="minorEastAsia" w:hAnsiTheme="minorEastAsia" w:eastAsiaTheme="minorEastAsia"/>
              </w:rPr>
              <w:t>1</w:t>
            </w:r>
          </w:p>
        </w:tc>
        <w:tc>
          <w:tcPr>
            <w:tcW w:w="1123" w:type="dxa"/>
            <w:vAlign w:val="center"/>
          </w:tcPr>
          <w:p>
            <w:pPr>
              <w:pStyle w:val="33"/>
              <w:snapToGrid w:val="0"/>
              <w:spacing w:line="360" w:lineRule="auto"/>
              <w:ind w:left="141"/>
              <w:rPr>
                <w:rFonts w:asciiTheme="minorEastAsia" w:hAnsiTheme="minorEastAsia" w:eastAsiaTheme="minorEastAsia"/>
              </w:rPr>
            </w:pPr>
            <w:r>
              <w:rPr>
                <w:rFonts w:asciiTheme="minorEastAsia" w:hAnsiTheme="minorEastAsia" w:eastAsiaTheme="minorEastAsia"/>
              </w:rPr>
              <w:t>评标方法</w:t>
            </w:r>
          </w:p>
        </w:tc>
        <w:tc>
          <w:tcPr>
            <w:tcW w:w="2477" w:type="dxa"/>
            <w:vAlign w:val="center"/>
          </w:tcPr>
          <w:p>
            <w:pPr>
              <w:pStyle w:val="33"/>
              <w:snapToGrid w:val="0"/>
              <w:spacing w:line="360" w:lineRule="auto"/>
              <w:ind w:left="63" w:right="50"/>
              <w:jc w:val="center"/>
              <w:rPr>
                <w:rFonts w:asciiTheme="minorEastAsia" w:hAnsiTheme="minorEastAsia" w:eastAsiaTheme="minorEastAsia"/>
              </w:rPr>
            </w:pPr>
            <w:r>
              <w:rPr>
                <w:rFonts w:hint="eastAsia" w:asciiTheme="minorEastAsia" w:hAnsiTheme="minorEastAsia" w:eastAsiaTheme="minorEastAsia"/>
              </w:rPr>
              <w:t>中选</w:t>
            </w:r>
            <w:r>
              <w:rPr>
                <w:rFonts w:asciiTheme="minorEastAsia" w:hAnsiTheme="minorEastAsia" w:eastAsiaTheme="minorEastAsia"/>
              </w:rPr>
              <w:t>候选人排序方法</w:t>
            </w:r>
          </w:p>
        </w:tc>
        <w:tc>
          <w:tcPr>
            <w:tcW w:w="4681" w:type="dxa"/>
            <w:vAlign w:val="center"/>
          </w:tcPr>
          <w:p>
            <w:pPr>
              <w:pStyle w:val="33"/>
              <w:snapToGrid w:val="0"/>
              <w:spacing w:line="360" w:lineRule="auto"/>
              <w:ind w:firstLine="420" w:firstLineChars="200"/>
              <w:rPr>
                <w:rFonts w:asciiTheme="minorEastAsia" w:hAnsiTheme="minorEastAsia" w:eastAsiaTheme="minorEastAsia"/>
                <w:sz w:val="20"/>
              </w:rPr>
            </w:pPr>
            <w:r>
              <w:rPr>
                <w:rFonts w:hint="eastAsia"/>
                <w:szCs w:val="21"/>
              </w:rPr>
              <w:t>本次评标采用综合评估法。评标委员会对满足比选文件实质性要求的竞选文件，按照本章第 2.2 款规定的评分标准进行打分，并按得分由高到低顺序推荐中选候选人，或根据比选人授权直接确定中选人，但竞选报价低于其成本的除外。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900" w:type="dxa"/>
            <w:vMerge w:val="restart"/>
            <w:vAlign w:val="center"/>
          </w:tcPr>
          <w:p>
            <w:pPr>
              <w:pStyle w:val="33"/>
              <w:snapToGrid w:val="0"/>
              <w:spacing w:line="360" w:lineRule="auto"/>
              <w:rPr>
                <w:rFonts w:asciiTheme="minorEastAsia" w:hAnsiTheme="minorEastAsia" w:eastAsiaTheme="minorEastAsia"/>
                <w:b/>
              </w:rPr>
            </w:pPr>
          </w:p>
          <w:p>
            <w:pPr>
              <w:pStyle w:val="33"/>
              <w:snapToGrid w:val="0"/>
              <w:spacing w:line="360" w:lineRule="auto"/>
              <w:rPr>
                <w:rFonts w:asciiTheme="minorEastAsia" w:hAnsiTheme="minorEastAsia" w:eastAsiaTheme="minorEastAsia"/>
                <w:b/>
              </w:rPr>
            </w:pPr>
          </w:p>
          <w:p>
            <w:pPr>
              <w:pStyle w:val="33"/>
              <w:snapToGrid w:val="0"/>
              <w:spacing w:line="360" w:lineRule="auto"/>
              <w:rPr>
                <w:rFonts w:asciiTheme="minorEastAsia" w:hAnsiTheme="minorEastAsia" w:eastAsiaTheme="minorEastAsia"/>
                <w:b/>
              </w:rPr>
            </w:pPr>
          </w:p>
          <w:p>
            <w:pPr>
              <w:pStyle w:val="33"/>
              <w:snapToGrid w:val="0"/>
              <w:spacing w:line="360" w:lineRule="auto"/>
              <w:rPr>
                <w:rFonts w:asciiTheme="minorEastAsia" w:hAnsiTheme="minorEastAsia" w:eastAsiaTheme="minorEastAsia"/>
                <w:b/>
              </w:rPr>
            </w:pPr>
          </w:p>
          <w:p>
            <w:pPr>
              <w:pStyle w:val="33"/>
              <w:snapToGrid w:val="0"/>
              <w:spacing w:line="360" w:lineRule="auto"/>
              <w:rPr>
                <w:rFonts w:asciiTheme="minorEastAsia" w:hAnsiTheme="minorEastAsia" w:eastAsiaTheme="minorEastAsia"/>
                <w:b/>
              </w:rPr>
            </w:pPr>
          </w:p>
          <w:p>
            <w:pPr>
              <w:pStyle w:val="33"/>
              <w:snapToGrid w:val="0"/>
              <w:spacing w:line="360" w:lineRule="auto"/>
              <w:rPr>
                <w:rFonts w:asciiTheme="minorEastAsia" w:hAnsiTheme="minorEastAsia" w:eastAsiaTheme="minorEastAsia"/>
                <w:b/>
              </w:rPr>
            </w:pPr>
          </w:p>
          <w:p>
            <w:pPr>
              <w:pStyle w:val="33"/>
              <w:snapToGrid w:val="0"/>
              <w:spacing w:line="360" w:lineRule="auto"/>
              <w:rPr>
                <w:rFonts w:asciiTheme="minorEastAsia" w:hAnsiTheme="minorEastAsia" w:eastAsiaTheme="minorEastAsia"/>
                <w:b/>
              </w:rPr>
            </w:pPr>
          </w:p>
          <w:p>
            <w:pPr>
              <w:pStyle w:val="33"/>
              <w:snapToGrid w:val="0"/>
              <w:spacing w:line="360" w:lineRule="auto"/>
              <w:ind w:left="239"/>
              <w:rPr>
                <w:rFonts w:asciiTheme="minorEastAsia" w:hAnsiTheme="minorEastAsia" w:eastAsiaTheme="minorEastAsia"/>
              </w:rPr>
            </w:pPr>
            <w:r>
              <w:rPr>
                <w:rFonts w:asciiTheme="minorEastAsia" w:hAnsiTheme="minorEastAsia" w:eastAsiaTheme="minorEastAsia"/>
              </w:rPr>
              <w:t>2.1.1</w:t>
            </w:r>
          </w:p>
        </w:tc>
        <w:tc>
          <w:tcPr>
            <w:tcW w:w="1123" w:type="dxa"/>
            <w:vMerge w:val="restart"/>
            <w:vAlign w:val="center"/>
          </w:tcPr>
          <w:p>
            <w:pPr>
              <w:pStyle w:val="33"/>
              <w:snapToGrid w:val="0"/>
              <w:spacing w:line="360" w:lineRule="auto"/>
              <w:rPr>
                <w:rFonts w:asciiTheme="minorEastAsia" w:hAnsiTheme="minorEastAsia" w:eastAsiaTheme="minorEastAsia"/>
                <w:b/>
                <w:sz w:val="20"/>
              </w:rPr>
            </w:pPr>
          </w:p>
          <w:p>
            <w:pPr>
              <w:pStyle w:val="33"/>
              <w:snapToGrid w:val="0"/>
              <w:spacing w:line="360" w:lineRule="auto"/>
              <w:rPr>
                <w:rFonts w:asciiTheme="minorEastAsia" w:hAnsiTheme="minorEastAsia" w:eastAsiaTheme="minorEastAsia"/>
                <w:b/>
                <w:sz w:val="20"/>
              </w:rPr>
            </w:pPr>
          </w:p>
          <w:p>
            <w:pPr>
              <w:pStyle w:val="33"/>
              <w:snapToGrid w:val="0"/>
              <w:spacing w:line="360" w:lineRule="auto"/>
              <w:rPr>
                <w:rFonts w:asciiTheme="minorEastAsia" w:hAnsiTheme="minorEastAsia" w:eastAsiaTheme="minorEastAsia"/>
                <w:b/>
                <w:sz w:val="20"/>
              </w:rPr>
            </w:pPr>
          </w:p>
          <w:p>
            <w:pPr>
              <w:pStyle w:val="33"/>
              <w:snapToGrid w:val="0"/>
              <w:spacing w:line="360" w:lineRule="auto"/>
              <w:rPr>
                <w:rFonts w:asciiTheme="minorEastAsia" w:hAnsiTheme="minorEastAsia" w:eastAsiaTheme="minorEastAsia"/>
                <w:b/>
                <w:sz w:val="20"/>
              </w:rPr>
            </w:pPr>
          </w:p>
          <w:p>
            <w:pPr>
              <w:pStyle w:val="33"/>
              <w:snapToGrid w:val="0"/>
              <w:spacing w:line="360" w:lineRule="auto"/>
              <w:rPr>
                <w:rFonts w:asciiTheme="minorEastAsia" w:hAnsiTheme="minorEastAsia" w:eastAsiaTheme="minorEastAsia"/>
                <w:b/>
                <w:sz w:val="20"/>
              </w:rPr>
            </w:pPr>
          </w:p>
          <w:p>
            <w:pPr>
              <w:pStyle w:val="33"/>
              <w:snapToGrid w:val="0"/>
              <w:spacing w:line="360" w:lineRule="auto"/>
              <w:rPr>
                <w:rFonts w:asciiTheme="minorEastAsia" w:hAnsiTheme="minorEastAsia" w:eastAsiaTheme="minorEastAsia"/>
                <w:b/>
                <w:sz w:val="20"/>
              </w:rPr>
            </w:pPr>
          </w:p>
          <w:p>
            <w:pPr>
              <w:pStyle w:val="33"/>
              <w:snapToGrid w:val="0"/>
              <w:spacing w:line="360" w:lineRule="auto"/>
              <w:rPr>
                <w:rFonts w:asciiTheme="minorEastAsia" w:hAnsiTheme="minorEastAsia" w:eastAsiaTheme="minorEastAsia"/>
                <w:b/>
                <w:sz w:val="20"/>
              </w:rPr>
            </w:pPr>
          </w:p>
          <w:p>
            <w:pPr>
              <w:pStyle w:val="33"/>
              <w:snapToGrid w:val="0"/>
              <w:spacing w:line="360" w:lineRule="auto"/>
              <w:ind w:left="350" w:right="127" w:hanging="209"/>
              <w:rPr>
                <w:rFonts w:asciiTheme="minorEastAsia" w:hAnsiTheme="minorEastAsia" w:eastAsiaTheme="minorEastAsia"/>
              </w:rPr>
            </w:pPr>
            <w:r>
              <w:rPr>
                <w:rFonts w:asciiTheme="minorEastAsia" w:hAnsiTheme="minorEastAsia" w:eastAsiaTheme="minorEastAsia"/>
              </w:rPr>
              <w:t>形式评审标准</w:t>
            </w:r>
          </w:p>
        </w:tc>
        <w:tc>
          <w:tcPr>
            <w:tcW w:w="2477" w:type="dxa"/>
            <w:vAlign w:val="center"/>
          </w:tcPr>
          <w:p>
            <w:pPr>
              <w:pStyle w:val="33"/>
              <w:snapToGrid w:val="0"/>
              <w:spacing w:line="360" w:lineRule="auto"/>
              <w:ind w:left="63" w:right="50"/>
              <w:jc w:val="center"/>
              <w:rPr>
                <w:rFonts w:asciiTheme="minorEastAsia" w:hAnsiTheme="minorEastAsia" w:eastAsiaTheme="minorEastAsia"/>
              </w:rPr>
            </w:pPr>
            <w:r>
              <w:rPr>
                <w:rFonts w:hint="eastAsia" w:asciiTheme="minorEastAsia" w:hAnsiTheme="minorEastAsia" w:eastAsiaTheme="minorEastAsia"/>
              </w:rPr>
              <w:t>竞选</w:t>
            </w:r>
            <w:r>
              <w:rPr>
                <w:rFonts w:asciiTheme="minorEastAsia" w:hAnsiTheme="minorEastAsia" w:eastAsiaTheme="minorEastAsia"/>
              </w:rPr>
              <w:t>人名称</w:t>
            </w:r>
          </w:p>
        </w:tc>
        <w:tc>
          <w:tcPr>
            <w:tcW w:w="4681" w:type="dxa"/>
            <w:vAlign w:val="center"/>
          </w:tcPr>
          <w:p>
            <w:pPr>
              <w:pStyle w:val="33"/>
              <w:snapToGrid w:val="0"/>
              <w:spacing w:line="360" w:lineRule="auto"/>
              <w:ind w:left="108"/>
              <w:rPr>
                <w:rFonts w:asciiTheme="minorEastAsia" w:hAnsiTheme="minorEastAsia" w:eastAsiaTheme="minorEastAsia"/>
              </w:rPr>
            </w:pPr>
            <w:r>
              <w:rPr>
                <w:rFonts w:asciiTheme="minorEastAsia" w:hAnsiTheme="minorEastAsia" w:eastAsiaTheme="minorEastAsia"/>
              </w:rPr>
              <w:t>与营业执照一致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900" w:type="dxa"/>
            <w:vMerge w:val="continue"/>
            <w:tcBorders>
              <w:top w:val="nil"/>
            </w:tcBorders>
            <w:vAlign w:val="center"/>
          </w:tcPr>
          <w:p>
            <w:pPr>
              <w:snapToGrid w:val="0"/>
              <w:spacing w:line="360" w:lineRule="auto"/>
              <w:rPr>
                <w:rFonts w:asciiTheme="minorEastAsia" w:hAnsiTheme="minorEastAsia" w:eastAsiaTheme="minorEastAsia"/>
                <w:sz w:val="2"/>
                <w:szCs w:val="2"/>
              </w:rPr>
            </w:pPr>
          </w:p>
        </w:tc>
        <w:tc>
          <w:tcPr>
            <w:tcW w:w="1123" w:type="dxa"/>
            <w:vMerge w:val="continue"/>
            <w:tcBorders>
              <w:top w:val="nil"/>
            </w:tcBorders>
            <w:vAlign w:val="center"/>
          </w:tcPr>
          <w:p>
            <w:pPr>
              <w:snapToGrid w:val="0"/>
              <w:spacing w:line="360" w:lineRule="auto"/>
              <w:rPr>
                <w:rFonts w:asciiTheme="minorEastAsia" w:hAnsiTheme="minorEastAsia" w:eastAsiaTheme="minorEastAsia"/>
                <w:sz w:val="2"/>
                <w:szCs w:val="2"/>
              </w:rPr>
            </w:pPr>
          </w:p>
        </w:tc>
        <w:tc>
          <w:tcPr>
            <w:tcW w:w="2477" w:type="dxa"/>
            <w:vAlign w:val="center"/>
          </w:tcPr>
          <w:p>
            <w:pPr>
              <w:pStyle w:val="33"/>
              <w:snapToGrid w:val="0"/>
              <w:spacing w:line="360" w:lineRule="auto"/>
              <w:ind w:left="62" w:right="52"/>
              <w:jc w:val="center"/>
              <w:rPr>
                <w:rFonts w:asciiTheme="minorEastAsia" w:hAnsiTheme="minorEastAsia" w:eastAsiaTheme="minorEastAsia"/>
              </w:rPr>
            </w:pPr>
            <w:r>
              <w:rPr>
                <w:rFonts w:hint="eastAsia" w:asciiTheme="minorEastAsia" w:hAnsiTheme="minorEastAsia" w:eastAsiaTheme="minorEastAsia"/>
              </w:rPr>
              <w:t>竞选</w:t>
            </w:r>
            <w:r>
              <w:rPr>
                <w:rFonts w:asciiTheme="minorEastAsia" w:hAnsiTheme="minorEastAsia" w:eastAsiaTheme="minorEastAsia"/>
              </w:rPr>
              <w:t>函签字盖章</w:t>
            </w:r>
          </w:p>
        </w:tc>
        <w:tc>
          <w:tcPr>
            <w:tcW w:w="4681" w:type="dxa"/>
            <w:vAlign w:val="center"/>
          </w:tcPr>
          <w:p>
            <w:pPr>
              <w:pStyle w:val="33"/>
              <w:snapToGrid w:val="0"/>
              <w:spacing w:line="360" w:lineRule="auto"/>
              <w:ind w:left="108" w:right="90"/>
              <w:rPr>
                <w:rFonts w:asciiTheme="minorEastAsia" w:hAnsiTheme="minorEastAsia" w:eastAsiaTheme="minorEastAsia"/>
              </w:rPr>
            </w:pPr>
            <w:r>
              <w:rPr>
                <w:rFonts w:asciiTheme="minorEastAsia" w:hAnsiTheme="minorEastAsia" w:eastAsiaTheme="minorEastAsia"/>
              </w:rPr>
              <w:t>有法定代表人（单位负责人）或其委托代理人签字或加盖单位章。由法定代表人（单位负责人） 签字的，应附法定代表人（单位负责人）身份证明，由代理人签字的，应附授权委托书，身份证明或授权委托书应符合第六章</w:t>
            </w:r>
            <w:r>
              <w:rPr>
                <w:rFonts w:asciiTheme="minorEastAsia" w:hAnsiTheme="minorEastAsia" w:eastAsiaTheme="minorEastAsia"/>
                <w:i/>
              </w:rPr>
              <w:t>“</w:t>
            </w:r>
            <w:r>
              <w:rPr>
                <w:rFonts w:hint="eastAsia" w:asciiTheme="minorEastAsia" w:hAnsiTheme="minorEastAsia" w:eastAsiaTheme="minorEastAsia"/>
              </w:rPr>
              <w:t>竞选</w:t>
            </w:r>
            <w:r>
              <w:rPr>
                <w:rFonts w:asciiTheme="minorEastAsia" w:hAnsiTheme="minorEastAsia" w:eastAsiaTheme="minorEastAsia"/>
              </w:rPr>
              <w:t>文件格式</w:t>
            </w:r>
            <w:r>
              <w:rPr>
                <w:rFonts w:asciiTheme="minorEastAsia" w:hAnsiTheme="minorEastAsia" w:eastAsiaTheme="minorEastAsia"/>
                <w:i/>
              </w:rPr>
              <w:t>”</w:t>
            </w:r>
            <w:r>
              <w:rPr>
                <w:rFonts w:asciiTheme="minorEastAsia" w:hAnsiTheme="minorEastAsia" w:eastAsiaTheme="minorEastAsia"/>
              </w:rPr>
              <w:t>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900" w:type="dxa"/>
            <w:vMerge w:val="continue"/>
            <w:tcBorders>
              <w:top w:val="nil"/>
            </w:tcBorders>
            <w:vAlign w:val="center"/>
          </w:tcPr>
          <w:p>
            <w:pPr>
              <w:snapToGrid w:val="0"/>
              <w:spacing w:line="360" w:lineRule="auto"/>
              <w:rPr>
                <w:rFonts w:asciiTheme="minorEastAsia" w:hAnsiTheme="minorEastAsia" w:eastAsiaTheme="minorEastAsia"/>
                <w:sz w:val="2"/>
                <w:szCs w:val="2"/>
              </w:rPr>
            </w:pPr>
          </w:p>
        </w:tc>
        <w:tc>
          <w:tcPr>
            <w:tcW w:w="1123" w:type="dxa"/>
            <w:vMerge w:val="continue"/>
            <w:tcBorders>
              <w:top w:val="nil"/>
            </w:tcBorders>
            <w:vAlign w:val="center"/>
          </w:tcPr>
          <w:p>
            <w:pPr>
              <w:snapToGrid w:val="0"/>
              <w:spacing w:line="360" w:lineRule="auto"/>
              <w:rPr>
                <w:rFonts w:asciiTheme="minorEastAsia" w:hAnsiTheme="minorEastAsia" w:eastAsiaTheme="minorEastAsia"/>
                <w:sz w:val="2"/>
                <w:szCs w:val="2"/>
              </w:rPr>
            </w:pPr>
          </w:p>
        </w:tc>
        <w:tc>
          <w:tcPr>
            <w:tcW w:w="2477" w:type="dxa"/>
            <w:vAlign w:val="center"/>
          </w:tcPr>
          <w:p>
            <w:pPr>
              <w:pStyle w:val="33"/>
              <w:snapToGrid w:val="0"/>
              <w:spacing w:line="360" w:lineRule="auto"/>
              <w:ind w:left="62" w:right="52"/>
              <w:jc w:val="center"/>
              <w:rPr>
                <w:rFonts w:asciiTheme="minorEastAsia" w:hAnsiTheme="minorEastAsia" w:eastAsiaTheme="minorEastAsia"/>
              </w:rPr>
            </w:pPr>
            <w:r>
              <w:rPr>
                <w:rFonts w:hint="eastAsia" w:asciiTheme="minorEastAsia" w:hAnsiTheme="minorEastAsia" w:eastAsiaTheme="minorEastAsia"/>
              </w:rPr>
              <w:t>竞选</w:t>
            </w:r>
            <w:r>
              <w:rPr>
                <w:rFonts w:asciiTheme="minorEastAsia" w:hAnsiTheme="minorEastAsia" w:eastAsiaTheme="minorEastAsia"/>
              </w:rPr>
              <w:t>文件格式</w:t>
            </w:r>
          </w:p>
        </w:tc>
        <w:tc>
          <w:tcPr>
            <w:tcW w:w="4681" w:type="dxa"/>
            <w:vAlign w:val="center"/>
          </w:tcPr>
          <w:p>
            <w:pPr>
              <w:pStyle w:val="33"/>
              <w:snapToGrid w:val="0"/>
              <w:spacing w:line="360" w:lineRule="auto"/>
              <w:ind w:left="108"/>
              <w:rPr>
                <w:rFonts w:asciiTheme="minorEastAsia" w:hAnsiTheme="minorEastAsia" w:eastAsiaTheme="minorEastAsia"/>
              </w:rPr>
            </w:pPr>
            <w:r>
              <w:rPr>
                <w:rFonts w:asciiTheme="minorEastAsia" w:hAnsiTheme="minorEastAsia" w:eastAsiaTheme="minorEastAsia"/>
              </w:rPr>
              <w:t>符合第六章</w:t>
            </w:r>
            <w:r>
              <w:rPr>
                <w:rFonts w:asciiTheme="minorEastAsia" w:hAnsiTheme="minorEastAsia" w:eastAsiaTheme="minorEastAsia"/>
                <w:i/>
              </w:rPr>
              <w:t>“</w:t>
            </w:r>
            <w:r>
              <w:rPr>
                <w:rFonts w:hint="eastAsia" w:asciiTheme="minorEastAsia" w:hAnsiTheme="minorEastAsia" w:eastAsiaTheme="minorEastAsia"/>
              </w:rPr>
              <w:t>竞选</w:t>
            </w:r>
            <w:r>
              <w:rPr>
                <w:rFonts w:asciiTheme="minorEastAsia" w:hAnsiTheme="minorEastAsia" w:eastAsiaTheme="minorEastAsia"/>
              </w:rPr>
              <w:t>文件格式</w:t>
            </w:r>
            <w:r>
              <w:rPr>
                <w:rFonts w:asciiTheme="minorEastAsia" w:hAnsiTheme="minorEastAsia" w:eastAsiaTheme="minorEastAsia"/>
                <w:i/>
              </w:rPr>
              <w:t>”</w:t>
            </w:r>
            <w:r>
              <w:rPr>
                <w:rFonts w:asciiTheme="minorEastAsia" w:hAnsiTheme="minorEastAsia" w:eastAsiaTheme="minorEastAsia"/>
              </w:rPr>
              <w:t>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900" w:type="dxa"/>
            <w:vMerge w:val="continue"/>
            <w:tcBorders>
              <w:top w:val="nil"/>
            </w:tcBorders>
            <w:vAlign w:val="center"/>
          </w:tcPr>
          <w:p>
            <w:pPr>
              <w:snapToGrid w:val="0"/>
              <w:spacing w:line="360" w:lineRule="auto"/>
              <w:rPr>
                <w:rFonts w:asciiTheme="minorEastAsia" w:hAnsiTheme="minorEastAsia" w:eastAsiaTheme="minorEastAsia"/>
                <w:sz w:val="2"/>
                <w:szCs w:val="2"/>
              </w:rPr>
            </w:pPr>
          </w:p>
        </w:tc>
        <w:tc>
          <w:tcPr>
            <w:tcW w:w="1123" w:type="dxa"/>
            <w:vMerge w:val="continue"/>
            <w:tcBorders>
              <w:top w:val="nil"/>
            </w:tcBorders>
            <w:vAlign w:val="center"/>
          </w:tcPr>
          <w:p>
            <w:pPr>
              <w:snapToGrid w:val="0"/>
              <w:spacing w:line="360" w:lineRule="auto"/>
              <w:rPr>
                <w:rFonts w:asciiTheme="minorEastAsia" w:hAnsiTheme="minorEastAsia" w:eastAsiaTheme="minorEastAsia"/>
                <w:sz w:val="2"/>
                <w:szCs w:val="2"/>
              </w:rPr>
            </w:pPr>
          </w:p>
        </w:tc>
        <w:tc>
          <w:tcPr>
            <w:tcW w:w="2477" w:type="dxa"/>
            <w:vAlign w:val="center"/>
          </w:tcPr>
          <w:p>
            <w:pPr>
              <w:pStyle w:val="33"/>
              <w:snapToGrid w:val="0"/>
              <w:spacing w:line="360" w:lineRule="auto"/>
              <w:ind w:left="60" w:right="52"/>
              <w:jc w:val="center"/>
              <w:rPr>
                <w:rFonts w:asciiTheme="minorEastAsia" w:hAnsiTheme="minorEastAsia" w:eastAsiaTheme="minorEastAsia"/>
              </w:rPr>
            </w:pPr>
            <w:r>
              <w:rPr>
                <w:rFonts w:asciiTheme="minorEastAsia" w:hAnsiTheme="minorEastAsia" w:eastAsiaTheme="minorEastAsia"/>
              </w:rPr>
              <w:t>备选</w:t>
            </w:r>
            <w:r>
              <w:rPr>
                <w:rFonts w:hint="eastAsia" w:asciiTheme="minorEastAsia" w:hAnsiTheme="minorEastAsia" w:eastAsiaTheme="minorEastAsia"/>
              </w:rPr>
              <w:t>竞选</w:t>
            </w:r>
            <w:r>
              <w:rPr>
                <w:rFonts w:asciiTheme="minorEastAsia" w:hAnsiTheme="minorEastAsia" w:eastAsiaTheme="minorEastAsia"/>
              </w:rPr>
              <w:t>方案</w:t>
            </w:r>
          </w:p>
        </w:tc>
        <w:tc>
          <w:tcPr>
            <w:tcW w:w="4681" w:type="dxa"/>
            <w:vAlign w:val="center"/>
          </w:tcPr>
          <w:p>
            <w:pPr>
              <w:pStyle w:val="33"/>
              <w:snapToGrid w:val="0"/>
              <w:spacing w:line="360" w:lineRule="auto"/>
              <w:ind w:left="108" w:right="93"/>
              <w:rPr>
                <w:rFonts w:asciiTheme="minorEastAsia" w:hAnsiTheme="minorEastAsia" w:eastAsiaTheme="minorEastAsia"/>
              </w:rPr>
            </w:pPr>
            <w:r>
              <w:rPr>
                <w:rFonts w:asciiTheme="minorEastAsia" w:hAnsiTheme="minorEastAsia" w:eastAsiaTheme="minorEastAsia"/>
              </w:rPr>
              <w:t>除</w:t>
            </w:r>
            <w:r>
              <w:rPr>
                <w:rFonts w:hint="eastAsia" w:asciiTheme="minorEastAsia" w:hAnsiTheme="minorEastAsia" w:eastAsiaTheme="minorEastAsia"/>
              </w:rPr>
              <w:t>比选</w:t>
            </w:r>
            <w:r>
              <w:rPr>
                <w:rFonts w:asciiTheme="minorEastAsia" w:hAnsiTheme="minorEastAsia" w:eastAsiaTheme="minorEastAsia"/>
              </w:rPr>
              <w:t>文件明确允许提交备选</w:t>
            </w:r>
            <w:r>
              <w:rPr>
                <w:rFonts w:hint="eastAsia" w:asciiTheme="minorEastAsia" w:hAnsiTheme="minorEastAsia" w:eastAsiaTheme="minorEastAsia"/>
              </w:rPr>
              <w:t>竞选</w:t>
            </w:r>
            <w:r>
              <w:rPr>
                <w:rFonts w:asciiTheme="minorEastAsia" w:hAnsiTheme="minorEastAsia" w:eastAsiaTheme="minorEastAsia"/>
              </w:rPr>
              <w:t>方案外，</w:t>
            </w:r>
            <w:r>
              <w:rPr>
                <w:rFonts w:hint="eastAsia" w:asciiTheme="minorEastAsia" w:hAnsiTheme="minorEastAsia" w:eastAsiaTheme="minorEastAsia"/>
              </w:rPr>
              <w:t>竞选</w:t>
            </w:r>
            <w:r>
              <w:rPr>
                <w:rFonts w:asciiTheme="minorEastAsia" w:hAnsiTheme="minorEastAsia" w:eastAsiaTheme="minorEastAsia"/>
              </w:rPr>
              <w:t>人不得提交备选</w:t>
            </w:r>
            <w:r>
              <w:rPr>
                <w:rFonts w:hint="eastAsia" w:asciiTheme="minorEastAsia" w:hAnsiTheme="minorEastAsia" w:eastAsiaTheme="minorEastAsia"/>
              </w:rPr>
              <w:t>竞选</w:t>
            </w:r>
            <w:r>
              <w:rPr>
                <w:rFonts w:asciiTheme="minorEastAsia" w:hAnsiTheme="minorEastAsia" w:eastAsiaTheme="minorEastAsia"/>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900" w:type="dxa"/>
            <w:vMerge w:val="restart"/>
            <w:vAlign w:val="center"/>
          </w:tcPr>
          <w:p>
            <w:pPr>
              <w:pStyle w:val="33"/>
              <w:snapToGrid w:val="0"/>
              <w:spacing w:line="360" w:lineRule="auto"/>
              <w:rPr>
                <w:rFonts w:asciiTheme="minorEastAsia" w:hAnsiTheme="minorEastAsia" w:eastAsiaTheme="minorEastAsia"/>
                <w:b/>
              </w:rPr>
            </w:pPr>
          </w:p>
          <w:p>
            <w:pPr>
              <w:pStyle w:val="33"/>
              <w:snapToGrid w:val="0"/>
              <w:spacing w:line="360" w:lineRule="auto"/>
              <w:rPr>
                <w:rFonts w:asciiTheme="minorEastAsia" w:hAnsiTheme="minorEastAsia" w:eastAsiaTheme="minorEastAsia"/>
                <w:b/>
              </w:rPr>
            </w:pPr>
          </w:p>
          <w:p>
            <w:pPr>
              <w:pStyle w:val="33"/>
              <w:snapToGrid w:val="0"/>
              <w:spacing w:line="360" w:lineRule="auto"/>
              <w:rPr>
                <w:rFonts w:asciiTheme="minorEastAsia" w:hAnsiTheme="minorEastAsia" w:eastAsiaTheme="minorEastAsia"/>
                <w:b/>
              </w:rPr>
            </w:pPr>
          </w:p>
          <w:p>
            <w:pPr>
              <w:pStyle w:val="33"/>
              <w:snapToGrid w:val="0"/>
              <w:spacing w:line="360" w:lineRule="auto"/>
              <w:rPr>
                <w:rFonts w:asciiTheme="minorEastAsia" w:hAnsiTheme="minorEastAsia" w:eastAsiaTheme="minorEastAsia"/>
                <w:b/>
                <w:sz w:val="15"/>
              </w:rPr>
            </w:pPr>
          </w:p>
          <w:p>
            <w:pPr>
              <w:pStyle w:val="33"/>
              <w:snapToGrid w:val="0"/>
              <w:spacing w:line="360" w:lineRule="auto"/>
              <w:ind w:left="239"/>
              <w:rPr>
                <w:rFonts w:asciiTheme="minorEastAsia" w:hAnsiTheme="minorEastAsia" w:eastAsiaTheme="minorEastAsia"/>
              </w:rPr>
            </w:pPr>
            <w:r>
              <w:rPr>
                <w:rFonts w:asciiTheme="minorEastAsia" w:hAnsiTheme="minorEastAsia" w:eastAsiaTheme="minorEastAsia"/>
              </w:rPr>
              <w:t>2.1.2</w:t>
            </w:r>
          </w:p>
        </w:tc>
        <w:tc>
          <w:tcPr>
            <w:tcW w:w="1123" w:type="dxa"/>
            <w:vMerge w:val="restart"/>
            <w:vAlign w:val="center"/>
          </w:tcPr>
          <w:p>
            <w:pPr>
              <w:pStyle w:val="33"/>
              <w:snapToGrid w:val="0"/>
              <w:spacing w:line="360" w:lineRule="auto"/>
              <w:rPr>
                <w:rFonts w:asciiTheme="minorEastAsia" w:hAnsiTheme="minorEastAsia" w:eastAsiaTheme="minorEastAsia"/>
                <w:b/>
                <w:sz w:val="20"/>
              </w:rPr>
            </w:pPr>
          </w:p>
          <w:p>
            <w:pPr>
              <w:pStyle w:val="33"/>
              <w:snapToGrid w:val="0"/>
              <w:spacing w:line="360" w:lineRule="auto"/>
              <w:rPr>
                <w:rFonts w:asciiTheme="minorEastAsia" w:hAnsiTheme="minorEastAsia" w:eastAsiaTheme="minorEastAsia"/>
                <w:b/>
                <w:sz w:val="20"/>
              </w:rPr>
            </w:pPr>
          </w:p>
          <w:p>
            <w:pPr>
              <w:pStyle w:val="33"/>
              <w:snapToGrid w:val="0"/>
              <w:spacing w:line="360" w:lineRule="auto"/>
              <w:rPr>
                <w:rFonts w:asciiTheme="minorEastAsia" w:hAnsiTheme="minorEastAsia" w:eastAsiaTheme="minorEastAsia"/>
                <w:b/>
                <w:sz w:val="28"/>
              </w:rPr>
            </w:pPr>
          </w:p>
          <w:p>
            <w:pPr>
              <w:pStyle w:val="33"/>
              <w:snapToGrid w:val="0"/>
              <w:spacing w:line="360" w:lineRule="auto"/>
              <w:ind w:left="350" w:right="127" w:hanging="209"/>
              <w:rPr>
                <w:rFonts w:asciiTheme="minorEastAsia" w:hAnsiTheme="minorEastAsia" w:eastAsiaTheme="minorEastAsia"/>
              </w:rPr>
            </w:pPr>
            <w:r>
              <w:rPr>
                <w:rFonts w:asciiTheme="minorEastAsia" w:hAnsiTheme="minorEastAsia" w:eastAsiaTheme="minorEastAsia"/>
              </w:rPr>
              <w:t>资格评审标准</w:t>
            </w:r>
          </w:p>
        </w:tc>
        <w:tc>
          <w:tcPr>
            <w:tcW w:w="2477" w:type="dxa"/>
            <w:vAlign w:val="center"/>
          </w:tcPr>
          <w:p>
            <w:pPr>
              <w:pStyle w:val="33"/>
              <w:snapToGrid w:val="0"/>
              <w:spacing w:line="360" w:lineRule="auto"/>
              <w:ind w:right="175" w:firstLine="840" w:firstLineChars="400"/>
              <w:rPr>
                <w:rFonts w:asciiTheme="minorEastAsia" w:hAnsiTheme="minorEastAsia" w:eastAsiaTheme="minorEastAsia"/>
              </w:rPr>
            </w:pPr>
            <w:r>
              <w:rPr>
                <w:rFonts w:asciiTheme="minorEastAsia" w:hAnsiTheme="minorEastAsia" w:eastAsiaTheme="minorEastAsia"/>
              </w:rPr>
              <w:t>营业执照</w:t>
            </w:r>
          </w:p>
        </w:tc>
        <w:tc>
          <w:tcPr>
            <w:tcW w:w="4681" w:type="dxa"/>
            <w:vAlign w:val="center"/>
          </w:tcPr>
          <w:p>
            <w:pPr>
              <w:pStyle w:val="33"/>
              <w:snapToGrid w:val="0"/>
              <w:spacing w:line="360" w:lineRule="auto"/>
              <w:ind w:left="108" w:right="93"/>
              <w:rPr>
                <w:rFonts w:asciiTheme="minorEastAsia" w:hAnsiTheme="minorEastAsia" w:eastAsiaTheme="minorEastAsia"/>
              </w:rPr>
            </w:pPr>
            <w:r>
              <w:rPr>
                <w:rFonts w:asciiTheme="minorEastAsia" w:hAnsiTheme="minorEastAsia" w:eastAsiaTheme="minorEastAsia"/>
              </w:rPr>
              <w:t>符合第二章</w:t>
            </w:r>
            <w:r>
              <w:rPr>
                <w:rFonts w:asciiTheme="minorEastAsia" w:hAnsiTheme="minorEastAsia" w:eastAsiaTheme="minorEastAsia"/>
                <w:i/>
              </w:rPr>
              <w:t>“</w:t>
            </w:r>
            <w:r>
              <w:rPr>
                <w:rFonts w:hint="eastAsia" w:asciiTheme="minorEastAsia" w:hAnsiTheme="minorEastAsia" w:eastAsiaTheme="minorEastAsia"/>
              </w:rPr>
              <w:t>竞选</w:t>
            </w:r>
            <w:r>
              <w:rPr>
                <w:rFonts w:asciiTheme="minorEastAsia" w:hAnsiTheme="minorEastAsia" w:eastAsiaTheme="minorEastAsia"/>
              </w:rPr>
              <w:t>人须知</w:t>
            </w:r>
            <w:r>
              <w:rPr>
                <w:rFonts w:asciiTheme="minorEastAsia" w:hAnsiTheme="minorEastAsia" w:eastAsiaTheme="minorEastAsia"/>
                <w:i/>
              </w:rPr>
              <w:t>”</w:t>
            </w:r>
            <w:r>
              <w:rPr>
                <w:rFonts w:asciiTheme="minorEastAsia" w:hAnsiTheme="minorEastAsia" w:eastAsiaTheme="minorEastAsia"/>
              </w:rPr>
              <w:t>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900" w:type="dxa"/>
            <w:vMerge w:val="continue"/>
            <w:vAlign w:val="center"/>
          </w:tcPr>
          <w:p>
            <w:pPr>
              <w:snapToGrid w:val="0"/>
              <w:spacing w:line="360" w:lineRule="auto"/>
              <w:rPr>
                <w:rFonts w:asciiTheme="minorEastAsia" w:hAnsiTheme="minorEastAsia" w:eastAsiaTheme="minorEastAsia"/>
                <w:sz w:val="2"/>
                <w:szCs w:val="2"/>
              </w:rPr>
            </w:pPr>
          </w:p>
        </w:tc>
        <w:tc>
          <w:tcPr>
            <w:tcW w:w="1123" w:type="dxa"/>
            <w:vMerge w:val="continue"/>
            <w:vAlign w:val="center"/>
          </w:tcPr>
          <w:p>
            <w:pPr>
              <w:snapToGrid w:val="0"/>
              <w:spacing w:line="360" w:lineRule="auto"/>
              <w:rPr>
                <w:rFonts w:asciiTheme="minorEastAsia" w:hAnsiTheme="minorEastAsia" w:eastAsiaTheme="minorEastAsia"/>
                <w:sz w:val="2"/>
                <w:szCs w:val="2"/>
              </w:rPr>
            </w:pPr>
          </w:p>
        </w:tc>
        <w:tc>
          <w:tcPr>
            <w:tcW w:w="2477" w:type="dxa"/>
            <w:vAlign w:val="center"/>
          </w:tcPr>
          <w:p>
            <w:pPr>
              <w:pStyle w:val="33"/>
              <w:snapToGrid w:val="0"/>
              <w:spacing w:line="360" w:lineRule="auto"/>
              <w:ind w:left="63" w:right="50"/>
              <w:jc w:val="center"/>
              <w:rPr>
                <w:rFonts w:asciiTheme="minorEastAsia" w:hAnsiTheme="minorEastAsia" w:eastAsiaTheme="minorEastAsia"/>
              </w:rPr>
            </w:pPr>
            <w:r>
              <w:rPr>
                <w:rFonts w:hint="eastAsia" w:asciiTheme="minorEastAsia" w:hAnsiTheme="minorEastAsia" w:eastAsiaTheme="minorEastAsia"/>
              </w:rPr>
              <w:t>授权书</w:t>
            </w:r>
          </w:p>
        </w:tc>
        <w:tc>
          <w:tcPr>
            <w:tcW w:w="4681" w:type="dxa"/>
            <w:vAlign w:val="center"/>
          </w:tcPr>
          <w:p>
            <w:pPr>
              <w:pStyle w:val="33"/>
              <w:snapToGrid w:val="0"/>
              <w:spacing w:line="360" w:lineRule="auto"/>
              <w:ind w:left="108"/>
              <w:rPr>
                <w:rFonts w:asciiTheme="minorEastAsia" w:hAnsiTheme="minorEastAsia" w:eastAsiaTheme="minorEastAsia"/>
              </w:rPr>
            </w:pPr>
            <w:r>
              <w:rPr>
                <w:rFonts w:asciiTheme="minorEastAsia" w:hAnsiTheme="minorEastAsia" w:eastAsiaTheme="minorEastAsia"/>
              </w:rPr>
              <w:t>符合第二章</w:t>
            </w:r>
            <w:r>
              <w:rPr>
                <w:rFonts w:asciiTheme="minorEastAsia" w:hAnsiTheme="minorEastAsia" w:eastAsiaTheme="minorEastAsia"/>
                <w:i/>
              </w:rPr>
              <w:t>“</w:t>
            </w:r>
            <w:r>
              <w:rPr>
                <w:rFonts w:hint="eastAsia" w:asciiTheme="minorEastAsia" w:hAnsiTheme="minorEastAsia" w:eastAsiaTheme="minorEastAsia"/>
              </w:rPr>
              <w:t>竞选</w:t>
            </w:r>
            <w:r>
              <w:rPr>
                <w:rFonts w:asciiTheme="minorEastAsia" w:hAnsiTheme="minorEastAsia" w:eastAsiaTheme="minorEastAsia"/>
              </w:rPr>
              <w:t>人须知</w:t>
            </w:r>
            <w:r>
              <w:rPr>
                <w:rFonts w:asciiTheme="minorEastAsia" w:hAnsiTheme="minorEastAsia" w:eastAsiaTheme="minorEastAsia"/>
                <w:i/>
              </w:rPr>
              <w:t>”</w:t>
            </w:r>
            <w:r>
              <w:rPr>
                <w:rFonts w:asciiTheme="minorEastAsia" w:hAnsiTheme="minorEastAsia" w:eastAsiaTheme="minorEastAsia"/>
              </w:rPr>
              <w:t>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900" w:type="dxa"/>
            <w:vMerge w:val="continue"/>
            <w:vAlign w:val="center"/>
          </w:tcPr>
          <w:p>
            <w:pPr>
              <w:snapToGrid w:val="0"/>
              <w:spacing w:line="360" w:lineRule="auto"/>
              <w:rPr>
                <w:rFonts w:asciiTheme="minorEastAsia" w:hAnsiTheme="minorEastAsia" w:eastAsiaTheme="minorEastAsia"/>
                <w:sz w:val="2"/>
                <w:szCs w:val="2"/>
              </w:rPr>
            </w:pPr>
          </w:p>
        </w:tc>
        <w:tc>
          <w:tcPr>
            <w:tcW w:w="1123" w:type="dxa"/>
            <w:vMerge w:val="continue"/>
            <w:vAlign w:val="center"/>
          </w:tcPr>
          <w:p>
            <w:pPr>
              <w:snapToGrid w:val="0"/>
              <w:spacing w:line="360" w:lineRule="auto"/>
              <w:rPr>
                <w:rFonts w:asciiTheme="minorEastAsia" w:hAnsiTheme="minorEastAsia" w:eastAsiaTheme="minorEastAsia"/>
                <w:sz w:val="2"/>
                <w:szCs w:val="2"/>
              </w:rPr>
            </w:pPr>
          </w:p>
        </w:tc>
        <w:tc>
          <w:tcPr>
            <w:tcW w:w="2477" w:type="dxa"/>
            <w:vAlign w:val="center"/>
          </w:tcPr>
          <w:p>
            <w:pPr>
              <w:pStyle w:val="33"/>
              <w:snapToGrid w:val="0"/>
              <w:spacing w:line="360" w:lineRule="auto"/>
              <w:ind w:left="63" w:right="50"/>
              <w:jc w:val="center"/>
              <w:rPr>
                <w:rFonts w:asciiTheme="minorEastAsia" w:hAnsiTheme="minorEastAsia" w:eastAsiaTheme="minorEastAsia"/>
              </w:rPr>
            </w:pPr>
            <w:r>
              <w:rPr>
                <w:rFonts w:hint="eastAsia" w:asciiTheme="minorEastAsia" w:hAnsiTheme="minorEastAsia" w:eastAsiaTheme="minorEastAsia"/>
              </w:rPr>
              <w:t>信誉</w:t>
            </w:r>
            <w:r>
              <w:rPr>
                <w:rFonts w:asciiTheme="minorEastAsia" w:hAnsiTheme="minorEastAsia" w:eastAsiaTheme="minorEastAsia"/>
              </w:rPr>
              <w:t>要求</w:t>
            </w:r>
          </w:p>
        </w:tc>
        <w:tc>
          <w:tcPr>
            <w:tcW w:w="4681" w:type="dxa"/>
            <w:vAlign w:val="center"/>
          </w:tcPr>
          <w:p>
            <w:pPr>
              <w:pStyle w:val="33"/>
              <w:snapToGrid w:val="0"/>
              <w:spacing w:line="360" w:lineRule="auto"/>
              <w:ind w:left="108"/>
              <w:rPr>
                <w:rFonts w:asciiTheme="minorEastAsia" w:hAnsiTheme="minorEastAsia" w:eastAsiaTheme="minorEastAsia"/>
              </w:rPr>
            </w:pPr>
            <w:r>
              <w:rPr>
                <w:rFonts w:asciiTheme="minorEastAsia" w:hAnsiTheme="minorEastAsia" w:eastAsiaTheme="minorEastAsia"/>
              </w:rPr>
              <w:t>符合第二章</w:t>
            </w:r>
            <w:r>
              <w:rPr>
                <w:rFonts w:asciiTheme="minorEastAsia" w:hAnsiTheme="minorEastAsia" w:eastAsiaTheme="minorEastAsia"/>
                <w:i/>
              </w:rPr>
              <w:t>“</w:t>
            </w:r>
            <w:r>
              <w:rPr>
                <w:rFonts w:hint="eastAsia" w:asciiTheme="minorEastAsia" w:hAnsiTheme="minorEastAsia" w:eastAsiaTheme="minorEastAsia"/>
              </w:rPr>
              <w:t>竞选</w:t>
            </w:r>
            <w:r>
              <w:rPr>
                <w:rFonts w:asciiTheme="minorEastAsia" w:hAnsiTheme="minorEastAsia" w:eastAsiaTheme="minorEastAsia"/>
              </w:rPr>
              <w:t>人须知</w:t>
            </w:r>
            <w:r>
              <w:rPr>
                <w:rFonts w:asciiTheme="minorEastAsia" w:hAnsiTheme="minorEastAsia" w:eastAsiaTheme="minorEastAsia"/>
                <w:i/>
              </w:rPr>
              <w:t>”</w:t>
            </w:r>
            <w:r>
              <w:rPr>
                <w:rFonts w:asciiTheme="minorEastAsia" w:hAnsiTheme="minorEastAsia" w:eastAsiaTheme="minorEastAsia"/>
              </w:rPr>
              <w:t>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900" w:type="dxa"/>
            <w:vMerge w:val="continue"/>
            <w:vAlign w:val="center"/>
          </w:tcPr>
          <w:p>
            <w:pPr>
              <w:snapToGrid w:val="0"/>
              <w:spacing w:line="360" w:lineRule="auto"/>
              <w:rPr>
                <w:rFonts w:asciiTheme="minorEastAsia" w:hAnsiTheme="minorEastAsia" w:eastAsiaTheme="minorEastAsia"/>
                <w:sz w:val="2"/>
                <w:szCs w:val="2"/>
              </w:rPr>
            </w:pPr>
          </w:p>
        </w:tc>
        <w:tc>
          <w:tcPr>
            <w:tcW w:w="1123" w:type="dxa"/>
            <w:vMerge w:val="continue"/>
            <w:vAlign w:val="center"/>
          </w:tcPr>
          <w:p>
            <w:pPr>
              <w:snapToGrid w:val="0"/>
              <w:spacing w:line="360" w:lineRule="auto"/>
              <w:rPr>
                <w:rFonts w:asciiTheme="minorEastAsia" w:hAnsiTheme="minorEastAsia" w:eastAsiaTheme="minorEastAsia"/>
                <w:sz w:val="2"/>
                <w:szCs w:val="2"/>
              </w:rPr>
            </w:pPr>
          </w:p>
        </w:tc>
        <w:tc>
          <w:tcPr>
            <w:tcW w:w="2477" w:type="dxa"/>
            <w:vAlign w:val="center"/>
          </w:tcPr>
          <w:p>
            <w:pPr>
              <w:pStyle w:val="33"/>
              <w:snapToGrid w:val="0"/>
              <w:spacing w:line="360" w:lineRule="auto"/>
              <w:ind w:left="63" w:right="50"/>
              <w:jc w:val="center"/>
              <w:rPr>
                <w:rFonts w:asciiTheme="minorEastAsia" w:hAnsiTheme="minorEastAsia" w:eastAsiaTheme="minorEastAsia"/>
              </w:rPr>
            </w:pPr>
            <w:r>
              <w:rPr>
                <w:rFonts w:asciiTheme="minorEastAsia" w:hAnsiTheme="minorEastAsia" w:eastAsiaTheme="minorEastAsia"/>
              </w:rPr>
              <w:t>其他要求</w:t>
            </w:r>
          </w:p>
        </w:tc>
        <w:tc>
          <w:tcPr>
            <w:tcW w:w="4681" w:type="dxa"/>
            <w:vAlign w:val="center"/>
          </w:tcPr>
          <w:p>
            <w:pPr>
              <w:pStyle w:val="33"/>
              <w:snapToGrid w:val="0"/>
              <w:spacing w:line="360" w:lineRule="auto"/>
              <w:ind w:left="108"/>
              <w:rPr>
                <w:rFonts w:asciiTheme="minorEastAsia" w:hAnsiTheme="minorEastAsia" w:eastAsiaTheme="minorEastAsia"/>
              </w:rPr>
            </w:pPr>
            <w:r>
              <w:rPr>
                <w:rFonts w:asciiTheme="minorEastAsia" w:hAnsiTheme="minorEastAsia" w:eastAsiaTheme="minorEastAsia"/>
              </w:rPr>
              <w:t>符合第二章</w:t>
            </w:r>
            <w:r>
              <w:rPr>
                <w:rFonts w:asciiTheme="minorEastAsia" w:hAnsiTheme="minorEastAsia" w:eastAsiaTheme="minorEastAsia"/>
                <w:i/>
              </w:rPr>
              <w:t>“</w:t>
            </w:r>
            <w:r>
              <w:rPr>
                <w:rFonts w:hint="eastAsia" w:asciiTheme="minorEastAsia" w:hAnsiTheme="minorEastAsia" w:eastAsiaTheme="minorEastAsia"/>
              </w:rPr>
              <w:t>竞选</w:t>
            </w:r>
            <w:r>
              <w:rPr>
                <w:rFonts w:asciiTheme="minorEastAsia" w:hAnsiTheme="minorEastAsia" w:eastAsiaTheme="minorEastAsia"/>
              </w:rPr>
              <w:t>人须知</w:t>
            </w:r>
            <w:r>
              <w:rPr>
                <w:rFonts w:asciiTheme="minorEastAsia" w:hAnsiTheme="minorEastAsia" w:eastAsiaTheme="minorEastAsia"/>
                <w:i/>
              </w:rPr>
              <w:t>”</w:t>
            </w:r>
            <w:r>
              <w:rPr>
                <w:rFonts w:asciiTheme="minorEastAsia" w:hAnsiTheme="minorEastAsia" w:eastAsiaTheme="minorEastAsia"/>
              </w:rPr>
              <w:t>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900" w:type="dxa"/>
            <w:vMerge w:val="continue"/>
            <w:tcBorders>
              <w:bottom w:val="single" w:color="auto" w:sz="4" w:space="0"/>
            </w:tcBorders>
            <w:vAlign w:val="center"/>
          </w:tcPr>
          <w:p>
            <w:pPr>
              <w:snapToGrid w:val="0"/>
              <w:spacing w:line="360" w:lineRule="auto"/>
              <w:rPr>
                <w:rFonts w:asciiTheme="minorEastAsia" w:hAnsiTheme="minorEastAsia" w:eastAsiaTheme="minorEastAsia"/>
                <w:sz w:val="2"/>
                <w:szCs w:val="2"/>
              </w:rPr>
            </w:pPr>
          </w:p>
        </w:tc>
        <w:tc>
          <w:tcPr>
            <w:tcW w:w="1123" w:type="dxa"/>
            <w:vMerge w:val="continue"/>
            <w:tcBorders>
              <w:bottom w:val="single" w:color="auto" w:sz="4" w:space="0"/>
            </w:tcBorders>
            <w:vAlign w:val="center"/>
          </w:tcPr>
          <w:p>
            <w:pPr>
              <w:snapToGrid w:val="0"/>
              <w:spacing w:line="360" w:lineRule="auto"/>
              <w:rPr>
                <w:rFonts w:asciiTheme="minorEastAsia" w:hAnsiTheme="minorEastAsia" w:eastAsiaTheme="minorEastAsia"/>
                <w:sz w:val="2"/>
                <w:szCs w:val="2"/>
              </w:rPr>
            </w:pPr>
          </w:p>
        </w:tc>
        <w:tc>
          <w:tcPr>
            <w:tcW w:w="2477" w:type="dxa"/>
            <w:tcBorders>
              <w:bottom w:val="single" w:color="auto" w:sz="4" w:space="0"/>
            </w:tcBorders>
            <w:vAlign w:val="center"/>
          </w:tcPr>
          <w:p>
            <w:pPr>
              <w:pStyle w:val="33"/>
              <w:snapToGrid w:val="0"/>
              <w:spacing w:line="360" w:lineRule="auto"/>
              <w:ind w:left="61" w:right="52"/>
              <w:jc w:val="center"/>
              <w:rPr>
                <w:rFonts w:asciiTheme="minorEastAsia" w:hAnsiTheme="minorEastAsia" w:eastAsiaTheme="minorEastAsia"/>
              </w:rPr>
            </w:pPr>
            <w:r>
              <w:rPr>
                <w:rFonts w:asciiTheme="minorEastAsia" w:hAnsiTheme="minorEastAsia" w:eastAsiaTheme="minorEastAsia"/>
              </w:rPr>
              <w:t>不存在禁止</w:t>
            </w:r>
            <w:r>
              <w:rPr>
                <w:rFonts w:hint="eastAsia" w:asciiTheme="minorEastAsia" w:hAnsiTheme="minorEastAsia" w:eastAsiaTheme="minorEastAsia"/>
              </w:rPr>
              <w:t>竞选</w:t>
            </w:r>
            <w:r>
              <w:rPr>
                <w:rFonts w:asciiTheme="minorEastAsia" w:hAnsiTheme="minorEastAsia" w:eastAsiaTheme="minorEastAsia"/>
              </w:rPr>
              <w:t>的情形</w:t>
            </w:r>
          </w:p>
        </w:tc>
        <w:tc>
          <w:tcPr>
            <w:tcW w:w="4681" w:type="dxa"/>
            <w:tcBorders>
              <w:bottom w:val="single" w:color="auto" w:sz="4" w:space="0"/>
            </w:tcBorders>
            <w:vAlign w:val="center"/>
          </w:tcPr>
          <w:p>
            <w:pPr>
              <w:pStyle w:val="33"/>
              <w:snapToGrid w:val="0"/>
              <w:spacing w:line="360" w:lineRule="auto"/>
              <w:ind w:left="108" w:right="93"/>
              <w:rPr>
                <w:rFonts w:asciiTheme="minorEastAsia" w:hAnsiTheme="minorEastAsia" w:eastAsiaTheme="minorEastAsia"/>
              </w:rPr>
            </w:pPr>
            <w:r>
              <w:rPr>
                <w:rFonts w:asciiTheme="minorEastAsia" w:hAnsiTheme="minorEastAsia" w:eastAsiaTheme="minorEastAsia"/>
                <w:spacing w:val="-2"/>
              </w:rPr>
              <w:t>不存在第二章</w:t>
            </w:r>
            <w:r>
              <w:rPr>
                <w:rFonts w:asciiTheme="minorEastAsia" w:hAnsiTheme="minorEastAsia" w:eastAsiaTheme="minorEastAsia"/>
                <w:i/>
                <w:spacing w:val="-3"/>
              </w:rPr>
              <w:t>“</w:t>
            </w:r>
            <w:r>
              <w:rPr>
                <w:rFonts w:hint="eastAsia" w:asciiTheme="minorEastAsia" w:hAnsiTheme="minorEastAsia" w:eastAsiaTheme="minorEastAsia"/>
                <w:spacing w:val="-3"/>
              </w:rPr>
              <w:t>竞选</w:t>
            </w:r>
            <w:r>
              <w:rPr>
                <w:rFonts w:asciiTheme="minorEastAsia" w:hAnsiTheme="minorEastAsia" w:eastAsiaTheme="minorEastAsia"/>
                <w:spacing w:val="-3"/>
              </w:rPr>
              <w:t>人须知</w:t>
            </w:r>
            <w:r>
              <w:rPr>
                <w:rFonts w:asciiTheme="minorEastAsia" w:hAnsiTheme="minorEastAsia" w:eastAsiaTheme="minorEastAsia"/>
                <w:i/>
              </w:rPr>
              <w:t>”</w:t>
            </w:r>
            <w:r>
              <w:rPr>
                <w:rFonts w:asciiTheme="minorEastAsia" w:hAnsiTheme="minorEastAsia" w:eastAsiaTheme="minorEastAsia"/>
                <w:spacing w:val="-3"/>
              </w:rPr>
              <w:t>规定的任何一种情形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900" w:type="dxa"/>
            <w:vMerge w:val="restart"/>
            <w:tcBorders>
              <w:top w:val="single" w:color="auto" w:sz="4" w:space="0"/>
              <w:left w:val="single" w:color="auto" w:sz="4" w:space="0"/>
              <w:bottom w:val="single" w:color="auto" w:sz="4" w:space="0"/>
              <w:right w:val="single" w:color="auto" w:sz="4" w:space="0"/>
            </w:tcBorders>
            <w:vAlign w:val="center"/>
          </w:tcPr>
          <w:p>
            <w:pPr>
              <w:pStyle w:val="33"/>
              <w:snapToGrid w:val="0"/>
              <w:spacing w:line="360" w:lineRule="auto"/>
              <w:rPr>
                <w:rFonts w:asciiTheme="minorEastAsia" w:hAnsiTheme="minorEastAsia" w:eastAsiaTheme="minorEastAsia"/>
                <w:b/>
              </w:rPr>
            </w:pPr>
          </w:p>
          <w:p>
            <w:pPr>
              <w:pStyle w:val="33"/>
              <w:snapToGrid w:val="0"/>
              <w:spacing w:line="360" w:lineRule="auto"/>
              <w:rPr>
                <w:rFonts w:asciiTheme="minorEastAsia" w:hAnsiTheme="minorEastAsia" w:eastAsiaTheme="minorEastAsia"/>
                <w:b/>
              </w:rPr>
            </w:pPr>
          </w:p>
          <w:p>
            <w:pPr>
              <w:pStyle w:val="33"/>
              <w:snapToGrid w:val="0"/>
              <w:spacing w:line="360" w:lineRule="auto"/>
              <w:rPr>
                <w:rFonts w:asciiTheme="minorEastAsia" w:hAnsiTheme="minorEastAsia" w:eastAsiaTheme="minorEastAsia"/>
                <w:b/>
              </w:rPr>
            </w:pPr>
          </w:p>
          <w:p>
            <w:pPr>
              <w:pStyle w:val="33"/>
              <w:snapToGrid w:val="0"/>
              <w:spacing w:line="360" w:lineRule="auto"/>
              <w:rPr>
                <w:rFonts w:asciiTheme="minorEastAsia" w:hAnsiTheme="minorEastAsia" w:eastAsiaTheme="minorEastAsia"/>
                <w:b/>
              </w:rPr>
            </w:pPr>
          </w:p>
          <w:p>
            <w:pPr>
              <w:pStyle w:val="33"/>
              <w:snapToGrid w:val="0"/>
              <w:spacing w:line="360" w:lineRule="auto"/>
              <w:rPr>
                <w:rFonts w:asciiTheme="minorEastAsia" w:hAnsiTheme="minorEastAsia" w:eastAsiaTheme="minorEastAsia"/>
                <w:b/>
              </w:rPr>
            </w:pPr>
          </w:p>
          <w:p>
            <w:pPr>
              <w:pStyle w:val="33"/>
              <w:snapToGrid w:val="0"/>
              <w:spacing w:line="360" w:lineRule="auto"/>
              <w:rPr>
                <w:rFonts w:asciiTheme="minorEastAsia" w:hAnsiTheme="minorEastAsia" w:eastAsiaTheme="minorEastAsia"/>
                <w:b/>
              </w:rPr>
            </w:pPr>
          </w:p>
          <w:p>
            <w:pPr>
              <w:pStyle w:val="33"/>
              <w:snapToGrid w:val="0"/>
              <w:spacing w:line="360" w:lineRule="auto"/>
              <w:rPr>
                <w:rFonts w:asciiTheme="minorEastAsia" w:hAnsiTheme="minorEastAsia" w:eastAsiaTheme="minorEastAsia"/>
                <w:b/>
                <w:sz w:val="23"/>
              </w:rPr>
            </w:pPr>
          </w:p>
          <w:p>
            <w:pPr>
              <w:pStyle w:val="33"/>
              <w:snapToGrid w:val="0"/>
              <w:spacing w:line="360" w:lineRule="auto"/>
              <w:ind w:left="239"/>
              <w:rPr>
                <w:rFonts w:asciiTheme="minorEastAsia" w:hAnsiTheme="minorEastAsia" w:eastAsiaTheme="minorEastAsia"/>
              </w:rPr>
            </w:pPr>
            <w:r>
              <w:rPr>
                <w:rFonts w:asciiTheme="minorEastAsia" w:hAnsiTheme="minorEastAsia" w:eastAsiaTheme="minorEastAsia"/>
              </w:rPr>
              <w:t>2.1.3</w:t>
            </w:r>
          </w:p>
        </w:tc>
        <w:tc>
          <w:tcPr>
            <w:tcW w:w="1123" w:type="dxa"/>
            <w:vMerge w:val="restart"/>
            <w:tcBorders>
              <w:top w:val="single" w:color="auto" w:sz="4" w:space="0"/>
              <w:left w:val="single" w:color="auto" w:sz="4" w:space="0"/>
              <w:bottom w:val="single" w:color="auto" w:sz="4" w:space="0"/>
              <w:right w:val="single" w:color="auto" w:sz="4" w:space="0"/>
            </w:tcBorders>
            <w:vAlign w:val="center"/>
          </w:tcPr>
          <w:p>
            <w:pPr>
              <w:pStyle w:val="33"/>
              <w:snapToGrid w:val="0"/>
              <w:spacing w:line="360" w:lineRule="auto"/>
              <w:rPr>
                <w:rFonts w:asciiTheme="minorEastAsia" w:hAnsiTheme="minorEastAsia" w:eastAsiaTheme="minorEastAsia"/>
                <w:b/>
                <w:sz w:val="20"/>
              </w:rPr>
            </w:pPr>
          </w:p>
          <w:p>
            <w:pPr>
              <w:pStyle w:val="33"/>
              <w:snapToGrid w:val="0"/>
              <w:spacing w:line="360" w:lineRule="auto"/>
              <w:rPr>
                <w:rFonts w:asciiTheme="minorEastAsia" w:hAnsiTheme="minorEastAsia" w:eastAsiaTheme="minorEastAsia"/>
                <w:b/>
                <w:sz w:val="20"/>
              </w:rPr>
            </w:pPr>
          </w:p>
          <w:p>
            <w:pPr>
              <w:pStyle w:val="33"/>
              <w:snapToGrid w:val="0"/>
              <w:spacing w:line="360" w:lineRule="auto"/>
              <w:rPr>
                <w:rFonts w:asciiTheme="minorEastAsia" w:hAnsiTheme="minorEastAsia" w:eastAsiaTheme="minorEastAsia"/>
                <w:b/>
                <w:sz w:val="20"/>
              </w:rPr>
            </w:pPr>
          </w:p>
          <w:p>
            <w:pPr>
              <w:pStyle w:val="33"/>
              <w:snapToGrid w:val="0"/>
              <w:spacing w:line="360" w:lineRule="auto"/>
              <w:rPr>
                <w:rFonts w:asciiTheme="minorEastAsia" w:hAnsiTheme="minorEastAsia" w:eastAsiaTheme="minorEastAsia"/>
                <w:b/>
                <w:sz w:val="20"/>
              </w:rPr>
            </w:pPr>
          </w:p>
          <w:p>
            <w:pPr>
              <w:pStyle w:val="33"/>
              <w:snapToGrid w:val="0"/>
              <w:spacing w:line="360" w:lineRule="auto"/>
              <w:rPr>
                <w:rFonts w:asciiTheme="minorEastAsia" w:hAnsiTheme="minorEastAsia" w:eastAsiaTheme="minorEastAsia"/>
                <w:b/>
                <w:sz w:val="20"/>
              </w:rPr>
            </w:pPr>
          </w:p>
          <w:p>
            <w:pPr>
              <w:pStyle w:val="33"/>
              <w:snapToGrid w:val="0"/>
              <w:spacing w:line="360" w:lineRule="auto"/>
              <w:rPr>
                <w:rFonts w:asciiTheme="minorEastAsia" w:hAnsiTheme="minorEastAsia" w:eastAsiaTheme="minorEastAsia"/>
                <w:b/>
                <w:sz w:val="20"/>
              </w:rPr>
            </w:pPr>
          </w:p>
          <w:p>
            <w:pPr>
              <w:pStyle w:val="33"/>
              <w:snapToGrid w:val="0"/>
              <w:spacing w:line="360" w:lineRule="auto"/>
              <w:rPr>
                <w:rFonts w:asciiTheme="minorEastAsia" w:hAnsiTheme="minorEastAsia" w:eastAsiaTheme="minorEastAsia"/>
                <w:b/>
              </w:rPr>
            </w:pPr>
          </w:p>
          <w:p>
            <w:pPr>
              <w:pStyle w:val="33"/>
              <w:snapToGrid w:val="0"/>
              <w:spacing w:line="360" w:lineRule="auto"/>
              <w:ind w:left="244" w:right="127" w:hanging="104"/>
              <w:rPr>
                <w:rFonts w:asciiTheme="minorEastAsia" w:hAnsiTheme="minorEastAsia" w:eastAsiaTheme="minorEastAsia"/>
              </w:rPr>
            </w:pPr>
            <w:r>
              <w:rPr>
                <w:rFonts w:asciiTheme="minorEastAsia" w:hAnsiTheme="minorEastAsia" w:eastAsiaTheme="minorEastAsia"/>
              </w:rPr>
              <w:t>响应性评审标准</w:t>
            </w:r>
          </w:p>
        </w:tc>
        <w:tc>
          <w:tcPr>
            <w:tcW w:w="2477" w:type="dxa"/>
            <w:tcBorders>
              <w:top w:val="single" w:color="auto" w:sz="4" w:space="0"/>
              <w:left w:val="single" w:color="auto" w:sz="4" w:space="0"/>
              <w:bottom w:val="single" w:color="auto" w:sz="4" w:space="0"/>
              <w:right w:val="single" w:color="auto" w:sz="4" w:space="0"/>
            </w:tcBorders>
            <w:vAlign w:val="center"/>
          </w:tcPr>
          <w:p>
            <w:pPr>
              <w:pStyle w:val="33"/>
              <w:snapToGrid w:val="0"/>
              <w:spacing w:line="360" w:lineRule="auto"/>
              <w:ind w:left="63" w:right="50"/>
              <w:jc w:val="center"/>
              <w:rPr>
                <w:rFonts w:asciiTheme="minorEastAsia" w:hAnsiTheme="minorEastAsia" w:eastAsiaTheme="minorEastAsia"/>
              </w:rPr>
            </w:pPr>
            <w:r>
              <w:rPr>
                <w:rFonts w:hint="eastAsia" w:asciiTheme="minorEastAsia" w:hAnsiTheme="minorEastAsia" w:eastAsiaTheme="minorEastAsia"/>
              </w:rPr>
              <w:t>竞选</w:t>
            </w:r>
            <w:r>
              <w:rPr>
                <w:rFonts w:asciiTheme="minorEastAsia" w:hAnsiTheme="minorEastAsia" w:eastAsiaTheme="minorEastAsia"/>
              </w:rPr>
              <w:t>报价</w:t>
            </w:r>
          </w:p>
        </w:tc>
        <w:tc>
          <w:tcPr>
            <w:tcW w:w="4681" w:type="dxa"/>
            <w:tcBorders>
              <w:top w:val="single" w:color="auto" w:sz="4" w:space="0"/>
              <w:left w:val="single" w:color="auto" w:sz="4" w:space="0"/>
              <w:bottom w:val="single" w:color="auto" w:sz="4" w:space="0"/>
              <w:right w:val="single" w:color="auto" w:sz="4" w:space="0"/>
            </w:tcBorders>
            <w:vAlign w:val="center"/>
          </w:tcPr>
          <w:p>
            <w:pPr>
              <w:pStyle w:val="33"/>
              <w:snapToGrid w:val="0"/>
              <w:spacing w:line="360" w:lineRule="auto"/>
              <w:ind w:left="108"/>
              <w:rPr>
                <w:rFonts w:asciiTheme="minorEastAsia" w:hAnsiTheme="minorEastAsia" w:eastAsiaTheme="minorEastAsia"/>
              </w:rPr>
            </w:pPr>
            <w:r>
              <w:rPr>
                <w:rFonts w:asciiTheme="minorEastAsia" w:hAnsiTheme="minorEastAsia" w:eastAsiaTheme="minorEastAsia"/>
              </w:rPr>
              <w:t>符合第二章</w:t>
            </w:r>
            <w:r>
              <w:rPr>
                <w:rFonts w:asciiTheme="minorEastAsia" w:hAnsiTheme="minorEastAsia" w:eastAsiaTheme="minorEastAsia"/>
                <w:i/>
              </w:rPr>
              <w:t>“</w:t>
            </w:r>
            <w:r>
              <w:rPr>
                <w:rFonts w:hint="eastAsia" w:asciiTheme="minorEastAsia" w:hAnsiTheme="minorEastAsia" w:eastAsiaTheme="minorEastAsia"/>
              </w:rPr>
              <w:t>竞选</w:t>
            </w:r>
            <w:r>
              <w:rPr>
                <w:rFonts w:asciiTheme="minorEastAsia" w:hAnsiTheme="minorEastAsia" w:eastAsiaTheme="minorEastAsia"/>
              </w:rPr>
              <w:t>人须知</w:t>
            </w:r>
            <w:r>
              <w:rPr>
                <w:rFonts w:asciiTheme="minorEastAsia" w:hAnsiTheme="minorEastAsia" w:eastAsiaTheme="minorEastAsia"/>
                <w:i/>
              </w:rPr>
              <w:t>”</w:t>
            </w:r>
            <w:r>
              <w:rPr>
                <w:rFonts w:asciiTheme="minorEastAsia" w:hAnsiTheme="minorEastAsia" w:eastAsiaTheme="minorEastAsia"/>
              </w:rPr>
              <w:t>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Theme="minorEastAsia" w:hAnsiTheme="minorEastAsia" w:eastAsiaTheme="minorEastAsia"/>
                <w:sz w:val="2"/>
                <w:szCs w:val="2"/>
              </w:rPr>
            </w:pPr>
          </w:p>
        </w:tc>
        <w:tc>
          <w:tcPr>
            <w:tcW w:w="112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Theme="minorEastAsia" w:hAnsiTheme="minorEastAsia" w:eastAsiaTheme="minorEastAsia"/>
                <w:sz w:val="2"/>
                <w:szCs w:val="2"/>
              </w:rPr>
            </w:pPr>
          </w:p>
        </w:tc>
        <w:tc>
          <w:tcPr>
            <w:tcW w:w="2477" w:type="dxa"/>
            <w:tcBorders>
              <w:top w:val="single" w:color="auto" w:sz="4" w:space="0"/>
              <w:left w:val="single" w:color="auto" w:sz="4" w:space="0"/>
              <w:bottom w:val="single" w:color="auto" w:sz="4" w:space="0"/>
              <w:right w:val="single" w:color="auto" w:sz="4" w:space="0"/>
            </w:tcBorders>
            <w:vAlign w:val="center"/>
          </w:tcPr>
          <w:p>
            <w:pPr>
              <w:pStyle w:val="33"/>
              <w:snapToGrid w:val="0"/>
              <w:spacing w:line="360" w:lineRule="auto"/>
              <w:ind w:left="63" w:right="50"/>
              <w:jc w:val="center"/>
              <w:rPr>
                <w:rFonts w:asciiTheme="minorEastAsia" w:hAnsiTheme="minorEastAsia" w:eastAsiaTheme="minorEastAsia"/>
              </w:rPr>
            </w:pPr>
            <w:r>
              <w:rPr>
                <w:rFonts w:hint="eastAsia" w:asciiTheme="minorEastAsia" w:hAnsiTheme="minorEastAsia" w:eastAsiaTheme="minorEastAsia"/>
              </w:rPr>
              <w:t>竞选</w:t>
            </w:r>
            <w:r>
              <w:rPr>
                <w:rFonts w:asciiTheme="minorEastAsia" w:hAnsiTheme="minorEastAsia" w:eastAsiaTheme="minorEastAsia"/>
              </w:rPr>
              <w:t>内容</w:t>
            </w:r>
          </w:p>
        </w:tc>
        <w:tc>
          <w:tcPr>
            <w:tcW w:w="4681" w:type="dxa"/>
            <w:tcBorders>
              <w:top w:val="single" w:color="auto" w:sz="4" w:space="0"/>
              <w:left w:val="single" w:color="auto" w:sz="4" w:space="0"/>
              <w:bottom w:val="single" w:color="auto" w:sz="4" w:space="0"/>
              <w:right w:val="single" w:color="auto" w:sz="4" w:space="0"/>
            </w:tcBorders>
            <w:vAlign w:val="center"/>
          </w:tcPr>
          <w:p>
            <w:pPr>
              <w:pStyle w:val="33"/>
              <w:snapToGrid w:val="0"/>
              <w:spacing w:line="360" w:lineRule="auto"/>
              <w:ind w:left="108"/>
              <w:rPr>
                <w:rFonts w:asciiTheme="minorEastAsia" w:hAnsiTheme="minorEastAsia" w:eastAsiaTheme="minorEastAsia"/>
              </w:rPr>
            </w:pPr>
            <w:r>
              <w:rPr>
                <w:rFonts w:asciiTheme="minorEastAsia" w:hAnsiTheme="minorEastAsia" w:eastAsiaTheme="minorEastAsia"/>
              </w:rPr>
              <w:t>符合第二章</w:t>
            </w:r>
            <w:r>
              <w:rPr>
                <w:rFonts w:asciiTheme="minorEastAsia" w:hAnsiTheme="minorEastAsia" w:eastAsiaTheme="minorEastAsia"/>
                <w:i/>
              </w:rPr>
              <w:t>“</w:t>
            </w:r>
            <w:r>
              <w:rPr>
                <w:rFonts w:hint="eastAsia" w:asciiTheme="minorEastAsia" w:hAnsiTheme="minorEastAsia" w:eastAsiaTheme="minorEastAsia"/>
              </w:rPr>
              <w:t>竞选</w:t>
            </w:r>
            <w:r>
              <w:rPr>
                <w:rFonts w:asciiTheme="minorEastAsia" w:hAnsiTheme="minorEastAsia" w:eastAsiaTheme="minorEastAsia"/>
              </w:rPr>
              <w:t>人须知</w:t>
            </w:r>
            <w:r>
              <w:rPr>
                <w:rFonts w:asciiTheme="minorEastAsia" w:hAnsiTheme="minorEastAsia" w:eastAsiaTheme="minorEastAsia"/>
                <w:i/>
              </w:rPr>
              <w:t>”</w:t>
            </w:r>
            <w:r>
              <w:rPr>
                <w:rFonts w:asciiTheme="minorEastAsia" w:hAnsiTheme="minorEastAsia" w:eastAsiaTheme="minorEastAsia"/>
              </w:rPr>
              <w:t>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Theme="minorEastAsia" w:hAnsiTheme="minorEastAsia" w:eastAsiaTheme="minorEastAsia"/>
                <w:sz w:val="2"/>
                <w:szCs w:val="2"/>
              </w:rPr>
            </w:pPr>
          </w:p>
        </w:tc>
        <w:tc>
          <w:tcPr>
            <w:tcW w:w="112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Theme="minorEastAsia" w:hAnsiTheme="minorEastAsia" w:eastAsiaTheme="minorEastAsia"/>
                <w:sz w:val="2"/>
                <w:szCs w:val="2"/>
              </w:rPr>
            </w:pPr>
          </w:p>
        </w:tc>
        <w:tc>
          <w:tcPr>
            <w:tcW w:w="2477" w:type="dxa"/>
            <w:tcBorders>
              <w:top w:val="single" w:color="auto" w:sz="4" w:space="0"/>
              <w:left w:val="single" w:color="auto" w:sz="4" w:space="0"/>
              <w:bottom w:val="single" w:color="auto" w:sz="4" w:space="0"/>
              <w:right w:val="single" w:color="auto" w:sz="4" w:space="0"/>
            </w:tcBorders>
            <w:vAlign w:val="center"/>
          </w:tcPr>
          <w:p>
            <w:pPr>
              <w:pStyle w:val="33"/>
              <w:snapToGrid w:val="0"/>
              <w:spacing w:line="360" w:lineRule="auto"/>
              <w:ind w:left="62" w:right="52"/>
              <w:jc w:val="center"/>
              <w:rPr>
                <w:rFonts w:asciiTheme="minorEastAsia" w:hAnsiTheme="minorEastAsia" w:eastAsiaTheme="minorEastAsia"/>
              </w:rPr>
            </w:pPr>
            <w:r>
              <w:rPr>
                <w:rFonts w:asciiTheme="minorEastAsia" w:hAnsiTheme="minorEastAsia" w:eastAsiaTheme="minorEastAsia"/>
              </w:rPr>
              <w:t>交货期</w:t>
            </w:r>
          </w:p>
        </w:tc>
        <w:tc>
          <w:tcPr>
            <w:tcW w:w="4681" w:type="dxa"/>
            <w:tcBorders>
              <w:top w:val="single" w:color="auto" w:sz="4" w:space="0"/>
              <w:left w:val="single" w:color="auto" w:sz="4" w:space="0"/>
              <w:bottom w:val="single" w:color="auto" w:sz="4" w:space="0"/>
              <w:right w:val="single" w:color="auto" w:sz="4" w:space="0"/>
            </w:tcBorders>
            <w:vAlign w:val="center"/>
          </w:tcPr>
          <w:p>
            <w:pPr>
              <w:pStyle w:val="33"/>
              <w:snapToGrid w:val="0"/>
              <w:spacing w:line="360" w:lineRule="auto"/>
              <w:ind w:left="108"/>
              <w:rPr>
                <w:rFonts w:asciiTheme="minorEastAsia" w:hAnsiTheme="minorEastAsia" w:eastAsiaTheme="minorEastAsia"/>
              </w:rPr>
            </w:pPr>
            <w:r>
              <w:rPr>
                <w:rFonts w:asciiTheme="minorEastAsia" w:hAnsiTheme="minorEastAsia" w:eastAsiaTheme="minorEastAsia"/>
              </w:rPr>
              <w:t>符合第二章</w:t>
            </w:r>
            <w:r>
              <w:rPr>
                <w:rFonts w:asciiTheme="minorEastAsia" w:hAnsiTheme="minorEastAsia" w:eastAsiaTheme="minorEastAsia"/>
                <w:i/>
              </w:rPr>
              <w:t>“</w:t>
            </w:r>
            <w:r>
              <w:rPr>
                <w:rFonts w:hint="eastAsia" w:asciiTheme="minorEastAsia" w:hAnsiTheme="minorEastAsia" w:eastAsiaTheme="minorEastAsia"/>
              </w:rPr>
              <w:t>竞选</w:t>
            </w:r>
            <w:r>
              <w:rPr>
                <w:rFonts w:asciiTheme="minorEastAsia" w:hAnsiTheme="minorEastAsia" w:eastAsiaTheme="minorEastAsia"/>
              </w:rPr>
              <w:t>人须知</w:t>
            </w:r>
            <w:r>
              <w:rPr>
                <w:rFonts w:asciiTheme="minorEastAsia" w:hAnsiTheme="minorEastAsia" w:eastAsiaTheme="minorEastAsia"/>
                <w:i/>
              </w:rPr>
              <w:t>”</w:t>
            </w:r>
            <w:r>
              <w:rPr>
                <w:rFonts w:asciiTheme="minorEastAsia" w:hAnsiTheme="minorEastAsia" w:eastAsiaTheme="minorEastAsia"/>
              </w:rPr>
              <w:t>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Theme="minorEastAsia" w:hAnsiTheme="minorEastAsia" w:eastAsiaTheme="minorEastAsia"/>
                <w:sz w:val="2"/>
                <w:szCs w:val="2"/>
              </w:rPr>
            </w:pPr>
          </w:p>
        </w:tc>
        <w:tc>
          <w:tcPr>
            <w:tcW w:w="112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Theme="minorEastAsia" w:hAnsiTheme="minorEastAsia" w:eastAsiaTheme="minorEastAsia"/>
                <w:sz w:val="2"/>
                <w:szCs w:val="2"/>
              </w:rPr>
            </w:pPr>
          </w:p>
        </w:tc>
        <w:tc>
          <w:tcPr>
            <w:tcW w:w="2477" w:type="dxa"/>
            <w:tcBorders>
              <w:top w:val="single" w:color="auto" w:sz="4" w:space="0"/>
              <w:left w:val="single" w:color="auto" w:sz="4" w:space="0"/>
              <w:bottom w:val="single" w:color="auto" w:sz="4" w:space="0"/>
              <w:right w:val="single" w:color="auto" w:sz="4" w:space="0"/>
            </w:tcBorders>
            <w:vAlign w:val="center"/>
          </w:tcPr>
          <w:p>
            <w:pPr>
              <w:pStyle w:val="33"/>
              <w:snapToGrid w:val="0"/>
              <w:spacing w:line="360" w:lineRule="auto"/>
              <w:ind w:left="63" w:right="50"/>
              <w:jc w:val="center"/>
              <w:rPr>
                <w:rFonts w:asciiTheme="minorEastAsia" w:hAnsiTheme="minorEastAsia" w:eastAsiaTheme="minorEastAsia"/>
              </w:rPr>
            </w:pPr>
            <w:r>
              <w:rPr>
                <w:rFonts w:asciiTheme="minorEastAsia" w:hAnsiTheme="minorEastAsia" w:eastAsiaTheme="minorEastAsia"/>
              </w:rPr>
              <w:t>交货地点</w:t>
            </w:r>
          </w:p>
        </w:tc>
        <w:tc>
          <w:tcPr>
            <w:tcW w:w="4681" w:type="dxa"/>
            <w:tcBorders>
              <w:top w:val="single" w:color="auto" w:sz="4" w:space="0"/>
              <w:left w:val="single" w:color="auto" w:sz="4" w:space="0"/>
              <w:bottom w:val="single" w:color="auto" w:sz="4" w:space="0"/>
              <w:right w:val="single" w:color="auto" w:sz="4" w:space="0"/>
            </w:tcBorders>
            <w:vAlign w:val="center"/>
          </w:tcPr>
          <w:p>
            <w:pPr>
              <w:pStyle w:val="33"/>
              <w:snapToGrid w:val="0"/>
              <w:spacing w:line="360" w:lineRule="auto"/>
              <w:ind w:left="108"/>
              <w:rPr>
                <w:rFonts w:asciiTheme="minorEastAsia" w:hAnsiTheme="minorEastAsia" w:eastAsiaTheme="minorEastAsia"/>
              </w:rPr>
            </w:pPr>
            <w:r>
              <w:rPr>
                <w:rFonts w:asciiTheme="minorEastAsia" w:hAnsiTheme="minorEastAsia" w:eastAsiaTheme="minorEastAsia"/>
              </w:rPr>
              <w:t>符合第二章</w:t>
            </w:r>
            <w:r>
              <w:rPr>
                <w:rFonts w:asciiTheme="minorEastAsia" w:hAnsiTheme="minorEastAsia" w:eastAsiaTheme="minorEastAsia"/>
                <w:i/>
              </w:rPr>
              <w:t>“</w:t>
            </w:r>
            <w:r>
              <w:rPr>
                <w:rFonts w:hint="eastAsia" w:asciiTheme="minorEastAsia" w:hAnsiTheme="minorEastAsia" w:eastAsiaTheme="minorEastAsia"/>
              </w:rPr>
              <w:t>竞选</w:t>
            </w:r>
            <w:r>
              <w:rPr>
                <w:rFonts w:asciiTheme="minorEastAsia" w:hAnsiTheme="minorEastAsia" w:eastAsiaTheme="minorEastAsia"/>
              </w:rPr>
              <w:t>人须知</w:t>
            </w:r>
            <w:r>
              <w:rPr>
                <w:rFonts w:asciiTheme="minorEastAsia" w:hAnsiTheme="minorEastAsia" w:eastAsiaTheme="minorEastAsia"/>
                <w:i/>
              </w:rPr>
              <w:t>”</w:t>
            </w:r>
            <w:r>
              <w:rPr>
                <w:rFonts w:asciiTheme="minorEastAsia" w:hAnsiTheme="minorEastAsia" w:eastAsiaTheme="minorEastAsia"/>
              </w:rPr>
              <w:t>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Theme="minorEastAsia" w:hAnsiTheme="minorEastAsia" w:eastAsiaTheme="minorEastAsia"/>
                <w:sz w:val="2"/>
                <w:szCs w:val="2"/>
              </w:rPr>
            </w:pPr>
          </w:p>
        </w:tc>
        <w:tc>
          <w:tcPr>
            <w:tcW w:w="112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Theme="minorEastAsia" w:hAnsiTheme="minorEastAsia" w:eastAsiaTheme="minorEastAsia"/>
                <w:sz w:val="2"/>
                <w:szCs w:val="2"/>
              </w:rPr>
            </w:pPr>
          </w:p>
        </w:tc>
        <w:tc>
          <w:tcPr>
            <w:tcW w:w="2477" w:type="dxa"/>
            <w:tcBorders>
              <w:top w:val="single" w:color="auto" w:sz="4" w:space="0"/>
              <w:left w:val="single" w:color="auto" w:sz="4" w:space="0"/>
              <w:bottom w:val="single" w:color="auto" w:sz="4" w:space="0"/>
              <w:right w:val="single" w:color="auto" w:sz="4" w:space="0"/>
            </w:tcBorders>
            <w:vAlign w:val="center"/>
          </w:tcPr>
          <w:p>
            <w:pPr>
              <w:pStyle w:val="33"/>
              <w:snapToGrid w:val="0"/>
              <w:spacing w:line="360" w:lineRule="auto"/>
              <w:ind w:left="63" w:right="50"/>
              <w:jc w:val="center"/>
              <w:rPr>
                <w:rFonts w:asciiTheme="minorEastAsia" w:hAnsiTheme="minorEastAsia" w:eastAsiaTheme="minorEastAsia"/>
              </w:rPr>
            </w:pPr>
            <w:r>
              <w:rPr>
                <w:rFonts w:hint="eastAsia" w:asciiTheme="minorEastAsia" w:hAnsiTheme="minorEastAsia" w:eastAsiaTheme="minorEastAsia"/>
              </w:rPr>
              <w:t>竞选</w:t>
            </w:r>
            <w:r>
              <w:rPr>
                <w:rFonts w:asciiTheme="minorEastAsia" w:hAnsiTheme="minorEastAsia" w:eastAsiaTheme="minorEastAsia"/>
              </w:rPr>
              <w:t>有效期</w:t>
            </w:r>
          </w:p>
        </w:tc>
        <w:tc>
          <w:tcPr>
            <w:tcW w:w="4681" w:type="dxa"/>
            <w:tcBorders>
              <w:top w:val="single" w:color="auto" w:sz="4" w:space="0"/>
              <w:left w:val="single" w:color="auto" w:sz="4" w:space="0"/>
              <w:bottom w:val="single" w:color="auto" w:sz="4" w:space="0"/>
              <w:right w:val="single" w:color="auto" w:sz="4" w:space="0"/>
            </w:tcBorders>
            <w:vAlign w:val="center"/>
          </w:tcPr>
          <w:p>
            <w:pPr>
              <w:pStyle w:val="33"/>
              <w:snapToGrid w:val="0"/>
              <w:spacing w:line="360" w:lineRule="auto"/>
              <w:ind w:left="108"/>
              <w:rPr>
                <w:rFonts w:asciiTheme="minorEastAsia" w:hAnsiTheme="minorEastAsia" w:eastAsiaTheme="minorEastAsia"/>
              </w:rPr>
            </w:pPr>
            <w:r>
              <w:rPr>
                <w:rFonts w:asciiTheme="minorEastAsia" w:hAnsiTheme="minorEastAsia" w:eastAsiaTheme="minorEastAsia"/>
              </w:rPr>
              <w:t>符合第二章</w:t>
            </w:r>
            <w:r>
              <w:rPr>
                <w:rFonts w:asciiTheme="minorEastAsia" w:hAnsiTheme="minorEastAsia" w:eastAsiaTheme="minorEastAsia"/>
                <w:i/>
              </w:rPr>
              <w:t>“</w:t>
            </w:r>
            <w:r>
              <w:rPr>
                <w:rFonts w:hint="eastAsia" w:asciiTheme="minorEastAsia" w:hAnsiTheme="minorEastAsia" w:eastAsiaTheme="minorEastAsia"/>
              </w:rPr>
              <w:t>竞选</w:t>
            </w:r>
            <w:r>
              <w:rPr>
                <w:rFonts w:asciiTheme="minorEastAsia" w:hAnsiTheme="minorEastAsia" w:eastAsiaTheme="minorEastAsia"/>
              </w:rPr>
              <w:t>人须知</w:t>
            </w:r>
            <w:r>
              <w:rPr>
                <w:rFonts w:asciiTheme="minorEastAsia" w:hAnsiTheme="minorEastAsia" w:eastAsiaTheme="minorEastAsia"/>
                <w:i/>
              </w:rPr>
              <w:t>”</w:t>
            </w:r>
            <w:r>
              <w:rPr>
                <w:rFonts w:asciiTheme="minorEastAsia" w:hAnsiTheme="minorEastAsia" w:eastAsiaTheme="minorEastAsia"/>
              </w:rPr>
              <w:t>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Theme="minorEastAsia" w:hAnsiTheme="minorEastAsia" w:eastAsiaTheme="minorEastAsia"/>
                <w:sz w:val="2"/>
                <w:szCs w:val="2"/>
              </w:rPr>
            </w:pPr>
          </w:p>
        </w:tc>
        <w:tc>
          <w:tcPr>
            <w:tcW w:w="112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Theme="minorEastAsia" w:hAnsiTheme="minorEastAsia" w:eastAsiaTheme="minorEastAsia"/>
                <w:sz w:val="2"/>
                <w:szCs w:val="2"/>
              </w:rPr>
            </w:pPr>
          </w:p>
        </w:tc>
        <w:tc>
          <w:tcPr>
            <w:tcW w:w="2477" w:type="dxa"/>
            <w:tcBorders>
              <w:top w:val="single" w:color="auto" w:sz="4" w:space="0"/>
              <w:left w:val="single" w:color="auto" w:sz="4" w:space="0"/>
              <w:bottom w:val="single" w:color="auto" w:sz="4" w:space="0"/>
              <w:right w:val="single" w:color="auto" w:sz="4" w:space="0"/>
            </w:tcBorders>
            <w:vAlign w:val="center"/>
          </w:tcPr>
          <w:p>
            <w:pPr>
              <w:pStyle w:val="33"/>
              <w:snapToGrid w:val="0"/>
              <w:spacing w:line="360" w:lineRule="auto"/>
              <w:ind w:left="63" w:right="50"/>
              <w:jc w:val="center"/>
              <w:rPr>
                <w:rFonts w:asciiTheme="minorEastAsia" w:hAnsiTheme="minorEastAsia" w:eastAsiaTheme="minorEastAsia"/>
              </w:rPr>
            </w:pPr>
            <w:r>
              <w:rPr>
                <w:rFonts w:hint="eastAsia" w:asciiTheme="minorEastAsia" w:hAnsiTheme="minorEastAsia" w:eastAsiaTheme="minorEastAsia"/>
              </w:rPr>
              <w:t>竞选</w:t>
            </w:r>
            <w:r>
              <w:rPr>
                <w:rFonts w:asciiTheme="minorEastAsia" w:hAnsiTheme="minorEastAsia" w:eastAsiaTheme="minorEastAsia"/>
              </w:rPr>
              <w:t>保证金</w:t>
            </w:r>
          </w:p>
        </w:tc>
        <w:tc>
          <w:tcPr>
            <w:tcW w:w="4681" w:type="dxa"/>
            <w:tcBorders>
              <w:top w:val="single" w:color="auto" w:sz="4" w:space="0"/>
              <w:left w:val="single" w:color="auto" w:sz="4" w:space="0"/>
              <w:bottom w:val="single" w:color="auto" w:sz="4" w:space="0"/>
              <w:right w:val="single" w:color="auto" w:sz="4" w:space="0"/>
            </w:tcBorders>
            <w:vAlign w:val="center"/>
          </w:tcPr>
          <w:p>
            <w:pPr>
              <w:pStyle w:val="33"/>
              <w:snapToGrid w:val="0"/>
              <w:spacing w:line="360" w:lineRule="auto"/>
              <w:ind w:left="108"/>
              <w:rPr>
                <w:rFonts w:asciiTheme="minorEastAsia" w:hAnsiTheme="minorEastAsia" w:eastAsiaTheme="minorEastAsia"/>
              </w:rPr>
            </w:pPr>
            <w:r>
              <w:rPr>
                <w:rFonts w:asciiTheme="minorEastAsia" w:hAnsiTheme="minorEastAsia" w:eastAsiaTheme="minorEastAsia"/>
              </w:rPr>
              <w:t>符合第二章</w:t>
            </w:r>
            <w:r>
              <w:rPr>
                <w:rFonts w:asciiTheme="minorEastAsia" w:hAnsiTheme="minorEastAsia" w:eastAsiaTheme="minorEastAsia"/>
                <w:i/>
              </w:rPr>
              <w:t>“</w:t>
            </w:r>
            <w:r>
              <w:rPr>
                <w:rFonts w:hint="eastAsia" w:asciiTheme="minorEastAsia" w:hAnsiTheme="minorEastAsia" w:eastAsiaTheme="minorEastAsia"/>
              </w:rPr>
              <w:t>竞选</w:t>
            </w:r>
            <w:r>
              <w:rPr>
                <w:rFonts w:asciiTheme="minorEastAsia" w:hAnsiTheme="minorEastAsia" w:eastAsiaTheme="minorEastAsia"/>
              </w:rPr>
              <w:t>人须知</w:t>
            </w:r>
            <w:r>
              <w:rPr>
                <w:rFonts w:asciiTheme="minorEastAsia" w:hAnsiTheme="minorEastAsia" w:eastAsiaTheme="minorEastAsia"/>
                <w:i/>
              </w:rPr>
              <w:t>”</w:t>
            </w:r>
            <w:r>
              <w:rPr>
                <w:rFonts w:asciiTheme="minorEastAsia" w:hAnsiTheme="minorEastAsia" w:eastAsiaTheme="minorEastAsia"/>
              </w:rPr>
              <w:t>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Theme="minorEastAsia" w:hAnsiTheme="minorEastAsia" w:eastAsiaTheme="minorEastAsia"/>
                <w:sz w:val="2"/>
                <w:szCs w:val="2"/>
              </w:rPr>
            </w:pPr>
          </w:p>
        </w:tc>
        <w:tc>
          <w:tcPr>
            <w:tcW w:w="112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Theme="minorEastAsia" w:hAnsiTheme="minorEastAsia" w:eastAsiaTheme="minorEastAsia"/>
                <w:sz w:val="2"/>
                <w:szCs w:val="2"/>
              </w:rPr>
            </w:pPr>
          </w:p>
        </w:tc>
        <w:tc>
          <w:tcPr>
            <w:tcW w:w="2477" w:type="dxa"/>
            <w:tcBorders>
              <w:top w:val="single" w:color="auto" w:sz="4" w:space="0"/>
              <w:left w:val="single" w:color="auto" w:sz="4" w:space="0"/>
              <w:bottom w:val="single" w:color="auto" w:sz="4" w:space="0"/>
              <w:right w:val="single" w:color="auto" w:sz="4" w:space="0"/>
            </w:tcBorders>
            <w:vAlign w:val="center"/>
          </w:tcPr>
          <w:p>
            <w:pPr>
              <w:pStyle w:val="33"/>
              <w:snapToGrid w:val="0"/>
              <w:spacing w:line="360" w:lineRule="auto"/>
              <w:ind w:left="63" w:right="50"/>
              <w:jc w:val="center"/>
              <w:rPr>
                <w:rFonts w:asciiTheme="minorEastAsia" w:hAnsiTheme="minorEastAsia" w:eastAsiaTheme="minorEastAsia"/>
              </w:rPr>
            </w:pPr>
            <w:r>
              <w:rPr>
                <w:rFonts w:asciiTheme="minorEastAsia" w:hAnsiTheme="minorEastAsia" w:eastAsiaTheme="minorEastAsia"/>
              </w:rPr>
              <w:t>权利义务</w:t>
            </w:r>
          </w:p>
        </w:tc>
        <w:tc>
          <w:tcPr>
            <w:tcW w:w="4681" w:type="dxa"/>
            <w:tcBorders>
              <w:top w:val="single" w:color="auto" w:sz="4" w:space="0"/>
              <w:left w:val="single" w:color="auto" w:sz="4" w:space="0"/>
              <w:bottom w:val="single" w:color="auto" w:sz="4" w:space="0"/>
              <w:right w:val="single" w:color="auto" w:sz="4" w:space="0"/>
            </w:tcBorders>
            <w:vAlign w:val="center"/>
          </w:tcPr>
          <w:p>
            <w:pPr>
              <w:pStyle w:val="33"/>
              <w:snapToGrid w:val="0"/>
              <w:spacing w:line="360" w:lineRule="auto"/>
              <w:ind w:left="108"/>
              <w:rPr>
                <w:rFonts w:asciiTheme="minorEastAsia" w:hAnsiTheme="minorEastAsia" w:eastAsiaTheme="minorEastAsia"/>
              </w:rPr>
            </w:pPr>
            <w:r>
              <w:rPr>
                <w:rFonts w:asciiTheme="minorEastAsia" w:hAnsiTheme="minorEastAsia" w:eastAsiaTheme="minorEastAsia"/>
              </w:rPr>
              <w:t>符合第二章</w:t>
            </w:r>
            <w:r>
              <w:rPr>
                <w:rFonts w:asciiTheme="minorEastAsia" w:hAnsiTheme="minorEastAsia" w:eastAsiaTheme="minorEastAsia"/>
                <w:i/>
              </w:rPr>
              <w:t>“</w:t>
            </w:r>
            <w:r>
              <w:rPr>
                <w:rFonts w:hint="eastAsia" w:asciiTheme="minorEastAsia" w:hAnsiTheme="minorEastAsia" w:eastAsiaTheme="minorEastAsia"/>
              </w:rPr>
              <w:t>竞选</w:t>
            </w:r>
            <w:r>
              <w:rPr>
                <w:rFonts w:asciiTheme="minorEastAsia" w:hAnsiTheme="minorEastAsia" w:eastAsiaTheme="minorEastAsia"/>
              </w:rPr>
              <w:t>人须知</w:t>
            </w:r>
            <w:r>
              <w:rPr>
                <w:rFonts w:asciiTheme="minorEastAsia" w:hAnsiTheme="minorEastAsia" w:eastAsiaTheme="minorEastAsia"/>
                <w:i/>
              </w:rPr>
              <w:t>”</w:t>
            </w:r>
            <w:r>
              <w:rPr>
                <w:rFonts w:asciiTheme="minorEastAsia" w:hAnsiTheme="minorEastAsia" w:eastAsiaTheme="minorEastAsia"/>
              </w:rPr>
              <w:t>规定和第四章</w:t>
            </w:r>
            <w:r>
              <w:rPr>
                <w:rFonts w:asciiTheme="minorEastAsia" w:hAnsiTheme="minorEastAsia" w:eastAsiaTheme="minorEastAsia"/>
                <w:i/>
              </w:rPr>
              <w:t>“</w:t>
            </w:r>
            <w:r>
              <w:rPr>
                <w:rFonts w:asciiTheme="minorEastAsia" w:hAnsiTheme="minorEastAsia" w:eastAsiaTheme="minorEastAsia"/>
              </w:rPr>
              <w:t>合同条款及格式</w:t>
            </w:r>
            <w:r>
              <w:rPr>
                <w:rFonts w:asciiTheme="minorEastAsia" w:hAnsiTheme="minorEastAsia" w:eastAsiaTheme="minorEastAsia"/>
                <w:i/>
              </w:rPr>
              <w:t>”</w:t>
            </w:r>
            <w:r>
              <w:rPr>
                <w:rFonts w:asciiTheme="minorEastAsia" w:hAnsiTheme="minorEastAsia" w:eastAsiaTheme="minorEastAsia"/>
              </w:rPr>
              <w:t>中的实质性要求和条件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Theme="minorEastAsia" w:hAnsiTheme="minorEastAsia" w:eastAsiaTheme="minorEastAsia"/>
                <w:sz w:val="2"/>
                <w:szCs w:val="2"/>
              </w:rPr>
            </w:pPr>
          </w:p>
        </w:tc>
        <w:tc>
          <w:tcPr>
            <w:tcW w:w="112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Theme="minorEastAsia" w:hAnsiTheme="minorEastAsia" w:eastAsiaTheme="minorEastAsia"/>
                <w:sz w:val="2"/>
                <w:szCs w:val="2"/>
              </w:rPr>
            </w:pPr>
          </w:p>
        </w:tc>
        <w:tc>
          <w:tcPr>
            <w:tcW w:w="2477" w:type="dxa"/>
            <w:tcBorders>
              <w:top w:val="single" w:color="auto" w:sz="4" w:space="0"/>
              <w:left w:val="single" w:color="auto" w:sz="4" w:space="0"/>
              <w:bottom w:val="single" w:color="auto" w:sz="4" w:space="0"/>
              <w:right w:val="single" w:color="auto" w:sz="4" w:space="0"/>
            </w:tcBorders>
            <w:vAlign w:val="center"/>
          </w:tcPr>
          <w:p>
            <w:pPr>
              <w:pStyle w:val="33"/>
              <w:snapToGrid w:val="0"/>
              <w:spacing w:line="360" w:lineRule="auto"/>
              <w:ind w:left="713" w:right="174" w:hanging="527"/>
              <w:jc w:val="center"/>
              <w:rPr>
                <w:rFonts w:asciiTheme="minorEastAsia" w:hAnsiTheme="minorEastAsia" w:eastAsiaTheme="minorEastAsia"/>
              </w:rPr>
            </w:pPr>
            <w:r>
              <w:rPr>
                <w:rFonts w:hint="eastAsia" w:asciiTheme="minorEastAsia" w:hAnsiTheme="minorEastAsia" w:eastAsiaTheme="minorEastAsia"/>
              </w:rPr>
              <w:t>技术规范要求</w:t>
            </w:r>
          </w:p>
        </w:tc>
        <w:tc>
          <w:tcPr>
            <w:tcW w:w="4681" w:type="dxa"/>
            <w:tcBorders>
              <w:top w:val="single" w:color="auto" w:sz="4" w:space="0"/>
              <w:left w:val="single" w:color="auto" w:sz="4" w:space="0"/>
              <w:bottom w:val="single" w:color="auto" w:sz="4" w:space="0"/>
              <w:right w:val="single" w:color="auto" w:sz="4" w:space="0"/>
            </w:tcBorders>
            <w:vAlign w:val="center"/>
          </w:tcPr>
          <w:p>
            <w:pPr>
              <w:pStyle w:val="33"/>
              <w:snapToGrid w:val="0"/>
              <w:spacing w:line="360" w:lineRule="auto"/>
              <w:ind w:left="108"/>
              <w:rPr>
                <w:rFonts w:asciiTheme="minorEastAsia" w:hAnsiTheme="minorEastAsia" w:eastAsiaTheme="minorEastAsia"/>
              </w:rPr>
            </w:pPr>
            <w:r>
              <w:rPr>
                <w:rFonts w:asciiTheme="minorEastAsia" w:hAnsiTheme="minorEastAsia" w:eastAsiaTheme="minorEastAsia"/>
              </w:rPr>
              <w:t>符合第五章“</w:t>
            </w:r>
            <w:r>
              <w:rPr>
                <w:rFonts w:hint="eastAsia" w:asciiTheme="minorEastAsia" w:hAnsiTheme="minorEastAsia" w:eastAsiaTheme="minorEastAsia"/>
              </w:rPr>
              <w:t>技术标准</w:t>
            </w:r>
            <w:r>
              <w:rPr>
                <w:rFonts w:asciiTheme="minorEastAsia" w:hAnsiTheme="minorEastAsia" w:eastAsiaTheme="minorEastAsia"/>
              </w:rPr>
              <w:t>”中的实质性要求和条件</w:t>
            </w:r>
            <w:r>
              <w:rPr>
                <w:rFonts w:hint="eastAsia" w:asciiTheme="minorEastAsia" w:hAnsiTheme="minorEastAsia" w:eastAsiaTheme="minorEastAsia"/>
              </w:rPr>
              <w:t>（技术部分采用符合性评审）</w:t>
            </w:r>
          </w:p>
        </w:tc>
      </w:tr>
    </w:tbl>
    <w:p>
      <w:pPr>
        <w:rPr>
          <w:b/>
          <w:sz w:val="24"/>
        </w:rPr>
      </w:pPr>
    </w:p>
    <w:tbl>
      <w:tblPr>
        <w:tblStyle w:val="34"/>
        <w:tblW w:w="9181" w:type="dxa"/>
        <w:tblInd w:w="400" w:type="dxa"/>
        <w:tblLayout w:type="fixed"/>
        <w:tblCellMar>
          <w:top w:w="0" w:type="dxa"/>
          <w:left w:w="0" w:type="dxa"/>
          <w:bottom w:w="0" w:type="dxa"/>
          <w:right w:w="0" w:type="dxa"/>
        </w:tblCellMar>
      </w:tblPr>
      <w:tblGrid>
        <w:gridCol w:w="1011"/>
        <w:gridCol w:w="1012"/>
        <w:gridCol w:w="2477"/>
        <w:gridCol w:w="4681"/>
      </w:tblGrid>
      <w:tr>
        <w:tblPrEx>
          <w:tblLayout w:type="fixed"/>
          <w:tblCellMar>
            <w:top w:w="0" w:type="dxa"/>
            <w:left w:w="0" w:type="dxa"/>
            <w:bottom w:w="0" w:type="dxa"/>
            <w:right w:w="0" w:type="dxa"/>
          </w:tblCellMar>
        </w:tblPrEx>
        <w:trPr>
          <w:trHeight w:val="567" w:hRule="atLeast"/>
          <w:tblHeader/>
        </w:trPr>
        <w:tc>
          <w:tcPr>
            <w:tcW w:w="2023" w:type="dxa"/>
            <w:gridSpan w:val="2"/>
            <w:tcBorders>
              <w:top w:val="single" w:color="auto" w:sz="4" w:space="0"/>
              <w:left w:val="single" w:color="auto" w:sz="4" w:space="0"/>
              <w:bottom w:val="single" w:color="auto" w:sz="4" w:space="0"/>
              <w:right w:val="single" w:color="auto" w:sz="4" w:space="0"/>
            </w:tcBorders>
            <w:vAlign w:val="center"/>
          </w:tcPr>
          <w:p>
            <w:pPr>
              <w:pStyle w:val="33"/>
              <w:snapToGrid w:val="0"/>
              <w:spacing w:line="360" w:lineRule="auto"/>
              <w:ind w:left="675" w:right="668"/>
              <w:jc w:val="center"/>
              <w:rPr>
                <w:rFonts w:asciiTheme="minorEastAsia" w:hAnsiTheme="minorEastAsia" w:eastAsiaTheme="minorEastAsia"/>
                <w:b/>
              </w:rPr>
            </w:pPr>
            <w:r>
              <w:rPr>
                <w:rFonts w:hint="eastAsia" w:asciiTheme="minorEastAsia" w:hAnsiTheme="minorEastAsia" w:eastAsiaTheme="minorEastAsia"/>
                <w:b/>
              </w:rPr>
              <w:t>条款号</w:t>
            </w:r>
          </w:p>
        </w:tc>
        <w:tc>
          <w:tcPr>
            <w:tcW w:w="2477" w:type="dxa"/>
            <w:tcBorders>
              <w:top w:val="single" w:color="auto" w:sz="4" w:space="0"/>
              <w:left w:val="single" w:color="auto" w:sz="4" w:space="0"/>
              <w:bottom w:val="single" w:color="auto" w:sz="4" w:space="0"/>
              <w:right w:val="single" w:color="auto" w:sz="4" w:space="0"/>
            </w:tcBorders>
            <w:vAlign w:val="center"/>
          </w:tcPr>
          <w:p>
            <w:pPr>
              <w:pStyle w:val="33"/>
              <w:snapToGrid w:val="0"/>
              <w:spacing w:line="360" w:lineRule="auto"/>
              <w:ind w:left="62" w:right="52"/>
              <w:jc w:val="center"/>
              <w:rPr>
                <w:rFonts w:asciiTheme="minorEastAsia" w:hAnsiTheme="minorEastAsia" w:eastAsiaTheme="minorEastAsia"/>
                <w:b/>
              </w:rPr>
            </w:pPr>
            <w:r>
              <w:rPr>
                <w:rFonts w:hint="eastAsia" w:asciiTheme="minorEastAsia" w:hAnsiTheme="minorEastAsia" w:eastAsiaTheme="minorEastAsia"/>
                <w:b/>
              </w:rPr>
              <w:t>评审因素</w:t>
            </w:r>
          </w:p>
        </w:tc>
        <w:tc>
          <w:tcPr>
            <w:tcW w:w="4681" w:type="dxa"/>
            <w:tcBorders>
              <w:top w:val="single" w:color="auto" w:sz="4" w:space="0"/>
              <w:left w:val="single" w:color="auto" w:sz="4" w:space="0"/>
              <w:bottom w:val="single" w:color="auto" w:sz="4" w:space="0"/>
              <w:right w:val="single" w:color="auto" w:sz="4" w:space="0"/>
            </w:tcBorders>
            <w:vAlign w:val="center"/>
          </w:tcPr>
          <w:p>
            <w:pPr>
              <w:pStyle w:val="33"/>
              <w:snapToGrid w:val="0"/>
              <w:spacing w:line="360" w:lineRule="auto"/>
              <w:ind w:left="1690" w:right="1680"/>
              <w:jc w:val="center"/>
              <w:rPr>
                <w:rFonts w:asciiTheme="minorEastAsia" w:hAnsiTheme="minorEastAsia" w:eastAsiaTheme="minorEastAsia"/>
                <w:b/>
              </w:rPr>
            </w:pPr>
            <w:r>
              <w:rPr>
                <w:rFonts w:hint="eastAsia" w:asciiTheme="minorEastAsia" w:hAnsiTheme="minorEastAsia" w:eastAsiaTheme="minorEastAsia"/>
                <w:b/>
              </w:rPr>
              <w:t>评审标准</w:t>
            </w:r>
          </w:p>
        </w:tc>
      </w:tr>
      <w:tr>
        <w:tblPrEx>
          <w:tblLayout w:type="fixed"/>
          <w:tblCellMar>
            <w:top w:w="0" w:type="dxa"/>
            <w:left w:w="0" w:type="dxa"/>
            <w:bottom w:w="0" w:type="dxa"/>
            <w:right w:w="0" w:type="dxa"/>
          </w:tblCellMar>
        </w:tblPrEx>
        <w:trPr>
          <w:trHeight w:val="567" w:hRule="atLeast"/>
        </w:trPr>
        <w:tc>
          <w:tcPr>
            <w:tcW w:w="2023" w:type="dxa"/>
            <w:gridSpan w:val="2"/>
            <w:tcBorders>
              <w:top w:val="single" w:color="auto" w:sz="4" w:space="0"/>
              <w:left w:val="single" w:color="auto" w:sz="4" w:space="0"/>
              <w:bottom w:val="single" w:color="auto" w:sz="4" w:space="0"/>
              <w:right w:val="single" w:color="auto" w:sz="4" w:space="0"/>
            </w:tcBorders>
            <w:vAlign w:val="center"/>
          </w:tcPr>
          <w:p>
            <w:pPr>
              <w:pStyle w:val="33"/>
              <w:snapToGrid w:val="0"/>
              <w:spacing w:line="360" w:lineRule="auto"/>
              <w:ind w:left="675" w:right="663"/>
              <w:jc w:val="center"/>
              <w:rPr>
                <w:rFonts w:asciiTheme="minorEastAsia" w:hAnsiTheme="minorEastAsia" w:eastAsiaTheme="minorEastAsia"/>
              </w:rPr>
            </w:pPr>
            <w:bookmarkStart w:id="98" w:name="_Hlk500781926"/>
            <w:r>
              <w:rPr>
                <w:rFonts w:asciiTheme="minorEastAsia" w:hAnsiTheme="minorEastAsia" w:eastAsiaTheme="minorEastAsia"/>
              </w:rPr>
              <w:t>2.2.1</w:t>
            </w:r>
          </w:p>
        </w:tc>
        <w:tc>
          <w:tcPr>
            <w:tcW w:w="2477" w:type="dxa"/>
            <w:tcBorders>
              <w:top w:val="single" w:color="auto" w:sz="4" w:space="0"/>
              <w:left w:val="single" w:color="auto" w:sz="4" w:space="0"/>
              <w:bottom w:val="single" w:color="auto" w:sz="4" w:space="0"/>
              <w:right w:val="single" w:color="auto" w:sz="4" w:space="0"/>
            </w:tcBorders>
            <w:vAlign w:val="center"/>
          </w:tcPr>
          <w:p>
            <w:pPr>
              <w:pStyle w:val="33"/>
              <w:snapToGrid w:val="0"/>
              <w:spacing w:line="360" w:lineRule="auto"/>
              <w:ind w:left="63" w:right="50"/>
              <w:jc w:val="center"/>
              <w:rPr>
                <w:rFonts w:asciiTheme="minorEastAsia" w:hAnsiTheme="minorEastAsia" w:eastAsiaTheme="minorEastAsia"/>
              </w:rPr>
            </w:pPr>
            <w:r>
              <w:rPr>
                <w:rFonts w:asciiTheme="minorEastAsia" w:hAnsiTheme="minorEastAsia" w:eastAsiaTheme="minorEastAsia"/>
              </w:rPr>
              <w:t>分值构成</w:t>
            </w:r>
          </w:p>
          <w:p>
            <w:pPr>
              <w:pStyle w:val="33"/>
              <w:snapToGrid w:val="0"/>
              <w:spacing w:line="360" w:lineRule="auto"/>
              <w:ind w:left="63" w:right="50"/>
              <w:jc w:val="center"/>
              <w:rPr>
                <w:rFonts w:asciiTheme="minorEastAsia" w:hAnsiTheme="minorEastAsia" w:eastAsiaTheme="minorEastAsia"/>
              </w:rPr>
            </w:pPr>
            <w:r>
              <w:rPr>
                <w:rFonts w:asciiTheme="minorEastAsia" w:hAnsiTheme="minorEastAsia" w:eastAsiaTheme="minorEastAsia"/>
              </w:rPr>
              <w:t>(总分 100 分)</w:t>
            </w:r>
          </w:p>
        </w:tc>
        <w:tc>
          <w:tcPr>
            <w:tcW w:w="4681" w:type="dxa"/>
            <w:tcBorders>
              <w:top w:val="single" w:color="auto" w:sz="4" w:space="0"/>
              <w:left w:val="single" w:color="auto" w:sz="4" w:space="0"/>
              <w:bottom w:val="single" w:color="auto" w:sz="4" w:space="0"/>
              <w:right w:val="single" w:color="auto" w:sz="4" w:space="0"/>
            </w:tcBorders>
            <w:vAlign w:val="center"/>
          </w:tcPr>
          <w:p>
            <w:pPr>
              <w:pStyle w:val="33"/>
              <w:tabs>
                <w:tab w:val="left" w:pos="1894"/>
              </w:tabs>
              <w:snapToGrid w:val="0"/>
              <w:spacing w:line="360" w:lineRule="auto"/>
              <w:ind w:left="108" w:right="1216"/>
              <w:rPr>
                <w:rFonts w:asciiTheme="minorEastAsia" w:hAnsiTheme="minorEastAsia" w:eastAsiaTheme="minorEastAsia"/>
              </w:rPr>
            </w:pPr>
            <w:r>
              <w:rPr>
                <w:rFonts w:hint="eastAsia" w:asciiTheme="minorEastAsia" w:hAnsiTheme="minorEastAsia" w:eastAsiaTheme="minorEastAsia"/>
              </w:rPr>
              <w:t>技术部分（★条款）：符合性评审</w:t>
            </w:r>
          </w:p>
          <w:p>
            <w:pPr>
              <w:pStyle w:val="33"/>
              <w:tabs>
                <w:tab w:val="left" w:pos="1894"/>
              </w:tabs>
              <w:snapToGrid w:val="0"/>
              <w:spacing w:line="360" w:lineRule="auto"/>
              <w:ind w:left="108" w:right="2563"/>
              <w:rPr>
                <w:rFonts w:asciiTheme="minorEastAsia" w:hAnsiTheme="minorEastAsia" w:eastAsiaTheme="minorEastAsia"/>
              </w:rPr>
            </w:pPr>
            <w:r>
              <w:rPr>
                <w:rFonts w:asciiTheme="minorEastAsia" w:hAnsiTheme="minorEastAsia" w:eastAsiaTheme="minorEastAsia"/>
              </w:rPr>
              <w:t>商务</w:t>
            </w:r>
            <w:r>
              <w:rPr>
                <w:rFonts w:asciiTheme="minorEastAsia" w:hAnsiTheme="minorEastAsia" w:eastAsiaTheme="minorEastAsia"/>
                <w:spacing w:val="-3"/>
              </w:rPr>
              <w:t>部</w:t>
            </w:r>
            <w:r>
              <w:rPr>
                <w:rFonts w:asciiTheme="minorEastAsia" w:hAnsiTheme="minorEastAsia" w:eastAsiaTheme="minorEastAsia"/>
              </w:rPr>
              <w:t>分</w:t>
            </w:r>
            <w:r>
              <w:rPr>
                <w:rFonts w:asciiTheme="minorEastAsia" w:hAnsiTheme="minorEastAsia" w:eastAsiaTheme="minorEastAsia"/>
                <w:spacing w:val="-3"/>
              </w:rPr>
              <w:t>：</w:t>
            </w:r>
            <w:r>
              <w:rPr>
                <w:rFonts w:hint="eastAsia" w:asciiTheme="minorEastAsia" w:hAnsiTheme="minorEastAsia" w:eastAsiaTheme="minorEastAsia"/>
                <w:spacing w:val="-3"/>
              </w:rPr>
              <w:t>15</w:t>
            </w:r>
            <w:r>
              <w:rPr>
                <w:rFonts w:asciiTheme="minorEastAsia" w:hAnsiTheme="minorEastAsia" w:eastAsiaTheme="minorEastAsia"/>
              </w:rPr>
              <w:t>分</w:t>
            </w:r>
          </w:p>
          <w:p>
            <w:pPr>
              <w:pStyle w:val="33"/>
              <w:tabs>
                <w:tab w:val="left" w:pos="1894"/>
              </w:tabs>
              <w:snapToGrid w:val="0"/>
              <w:spacing w:line="360" w:lineRule="auto"/>
              <w:ind w:left="108" w:right="2563"/>
              <w:rPr>
                <w:rFonts w:asciiTheme="minorEastAsia" w:hAnsiTheme="minorEastAsia" w:eastAsiaTheme="minorEastAsia"/>
              </w:rPr>
            </w:pPr>
            <w:r>
              <w:rPr>
                <w:rFonts w:hint="eastAsia" w:asciiTheme="minorEastAsia" w:hAnsiTheme="minorEastAsia" w:eastAsiaTheme="minorEastAsia"/>
              </w:rPr>
              <w:t>竞选</w:t>
            </w:r>
            <w:r>
              <w:rPr>
                <w:rFonts w:asciiTheme="minorEastAsia" w:hAnsiTheme="minorEastAsia" w:eastAsiaTheme="minorEastAsia"/>
                <w:spacing w:val="-3"/>
              </w:rPr>
              <w:t>报</w:t>
            </w:r>
            <w:r>
              <w:rPr>
                <w:rFonts w:asciiTheme="minorEastAsia" w:hAnsiTheme="minorEastAsia" w:eastAsiaTheme="minorEastAsia"/>
              </w:rPr>
              <w:t>价</w:t>
            </w:r>
            <w:r>
              <w:rPr>
                <w:rFonts w:asciiTheme="minorEastAsia" w:hAnsiTheme="minorEastAsia" w:eastAsiaTheme="minorEastAsia"/>
                <w:spacing w:val="-3"/>
              </w:rPr>
              <w:t>：</w:t>
            </w:r>
            <w:r>
              <w:rPr>
                <w:rFonts w:hint="eastAsia" w:asciiTheme="minorEastAsia" w:hAnsiTheme="minorEastAsia" w:eastAsiaTheme="minorEastAsia"/>
                <w:spacing w:val="-3"/>
                <w:u w:val="single"/>
              </w:rPr>
              <w:t>85</w:t>
            </w:r>
            <w:r>
              <w:rPr>
                <w:rFonts w:asciiTheme="minorEastAsia" w:hAnsiTheme="minorEastAsia" w:eastAsiaTheme="minorEastAsia"/>
              </w:rPr>
              <w:t>分</w:t>
            </w:r>
          </w:p>
        </w:tc>
      </w:tr>
      <w:tr>
        <w:tblPrEx>
          <w:tblLayout w:type="fixed"/>
          <w:tblCellMar>
            <w:top w:w="0" w:type="dxa"/>
            <w:left w:w="0" w:type="dxa"/>
            <w:bottom w:w="0" w:type="dxa"/>
            <w:right w:w="0" w:type="dxa"/>
          </w:tblCellMar>
        </w:tblPrEx>
        <w:trPr>
          <w:trHeight w:val="567" w:hRule="atLeast"/>
        </w:trPr>
        <w:tc>
          <w:tcPr>
            <w:tcW w:w="2023" w:type="dxa"/>
            <w:gridSpan w:val="2"/>
            <w:tcBorders>
              <w:top w:val="single" w:color="auto" w:sz="4" w:space="0"/>
              <w:left w:val="single" w:color="auto" w:sz="4" w:space="0"/>
              <w:bottom w:val="single" w:color="auto" w:sz="4" w:space="0"/>
              <w:right w:val="single" w:color="auto" w:sz="4" w:space="0"/>
            </w:tcBorders>
            <w:vAlign w:val="center"/>
          </w:tcPr>
          <w:p>
            <w:pPr>
              <w:pStyle w:val="33"/>
              <w:snapToGrid w:val="0"/>
              <w:spacing w:line="360" w:lineRule="auto"/>
              <w:ind w:left="675" w:right="663"/>
              <w:jc w:val="center"/>
              <w:rPr>
                <w:rFonts w:asciiTheme="minorEastAsia" w:hAnsiTheme="minorEastAsia" w:eastAsiaTheme="minorEastAsia"/>
              </w:rPr>
            </w:pPr>
            <w:r>
              <w:rPr>
                <w:rFonts w:asciiTheme="minorEastAsia" w:hAnsiTheme="minorEastAsia" w:eastAsiaTheme="minorEastAsia"/>
              </w:rPr>
              <w:t>2.2.2</w:t>
            </w:r>
          </w:p>
        </w:tc>
        <w:tc>
          <w:tcPr>
            <w:tcW w:w="2477" w:type="dxa"/>
            <w:tcBorders>
              <w:top w:val="single" w:color="auto" w:sz="4" w:space="0"/>
              <w:left w:val="single" w:color="auto" w:sz="4" w:space="0"/>
              <w:bottom w:val="single" w:color="auto" w:sz="4" w:space="0"/>
              <w:right w:val="single" w:color="auto" w:sz="4" w:space="0"/>
            </w:tcBorders>
            <w:vAlign w:val="center"/>
          </w:tcPr>
          <w:p>
            <w:pPr>
              <w:pStyle w:val="33"/>
              <w:snapToGrid w:val="0"/>
              <w:spacing w:line="360" w:lineRule="auto"/>
              <w:ind w:left="63" w:right="50"/>
              <w:jc w:val="center"/>
              <w:rPr>
                <w:rFonts w:asciiTheme="minorEastAsia" w:hAnsiTheme="minorEastAsia" w:eastAsiaTheme="minorEastAsia"/>
              </w:rPr>
            </w:pPr>
            <w:r>
              <w:rPr>
                <w:rFonts w:asciiTheme="minorEastAsia" w:hAnsiTheme="minorEastAsia" w:eastAsiaTheme="minorEastAsia"/>
              </w:rPr>
              <w:t>评标基准价计算方法</w:t>
            </w:r>
          </w:p>
        </w:tc>
        <w:tc>
          <w:tcPr>
            <w:tcW w:w="4681" w:type="dxa"/>
            <w:tcBorders>
              <w:top w:val="single" w:color="auto" w:sz="4" w:space="0"/>
              <w:left w:val="single" w:color="auto" w:sz="4" w:space="0"/>
              <w:bottom w:val="single" w:color="auto" w:sz="4" w:space="0"/>
              <w:right w:val="single" w:color="auto" w:sz="4" w:space="0"/>
            </w:tcBorders>
            <w:vAlign w:val="center"/>
          </w:tcPr>
          <w:p>
            <w:pPr>
              <w:pStyle w:val="33"/>
              <w:tabs>
                <w:tab w:val="left" w:pos="1894"/>
              </w:tabs>
              <w:snapToGrid w:val="0"/>
              <w:spacing w:line="360" w:lineRule="auto"/>
              <w:ind w:left="108" w:right="1216"/>
              <w:rPr>
                <w:rFonts w:asciiTheme="minorEastAsia" w:hAnsiTheme="minorEastAsia" w:eastAsiaTheme="minorEastAsia"/>
              </w:rPr>
            </w:pPr>
            <w:r>
              <w:rPr>
                <w:rFonts w:hint="eastAsia" w:asciiTheme="minorEastAsia" w:hAnsiTheme="minorEastAsia" w:eastAsiaTheme="minorEastAsia"/>
              </w:rPr>
              <w:t>所有通过初步评审合格的竞选人（比选人设有最高限价的，则竞选总报价高于最高限价的除外）的竞选总报价中去掉六分之一（不能整除的按小数点前整数取整，不足六家报价则不去掉）的最低价和相同家数的最高价后的算术平均值P1即为竞选总报价的评标基准价。</w:t>
            </w:r>
          </w:p>
          <w:p>
            <w:pPr>
              <w:pStyle w:val="33"/>
              <w:tabs>
                <w:tab w:val="left" w:pos="1894"/>
              </w:tabs>
              <w:snapToGrid w:val="0"/>
              <w:spacing w:line="360" w:lineRule="auto"/>
              <w:ind w:left="108" w:right="1216"/>
              <w:rPr>
                <w:rFonts w:asciiTheme="minorEastAsia" w:hAnsiTheme="minorEastAsia" w:eastAsiaTheme="minorEastAsia"/>
              </w:rPr>
            </w:pPr>
            <w:r>
              <w:rPr>
                <w:rFonts w:hint="eastAsia" w:asciiTheme="minorEastAsia" w:hAnsiTheme="minorEastAsia" w:eastAsiaTheme="minorEastAsia"/>
              </w:rPr>
              <w:t>以上计算取小数点后两位，第三位四舍五入。</w:t>
            </w:r>
          </w:p>
        </w:tc>
      </w:tr>
      <w:bookmarkEnd w:id="98"/>
      <w:tr>
        <w:tblPrEx>
          <w:tblLayout w:type="fixed"/>
          <w:tblCellMar>
            <w:top w:w="0" w:type="dxa"/>
            <w:left w:w="0" w:type="dxa"/>
            <w:bottom w:w="0" w:type="dxa"/>
            <w:right w:w="0" w:type="dxa"/>
          </w:tblCellMar>
        </w:tblPrEx>
        <w:trPr>
          <w:trHeight w:val="567" w:hRule="atLeast"/>
        </w:trPr>
        <w:tc>
          <w:tcPr>
            <w:tcW w:w="2023" w:type="dxa"/>
            <w:gridSpan w:val="2"/>
            <w:tcBorders>
              <w:top w:val="single" w:color="auto" w:sz="4" w:space="0"/>
              <w:left w:val="single" w:color="auto" w:sz="4" w:space="0"/>
              <w:bottom w:val="single" w:color="auto" w:sz="4" w:space="0"/>
              <w:right w:val="single" w:color="auto" w:sz="4" w:space="0"/>
            </w:tcBorders>
            <w:vAlign w:val="center"/>
          </w:tcPr>
          <w:p>
            <w:pPr>
              <w:pStyle w:val="33"/>
              <w:snapToGrid w:val="0"/>
              <w:spacing w:line="360" w:lineRule="auto"/>
              <w:rPr>
                <w:rFonts w:asciiTheme="minorEastAsia" w:hAnsiTheme="minorEastAsia" w:eastAsiaTheme="minorEastAsia"/>
                <w:b/>
              </w:rPr>
            </w:pPr>
          </w:p>
          <w:p>
            <w:pPr>
              <w:pStyle w:val="33"/>
              <w:snapToGrid w:val="0"/>
              <w:spacing w:line="360" w:lineRule="auto"/>
              <w:ind w:left="675" w:right="663"/>
              <w:jc w:val="center"/>
              <w:rPr>
                <w:rFonts w:asciiTheme="minorEastAsia" w:hAnsiTheme="minorEastAsia" w:eastAsiaTheme="minorEastAsia"/>
              </w:rPr>
            </w:pPr>
            <w:r>
              <w:rPr>
                <w:rFonts w:asciiTheme="minorEastAsia" w:hAnsiTheme="minorEastAsia" w:eastAsiaTheme="minorEastAsia"/>
              </w:rPr>
              <w:t>2.2.3</w:t>
            </w:r>
          </w:p>
        </w:tc>
        <w:tc>
          <w:tcPr>
            <w:tcW w:w="2477" w:type="dxa"/>
            <w:tcBorders>
              <w:top w:val="single" w:color="auto" w:sz="4" w:space="0"/>
              <w:left w:val="single" w:color="auto" w:sz="4" w:space="0"/>
              <w:bottom w:val="single" w:color="auto" w:sz="4" w:space="0"/>
              <w:right w:val="single" w:color="auto" w:sz="4" w:space="0"/>
            </w:tcBorders>
            <w:vAlign w:val="center"/>
          </w:tcPr>
          <w:p>
            <w:pPr>
              <w:pStyle w:val="33"/>
              <w:snapToGrid w:val="0"/>
              <w:spacing w:line="360" w:lineRule="auto"/>
              <w:ind w:left="818" w:right="383" w:hanging="420"/>
              <w:rPr>
                <w:rFonts w:asciiTheme="minorEastAsia" w:hAnsiTheme="minorEastAsia" w:eastAsiaTheme="minorEastAsia"/>
              </w:rPr>
            </w:pPr>
            <w:r>
              <w:rPr>
                <w:rFonts w:hint="eastAsia" w:asciiTheme="minorEastAsia" w:hAnsiTheme="minorEastAsia" w:eastAsiaTheme="minorEastAsia"/>
              </w:rPr>
              <w:t>竞选</w:t>
            </w:r>
            <w:r>
              <w:rPr>
                <w:rFonts w:asciiTheme="minorEastAsia" w:hAnsiTheme="minorEastAsia" w:eastAsiaTheme="minorEastAsia"/>
              </w:rPr>
              <w:t>报价的偏差率计算公式</w:t>
            </w:r>
          </w:p>
        </w:tc>
        <w:tc>
          <w:tcPr>
            <w:tcW w:w="4681" w:type="dxa"/>
            <w:tcBorders>
              <w:top w:val="single" w:color="auto" w:sz="4" w:space="0"/>
              <w:left w:val="single" w:color="auto" w:sz="4" w:space="0"/>
              <w:bottom w:val="single" w:color="auto" w:sz="4" w:space="0"/>
              <w:right w:val="single" w:color="auto" w:sz="4" w:space="0"/>
            </w:tcBorders>
            <w:vAlign w:val="center"/>
          </w:tcPr>
          <w:p>
            <w:pPr>
              <w:pStyle w:val="33"/>
              <w:tabs>
                <w:tab w:val="left" w:pos="1894"/>
              </w:tabs>
              <w:snapToGrid w:val="0"/>
              <w:spacing w:line="360" w:lineRule="auto"/>
              <w:ind w:left="108" w:right="1216"/>
              <w:rPr>
                <w:rFonts w:asciiTheme="minorEastAsia" w:hAnsiTheme="minorEastAsia" w:eastAsiaTheme="minorEastAsia"/>
              </w:rPr>
            </w:pPr>
            <w:r>
              <w:rPr>
                <w:rFonts w:hint="eastAsia" w:asciiTheme="minorEastAsia" w:hAnsiTheme="minorEastAsia" w:eastAsiaTheme="minorEastAsia"/>
              </w:rPr>
              <w:t>偏差率=1OO％×(竞选人报价一评标基准价</w:t>
            </w:r>
            <w:bookmarkStart w:id="99" w:name="CQZH1_12"/>
            <w:r>
              <w:rPr>
                <w:rFonts w:hint="eastAsia" w:asciiTheme="minorEastAsia" w:hAnsiTheme="minorEastAsia" w:eastAsiaTheme="minorEastAsia"/>
              </w:rPr>
              <w:t xml:space="preserve">P1  </w:t>
            </w:r>
            <w:bookmarkEnd w:id="99"/>
            <w:r>
              <w:rPr>
                <w:rFonts w:hint="eastAsia" w:asciiTheme="minorEastAsia" w:hAnsiTheme="minorEastAsia" w:eastAsiaTheme="minorEastAsia"/>
              </w:rPr>
              <w:t>)／评标基准价</w:t>
            </w:r>
            <w:bookmarkStart w:id="100" w:name="CQZH1_13"/>
            <w:r>
              <w:rPr>
                <w:rFonts w:hint="eastAsia" w:asciiTheme="minorEastAsia" w:hAnsiTheme="minorEastAsia" w:eastAsiaTheme="minorEastAsia"/>
              </w:rPr>
              <w:t>P1</w:t>
            </w:r>
            <w:bookmarkEnd w:id="100"/>
          </w:p>
        </w:tc>
      </w:tr>
      <w:tr>
        <w:tblPrEx>
          <w:tblLayout w:type="fixed"/>
          <w:tblCellMar>
            <w:top w:w="0" w:type="dxa"/>
            <w:left w:w="0" w:type="dxa"/>
            <w:bottom w:w="0" w:type="dxa"/>
            <w:right w:w="0" w:type="dxa"/>
          </w:tblCellMar>
        </w:tblPrEx>
        <w:trPr>
          <w:trHeight w:val="567" w:hRule="atLeast"/>
        </w:trPr>
        <w:tc>
          <w:tcPr>
            <w:tcW w:w="10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2.2.4</w:t>
            </w:r>
          </w:p>
        </w:tc>
        <w:tc>
          <w:tcPr>
            <w:tcW w:w="101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技术符合性评审</w:t>
            </w:r>
          </w:p>
        </w:tc>
        <w:tc>
          <w:tcPr>
            <w:tcW w:w="2477" w:type="dxa"/>
            <w:tcBorders>
              <w:top w:val="single" w:color="auto" w:sz="4" w:space="0"/>
              <w:left w:val="single" w:color="auto" w:sz="4" w:space="0"/>
              <w:bottom w:val="single" w:color="auto" w:sz="4" w:space="0"/>
              <w:right w:val="single" w:color="auto" w:sz="4" w:space="0"/>
            </w:tcBorders>
            <w:vAlign w:val="center"/>
          </w:tcPr>
          <w:p>
            <w:pPr>
              <w:pStyle w:val="33"/>
              <w:snapToGrid w:val="0"/>
              <w:spacing w:line="360" w:lineRule="auto"/>
              <w:ind w:left="62" w:right="52"/>
              <w:jc w:val="center"/>
              <w:rPr>
                <w:rFonts w:asciiTheme="minorEastAsia" w:hAnsiTheme="minorEastAsia" w:eastAsiaTheme="minorEastAsia"/>
                <w:w w:val="115"/>
              </w:rPr>
            </w:pPr>
            <w:r>
              <w:rPr>
                <w:rFonts w:hint="eastAsia" w:asciiTheme="minorEastAsia" w:hAnsiTheme="minorEastAsia" w:eastAsiaTheme="minorEastAsia"/>
                <w:w w:val="115"/>
              </w:rPr>
              <w:t>技术部分符合性评审</w:t>
            </w:r>
          </w:p>
        </w:tc>
        <w:tc>
          <w:tcPr>
            <w:tcW w:w="4681" w:type="dxa"/>
            <w:tcBorders>
              <w:top w:val="single" w:color="auto" w:sz="4" w:space="0"/>
              <w:left w:val="single" w:color="auto" w:sz="4" w:space="0"/>
              <w:bottom w:val="single" w:color="auto" w:sz="4" w:space="0"/>
              <w:right w:val="single" w:color="auto" w:sz="4" w:space="0"/>
            </w:tcBorders>
            <w:vAlign w:val="center"/>
          </w:tcPr>
          <w:p>
            <w:pPr>
              <w:pStyle w:val="33"/>
              <w:snapToGrid w:val="0"/>
              <w:spacing w:line="360" w:lineRule="auto"/>
              <w:ind w:right="52" w:firstLine="440"/>
              <w:rPr>
                <w:rFonts w:asciiTheme="minorEastAsia" w:hAnsiTheme="minorEastAsia" w:eastAsiaTheme="minorEastAsia"/>
                <w:b/>
              </w:rPr>
            </w:pPr>
            <w:r>
              <w:rPr>
                <w:rFonts w:hint="eastAsia" w:asciiTheme="minorEastAsia" w:hAnsiTheme="minorEastAsia" w:eastAsiaTheme="minorEastAsia"/>
                <w:b/>
              </w:rPr>
              <w:t>以下★条款，明确要求证明材料的，按要求提供；未明确要求的，应提供生产说明书或者技术手册或者制造商印刷样本；</w:t>
            </w:r>
          </w:p>
          <w:p>
            <w:pPr>
              <w:pStyle w:val="33"/>
              <w:snapToGrid w:val="0"/>
              <w:spacing w:line="360" w:lineRule="auto"/>
              <w:ind w:left="62" w:right="52" w:firstLine="420" w:firstLineChars="20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1、</w:t>
            </w:r>
            <w:r>
              <w:rPr>
                <w:rFonts w:hint="eastAsia" w:ascii="宋体" w:hAnsi="宋体" w:cs="宋体"/>
              </w:rPr>
              <w:t>设计为一台静音型机组单机运行</w:t>
            </w:r>
            <w:r>
              <w:rPr>
                <w:rFonts w:asciiTheme="minorEastAsia" w:hAnsiTheme="minorEastAsia" w:eastAsiaTheme="minorEastAsia"/>
              </w:rPr>
              <w:t>；</w:t>
            </w:r>
          </w:p>
          <w:p>
            <w:pPr>
              <w:pStyle w:val="33"/>
              <w:snapToGrid w:val="0"/>
              <w:spacing w:line="360" w:lineRule="auto"/>
              <w:ind w:left="62" w:right="52" w:firstLine="420" w:firstLineChars="20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2、发电机组自启动采用电启动方式，启动用蓄电池组由机组配套提供</w:t>
            </w:r>
            <w:r>
              <w:rPr>
                <w:rFonts w:hint="eastAsia" w:asciiTheme="minorEastAsia" w:hAnsiTheme="minorEastAsia" w:eastAsiaTheme="minorEastAsia"/>
              </w:rPr>
              <w:t>（竞选人自行承诺）</w:t>
            </w:r>
            <w:r>
              <w:rPr>
                <w:rFonts w:asciiTheme="minorEastAsia" w:hAnsiTheme="minorEastAsia" w:eastAsiaTheme="minorEastAsia"/>
              </w:rPr>
              <w:t>；</w:t>
            </w:r>
          </w:p>
          <w:p>
            <w:pPr>
              <w:pStyle w:val="33"/>
              <w:snapToGrid w:val="0"/>
              <w:spacing w:line="360" w:lineRule="auto"/>
              <w:ind w:left="62" w:right="52" w:firstLine="420" w:firstLineChars="20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3、采购内容包括：柴油发电机组、安装配件（并机柜、排风、排烟、供油、消声器及减震器等装置）及机房降噪工程等，柴油发电机采购为交钥匙工程</w:t>
            </w:r>
            <w:r>
              <w:rPr>
                <w:rFonts w:hint="eastAsia" w:asciiTheme="minorEastAsia" w:hAnsiTheme="minorEastAsia" w:eastAsiaTheme="minorEastAsia"/>
              </w:rPr>
              <w:t>（竞选人自行承诺）</w:t>
            </w:r>
            <w:r>
              <w:rPr>
                <w:rFonts w:asciiTheme="minorEastAsia" w:hAnsiTheme="minorEastAsia" w:eastAsiaTheme="minorEastAsia"/>
              </w:rPr>
              <w:t>；</w:t>
            </w:r>
          </w:p>
          <w:p>
            <w:pPr>
              <w:pStyle w:val="33"/>
              <w:snapToGrid w:val="0"/>
              <w:spacing w:line="360" w:lineRule="auto"/>
              <w:ind w:left="62" w:right="52" w:firstLine="420" w:firstLineChars="200"/>
              <w:rPr>
                <w:rFonts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机组主用功率（或连续运行额定功率）</w:t>
            </w:r>
            <w:r>
              <w:rPr>
                <w:rFonts w:hint="eastAsia" w:asciiTheme="minorEastAsia" w:hAnsiTheme="minorEastAsia" w:eastAsiaTheme="minorEastAsia"/>
              </w:rPr>
              <w:t>不低于350</w:t>
            </w:r>
            <w:r>
              <w:rPr>
                <w:rFonts w:asciiTheme="minorEastAsia" w:hAnsiTheme="minorEastAsia" w:eastAsiaTheme="minorEastAsia"/>
              </w:rPr>
              <w:t>KW，备用功率</w:t>
            </w:r>
            <w:r>
              <w:rPr>
                <w:rFonts w:hint="eastAsia" w:asciiTheme="minorEastAsia" w:hAnsiTheme="minorEastAsia" w:eastAsiaTheme="minorEastAsia"/>
              </w:rPr>
              <w:t>不低于385</w:t>
            </w:r>
            <w:r>
              <w:rPr>
                <w:rFonts w:asciiTheme="minorEastAsia" w:hAnsiTheme="minorEastAsia" w:eastAsiaTheme="minorEastAsia"/>
              </w:rPr>
              <w:t>KW，各</w:t>
            </w:r>
            <w:r>
              <w:rPr>
                <w:rFonts w:hint="eastAsia" w:asciiTheme="minorEastAsia" w:hAnsiTheme="minorEastAsia" w:eastAsiaTheme="minorEastAsia"/>
              </w:rPr>
              <w:t>竞选</w:t>
            </w:r>
            <w:r>
              <w:rPr>
                <w:rFonts w:asciiTheme="minorEastAsia" w:hAnsiTheme="minorEastAsia" w:eastAsiaTheme="minorEastAsia"/>
              </w:rPr>
              <w:t>人可用制造商相应规格的定型产品进行</w:t>
            </w:r>
            <w:r>
              <w:rPr>
                <w:rFonts w:hint="eastAsia" w:asciiTheme="minorEastAsia" w:hAnsiTheme="minorEastAsia" w:eastAsiaTheme="minorEastAsia"/>
              </w:rPr>
              <w:t>竞选</w:t>
            </w:r>
            <w:r>
              <w:rPr>
                <w:rFonts w:asciiTheme="minorEastAsia" w:hAnsiTheme="minorEastAsia" w:eastAsiaTheme="minorEastAsia"/>
              </w:rPr>
              <w:t>。</w:t>
            </w:r>
          </w:p>
          <w:p>
            <w:pPr>
              <w:pStyle w:val="33"/>
              <w:snapToGrid w:val="0"/>
              <w:spacing w:line="360" w:lineRule="auto"/>
              <w:ind w:left="62" w:right="52" w:firstLine="420" w:firstLineChars="200"/>
              <w:rPr>
                <w:rFonts w:asciiTheme="minorEastAsia" w:hAnsiTheme="minorEastAsia" w:eastAsiaTheme="minorEastAsia"/>
              </w:rPr>
            </w:pPr>
            <w:r>
              <w:rPr>
                <w:rFonts w:hint="eastAsia" w:asciiTheme="minorEastAsia" w:hAnsiTheme="minorEastAsia" w:eastAsiaTheme="minorEastAsia"/>
              </w:rPr>
              <w:t>★5、</w:t>
            </w:r>
            <w:r>
              <w:rPr>
                <w:rFonts w:asciiTheme="minorEastAsia" w:hAnsiTheme="minorEastAsia" w:eastAsiaTheme="minorEastAsia"/>
              </w:rPr>
              <w:t>发动机</w:t>
            </w:r>
            <w:r>
              <w:rPr>
                <w:rFonts w:hint="eastAsia" w:asciiTheme="minorEastAsia" w:hAnsiTheme="minorEastAsia" w:eastAsiaTheme="minorEastAsia"/>
              </w:rPr>
              <w:t>为</w:t>
            </w:r>
            <w:r>
              <w:rPr>
                <w:rFonts w:asciiTheme="minorEastAsia" w:hAnsiTheme="minorEastAsia" w:eastAsiaTheme="minorEastAsia"/>
              </w:rPr>
              <w:t>：美国卡特彼勒、美国康明斯电力（CUMMINS）、德国MTU、日本三菱，科勒或同等及以上品牌</w:t>
            </w:r>
            <w:r>
              <w:rPr>
                <w:rFonts w:hint="eastAsia" w:asciiTheme="minorEastAsia" w:hAnsiTheme="minorEastAsia" w:eastAsiaTheme="minorEastAsia"/>
              </w:rPr>
              <w:t>（竞选人自行承诺）</w:t>
            </w:r>
            <w:r>
              <w:rPr>
                <w:rFonts w:asciiTheme="minorEastAsia" w:hAnsiTheme="minorEastAsia" w:eastAsiaTheme="minorEastAsia"/>
              </w:rPr>
              <w:t>。</w:t>
            </w:r>
          </w:p>
          <w:p>
            <w:pPr>
              <w:pStyle w:val="33"/>
              <w:snapToGrid w:val="0"/>
              <w:spacing w:line="360" w:lineRule="auto"/>
              <w:ind w:left="62" w:right="52" w:firstLine="420" w:firstLineChars="200"/>
              <w:rPr>
                <w:rFonts w:asciiTheme="minorEastAsia" w:hAnsiTheme="minorEastAsia" w:eastAsiaTheme="minorEastAsia"/>
              </w:rPr>
            </w:pPr>
            <w:r>
              <w:rPr>
                <w:rFonts w:hint="eastAsia" w:asciiTheme="minorEastAsia" w:hAnsiTheme="minorEastAsia" w:eastAsiaTheme="minorEastAsia"/>
              </w:rPr>
              <w:t>★6、</w:t>
            </w:r>
            <w:r>
              <w:rPr>
                <w:rFonts w:asciiTheme="minorEastAsia" w:hAnsiTheme="minorEastAsia" w:eastAsiaTheme="minorEastAsia"/>
              </w:rPr>
              <w:t>发电机：斯坦福、马拉松、利莱森玛、科勒或同等及以上品牌</w:t>
            </w:r>
            <w:r>
              <w:rPr>
                <w:rFonts w:hint="eastAsia" w:asciiTheme="minorEastAsia" w:hAnsiTheme="minorEastAsia" w:eastAsiaTheme="minorEastAsia"/>
              </w:rPr>
              <w:t>（竞选人自行承诺）</w:t>
            </w:r>
            <w:r>
              <w:rPr>
                <w:rFonts w:asciiTheme="minorEastAsia" w:hAnsiTheme="minorEastAsia" w:eastAsiaTheme="minorEastAsia"/>
              </w:rPr>
              <w:t>；</w:t>
            </w:r>
          </w:p>
          <w:p>
            <w:pPr>
              <w:pStyle w:val="33"/>
              <w:snapToGrid w:val="0"/>
              <w:spacing w:line="360" w:lineRule="auto"/>
              <w:ind w:left="62" w:right="52" w:firstLine="420" w:firstLineChars="200"/>
              <w:rPr>
                <w:rFonts w:asciiTheme="minorEastAsia" w:hAnsiTheme="minorEastAsia" w:eastAsiaTheme="minorEastAsia"/>
              </w:rPr>
            </w:pPr>
            <w:r>
              <w:rPr>
                <w:rFonts w:hint="eastAsia" w:asciiTheme="minorEastAsia" w:hAnsiTheme="minorEastAsia" w:eastAsiaTheme="minorEastAsia"/>
              </w:rPr>
              <w:t>★7、</w:t>
            </w:r>
            <w:r>
              <w:rPr>
                <w:rFonts w:asciiTheme="minorEastAsia" w:hAnsiTheme="minorEastAsia" w:eastAsiaTheme="minorEastAsia"/>
              </w:rPr>
              <w:t>控制器为：卡特彼勒、康明斯、科勒、英国深海、科迈或同等及以上品牌</w:t>
            </w:r>
            <w:r>
              <w:rPr>
                <w:rFonts w:hint="eastAsia" w:asciiTheme="minorEastAsia" w:hAnsiTheme="minorEastAsia" w:eastAsiaTheme="minorEastAsia"/>
              </w:rPr>
              <w:t>（竞选人自行承诺）</w:t>
            </w:r>
            <w:r>
              <w:rPr>
                <w:rFonts w:asciiTheme="minorEastAsia" w:hAnsiTheme="minorEastAsia" w:eastAsiaTheme="minorEastAsia"/>
              </w:rPr>
              <w:t>；</w:t>
            </w:r>
          </w:p>
        </w:tc>
      </w:tr>
      <w:tr>
        <w:tblPrEx>
          <w:tblLayout w:type="fixed"/>
          <w:tblCellMar>
            <w:top w:w="0" w:type="dxa"/>
            <w:left w:w="0" w:type="dxa"/>
            <w:bottom w:w="0" w:type="dxa"/>
            <w:right w:w="0" w:type="dxa"/>
          </w:tblCellMar>
        </w:tblPrEx>
        <w:trPr>
          <w:trHeight w:val="1134" w:hRule="atLeast"/>
        </w:trPr>
        <w:tc>
          <w:tcPr>
            <w:tcW w:w="1011" w:type="dxa"/>
            <w:vMerge w:val="restart"/>
            <w:tcBorders>
              <w:top w:val="single" w:color="auto" w:sz="4" w:space="0"/>
              <w:left w:val="single" w:color="auto" w:sz="4" w:space="0"/>
              <w:bottom w:val="single" w:color="auto" w:sz="4" w:space="0"/>
              <w:right w:val="single" w:color="auto" w:sz="4" w:space="0"/>
            </w:tcBorders>
            <w:vAlign w:val="center"/>
          </w:tcPr>
          <w:p>
            <w:pPr>
              <w:pStyle w:val="33"/>
              <w:snapToGrid w:val="0"/>
              <w:spacing w:line="360" w:lineRule="auto"/>
              <w:ind w:left="239"/>
              <w:rPr>
                <w:rFonts w:asciiTheme="minorEastAsia" w:hAnsiTheme="minorEastAsia" w:eastAsiaTheme="minorEastAsia"/>
              </w:rPr>
            </w:pPr>
            <w:r>
              <w:rPr>
                <w:rFonts w:asciiTheme="minorEastAsia" w:hAnsiTheme="minorEastAsia" w:eastAsiaTheme="minorEastAsia"/>
              </w:rPr>
              <w:t>2.2.4</w:t>
            </w:r>
          </w:p>
          <w:p>
            <w:pPr>
              <w:pStyle w:val="33"/>
              <w:snapToGrid w:val="0"/>
              <w:spacing w:line="360" w:lineRule="auto"/>
              <w:ind w:left="187"/>
              <w:rPr>
                <w:rFonts w:asciiTheme="minorEastAsia" w:hAnsiTheme="minorEastAsia" w:eastAsiaTheme="minorEastAsia"/>
              </w:rPr>
            </w:pPr>
            <w:r>
              <w:rPr>
                <w:rFonts w:asciiTheme="minorEastAsia" w:hAnsiTheme="minorEastAsia" w:eastAsiaTheme="minorEastAsia"/>
              </w:rPr>
              <w:t>（1）</w:t>
            </w:r>
          </w:p>
        </w:tc>
        <w:tc>
          <w:tcPr>
            <w:tcW w:w="1012" w:type="dxa"/>
            <w:vMerge w:val="restart"/>
            <w:tcBorders>
              <w:top w:val="single" w:color="auto" w:sz="4" w:space="0"/>
              <w:left w:val="single" w:color="auto" w:sz="4" w:space="0"/>
              <w:bottom w:val="single" w:color="auto" w:sz="4" w:space="0"/>
              <w:right w:val="single" w:color="auto" w:sz="4" w:space="0"/>
            </w:tcBorders>
            <w:vAlign w:val="center"/>
          </w:tcPr>
          <w:p>
            <w:pPr>
              <w:pStyle w:val="33"/>
              <w:snapToGrid w:val="0"/>
              <w:spacing w:line="360" w:lineRule="auto"/>
              <w:ind w:left="140" w:right="127" w:hanging="140"/>
              <w:jc w:val="center"/>
              <w:rPr>
                <w:rFonts w:asciiTheme="minorEastAsia" w:hAnsiTheme="minorEastAsia" w:eastAsiaTheme="minorEastAsia"/>
              </w:rPr>
            </w:pPr>
            <w:r>
              <w:rPr>
                <w:rFonts w:asciiTheme="minorEastAsia" w:hAnsiTheme="minorEastAsia" w:eastAsiaTheme="minorEastAsia"/>
              </w:rPr>
              <w:t>商务</w:t>
            </w:r>
          </w:p>
          <w:p>
            <w:pPr>
              <w:pStyle w:val="33"/>
              <w:snapToGrid w:val="0"/>
              <w:spacing w:line="360" w:lineRule="auto"/>
              <w:ind w:left="140" w:right="127" w:hanging="140"/>
              <w:jc w:val="center"/>
              <w:rPr>
                <w:rFonts w:asciiTheme="minorEastAsia" w:hAnsiTheme="minorEastAsia" w:eastAsiaTheme="minorEastAsia"/>
              </w:rPr>
            </w:pPr>
            <w:r>
              <w:rPr>
                <w:rFonts w:asciiTheme="minorEastAsia" w:hAnsiTheme="minorEastAsia" w:eastAsiaTheme="minorEastAsia"/>
              </w:rPr>
              <w:t>评分</w:t>
            </w:r>
          </w:p>
          <w:p>
            <w:pPr>
              <w:pStyle w:val="33"/>
              <w:snapToGrid w:val="0"/>
              <w:spacing w:line="360" w:lineRule="auto"/>
              <w:ind w:left="140" w:right="127" w:hanging="140"/>
              <w:jc w:val="center"/>
              <w:rPr>
                <w:rFonts w:asciiTheme="minorEastAsia" w:hAnsiTheme="minorEastAsia" w:eastAsiaTheme="minorEastAsia"/>
              </w:rPr>
            </w:pPr>
            <w:r>
              <w:rPr>
                <w:rFonts w:asciiTheme="minorEastAsia" w:hAnsiTheme="minorEastAsia" w:eastAsiaTheme="minorEastAsia"/>
              </w:rPr>
              <w:t>标准</w:t>
            </w:r>
            <w:r>
              <w:rPr>
                <w:rFonts w:hint="eastAsia" w:asciiTheme="minorEastAsia" w:hAnsiTheme="minorEastAsia" w:eastAsiaTheme="minorEastAsia"/>
              </w:rPr>
              <w:t>（</w:t>
            </w:r>
            <w:r>
              <w:rPr>
                <w:rFonts w:asciiTheme="minorEastAsia" w:hAnsiTheme="minorEastAsia" w:eastAsiaTheme="minorEastAsia"/>
              </w:rPr>
              <w:t>A</w:t>
            </w:r>
            <w:r>
              <w:rPr>
                <w:rFonts w:hint="eastAsia" w:asciiTheme="minorEastAsia" w:hAnsiTheme="minorEastAsia" w:eastAsiaTheme="minorEastAsia"/>
              </w:rPr>
              <w:t>）</w:t>
            </w:r>
          </w:p>
        </w:tc>
        <w:tc>
          <w:tcPr>
            <w:tcW w:w="2477" w:type="dxa"/>
            <w:tcBorders>
              <w:top w:val="single" w:color="auto" w:sz="4" w:space="0"/>
              <w:left w:val="single" w:color="auto" w:sz="4" w:space="0"/>
              <w:bottom w:val="single" w:color="auto" w:sz="4" w:space="0"/>
              <w:right w:val="single" w:color="auto" w:sz="4" w:space="0"/>
            </w:tcBorders>
            <w:vAlign w:val="center"/>
          </w:tcPr>
          <w:p>
            <w:pPr>
              <w:pStyle w:val="33"/>
              <w:snapToGrid w:val="0"/>
              <w:spacing w:line="360" w:lineRule="auto"/>
              <w:ind w:left="63" w:right="50"/>
              <w:jc w:val="center"/>
              <w:rPr>
                <w:rFonts w:asciiTheme="minorEastAsia" w:hAnsiTheme="minorEastAsia" w:eastAsiaTheme="minorEastAsia"/>
              </w:rPr>
            </w:pPr>
            <w:r>
              <w:rPr>
                <w:rFonts w:hint="eastAsia" w:asciiTheme="minorEastAsia" w:hAnsiTheme="minorEastAsia" w:eastAsiaTheme="minorEastAsia"/>
              </w:rPr>
              <w:t>经验业绩（2分）</w:t>
            </w:r>
          </w:p>
        </w:tc>
        <w:tc>
          <w:tcPr>
            <w:tcW w:w="4681" w:type="dxa"/>
            <w:tcBorders>
              <w:top w:val="single" w:color="auto" w:sz="4" w:space="0"/>
              <w:left w:val="single" w:color="auto" w:sz="4" w:space="0"/>
              <w:bottom w:val="single" w:color="auto" w:sz="4" w:space="0"/>
              <w:right w:val="single" w:color="auto" w:sz="4" w:space="0"/>
            </w:tcBorders>
            <w:vAlign w:val="center"/>
          </w:tcPr>
          <w:p>
            <w:pPr>
              <w:pStyle w:val="33"/>
              <w:snapToGrid w:val="0"/>
              <w:spacing w:line="360" w:lineRule="auto"/>
              <w:ind w:left="61" w:right="52" w:firstLine="420" w:firstLineChars="200"/>
              <w:rPr>
                <w:rFonts w:asciiTheme="minorEastAsia" w:hAnsiTheme="minorEastAsia" w:eastAsiaTheme="minorEastAsia"/>
              </w:rPr>
            </w:pPr>
            <w:r>
              <w:rPr>
                <w:rFonts w:hint="eastAsia" w:asciiTheme="minorEastAsia" w:hAnsiTheme="minorEastAsia" w:eastAsiaTheme="minorEastAsia"/>
              </w:rPr>
              <w:t>竞选品牌2015年1月1日至今，具备单项合同350</w:t>
            </w:r>
            <w:r>
              <w:rPr>
                <w:rFonts w:asciiTheme="minorEastAsia" w:hAnsiTheme="minorEastAsia" w:eastAsiaTheme="minorEastAsia"/>
              </w:rPr>
              <w:t>KW</w:t>
            </w:r>
            <w:r>
              <w:rPr>
                <w:rFonts w:hint="eastAsia" w:asciiTheme="minorEastAsia" w:hAnsiTheme="minorEastAsia" w:eastAsiaTheme="minorEastAsia"/>
              </w:rPr>
              <w:t>以上柴油发电机供货业绩1个以上的，得2分；</w:t>
            </w:r>
          </w:p>
          <w:p>
            <w:pPr>
              <w:pStyle w:val="33"/>
              <w:snapToGrid w:val="0"/>
              <w:spacing w:line="360" w:lineRule="auto"/>
              <w:ind w:left="61" w:right="52" w:firstLine="420" w:firstLineChars="200"/>
              <w:rPr>
                <w:rFonts w:asciiTheme="minorEastAsia" w:hAnsiTheme="minorEastAsia" w:eastAsiaTheme="minorEastAsia"/>
              </w:rPr>
            </w:pPr>
            <w:r>
              <w:rPr>
                <w:rFonts w:hint="eastAsia" w:asciiTheme="minorEastAsia" w:hAnsiTheme="minorEastAsia" w:eastAsiaTheme="minorEastAsia"/>
              </w:rPr>
              <w:t>（提供合同协议复印件并加盖竞选人鲜章，原件备查）</w:t>
            </w:r>
          </w:p>
        </w:tc>
      </w:tr>
      <w:tr>
        <w:tblPrEx>
          <w:tblLayout w:type="fixed"/>
          <w:tblCellMar>
            <w:top w:w="0" w:type="dxa"/>
            <w:left w:w="0" w:type="dxa"/>
            <w:bottom w:w="0" w:type="dxa"/>
            <w:right w:w="0" w:type="dxa"/>
          </w:tblCellMar>
        </w:tblPrEx>
        <w:trPr>
          <w:trHeight w:val="567" w:hRule="atLeast"/>
        </w:trPr>
        <w:tc>
          <w:tcPr>
            <w:tcW w:w="101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Theme="minorEastAsia" w:hAnsiTheme="minorEastAsia" w:eastAsiaTheme="minorEastAsia"/>
                <w:sz w:val="2"/>
                <w:szCs w:val="2"/>
              </w:rPr>
            </w:pPr>
          </w:p>
        </w:tc>
        <w:tc>
          <w:tcPr>
            <w:tcW w:w="1012"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Theme="minorEastAsia" w:hAnsiTheme="minorEastAsia" w:eastAsiaTheme="minorEastAsia"/>
                <w:sz w:val="2"/>
                <w:szCs w:val="2"/>
              </w:rPr>
            </w:pPr>
          </w:p>
        </w:tc>
        <w:tc>
          <w:tcPr>
            <w:tcW w:w="2477" w:type="dxa"/>
            <w:tcBorders>
              <w:top w:val="single" w:color="auto" w:sz="4" w:space="0"/>
              <w:left w:val="single" w:color="auto" w:sz="4" w:space="0"/>
              <w:bottom w:val="single" w:color="auto" w:sz="4" w:space="0"/>
              <w:right w:val="single" w:color="auto" w:sz="4" w:space="0"/>
            </w:tcBorders>
            <w:vAlign w:val="center"/>
          </w:tcPr>
          <w:p>
            <w:pPr>
              <w:pStyle w:val="33"/>
              <w:snapToGrid w:val="0"/>
              <w:spacing w:line="360" w:lineRule="auto"/>
              <w:ind w:left="62" w:right="52"/>
              <w:jc w:val="center"/>
              <w:rPr>
                <w:rFonts w:asciiTheme="minorEastAsia" w:hAnsiTheme="minorEastAsia" w:eastAsiaTheme="minorEastAsia"/>
              </w:rPr>
            </w:pPr>
            <w:r>
              <w:rPr>
                <w:rFonts w:hint="eastAsia" w:asciiTheme="minorEastAsia" w:hAnsiTheme="minorEastAsia" w:eastAsiaTheme="minorEastAsia"/>
              </w:rPr>
              <w:t>实施方案（13分）</w:t>
            </w:r>
          </w:p>
        </w:tc>
        <w:tc>
          <w:tcPr>
            <w:tcW w:w="4681" w:type="dxa"/>
            <w:tcBorders>
              <w:top w:val="single" w:color="auto" w:sz="4" w:space="0"/>
              <w:left w:val="single" w:color="auto" w:sz="4" w:space="0"/>
              <w:bottom w:val="single" w:color="auto" w:sz="4" w:space="0"/>
              <w:right w:val="single" w:color="auto" w:sz="4" w:space="0"/>
            </w:tcBorders>
            <w:vAlign w:val="center"/>
          </w:tcPr>
          <w:p>
            <w:pPr>
              <w:pStyle w:val="33"/>
              <w:snapToGrid w:val="0"/>
              <w:spacing w:line="360" w:lineRule="auto"/>
              <w:ind w:left="61" w:right="52" w:firstLine="420" w:firstLineChars="200"/>
              <w:rPr>
                <w:rFonts w:asciiTheme="minorEastAsia" w:hAnsiTheme="minorEastAsia" w:eastAsiaTheme="minorEastAsia"/>
              </w:rPr>
            </w:pPr>
            <w:r>
              <w:rPr>
                <w:rFonts w:hint="eastAsia" w:asciiTheme="minorEastAsia" w:hAnsiTheme="minorEastAsia" w:eastAsiaTheme="minorEastAsia"/>
              </w:rPr>
              <w:t>竞选人根据项目情况及自身产品、供货、安装、培训、售后服务等方面提供实施方案，评标委员会横向比较评分，其中：</w:t>
            </w:r>
          </w:p>
          <w:p>
            <w:pPr>
              <w:pStyle w:val="33"/>
              <w:snapToGrid w:val="0"/>
              <w:spacing w:line="360" w:lineRule="auto"/>
              <w:ind w:left="61" w:right="52" w:firstLine="420" w:firstLineChars="200"/>
              <w:rPr>
                <w:rFonts w:asciiTheme="minorEastAsia" w:hAnsiTheme="minorEastAsia" w:eastAsiaTheme="minorEastAsia"/>
              </w:rPr>
            </w:pPr>
            <w:r>
              <w:rPr>
                <w:rFonts w:hint="eastAsia" w:asciiTheme="minorEastAsia" w:hAnsiTheme="minorEastAsia" w:eastAsiaTheme="minorEastAsia"/>
              </w:rPr>
              <w:t>供货保证（0-5分）：包含但不限于产品设计、生产计划、运输安排、交货时间、保障措施等；</w:t>
            </w:r>
          </w:p>
          <w:p>
            <w:pPr>
              <w:pStyle w:val="33"/>
              <w:snapToGrid w:val="0"/>
              <w:spacing w:line="360" w:lineRule="auto"/>
              <w:ind w:left="61" w:right="52" w:firstLine="420" w:firstLineChars="200"/>
              <w:rPr>
                <w:rFonts w:asciiTheme="minorEastAsia" w:hAnsiTheme="minorEastAsia" w:eastAsiaTheme="minorEastAsia"/>
              </w:rPr>
            </w:pPr>
            <w:r>
              <w:rPr>
                <w:rFonts w:hint="eastAsia" w:asciiTheme="minorEastAsia" w:hAnsiTheme="minorEastAsia" w:eastAsiaTheme="minorEastAsia"/>
              </w:rPr>
              <w:t>安装方案（0-4分）：包含但不限于安装方式、安全防护、质量保证、应急措施等；</w:t>
            </w:r>
          </w:p>
          <w:p>
            <w:pPr>
              <w:pStyle w:val="33"/>
              <w:snapToGrid w:val="0"/>
              <w:spacing w:line="360" w:lineRule="auto"/>
              <w:ind w:left="61" w:right="52" w:firstLine="420" w:firstLineChars="200"/>
              <w:rPr>
                <w:rFonts w:asciiTheme="minorEastAsia" w:hAnsiTheme="minorEastAsia" w:eastAsiaTheme="minorEastAsia"/>
              </w:rPr>
            </w:pPr>
            <w:r>
              <w:rPr>
                <w:rFonts w:hint="eastAsia" w:asciiTheme="minorEastAsia" w:hAnsiTheme="minorEastAsia" w:eastAsiaTheme="minorEastAsia"/>
              </w:rPr>
              <w:t>售后服务（0-4分）：包含但不限于人员培训、售后服务方案、专业人员、响应时间等。</w:t>
            </w:r>
          </w:p>
        </w:tc>
      </w:tr>
      <w:tr>
        <w:tblPrEx>
          <w:tblLayout w:type="fixed"/>
          <w:tblCellMar>
            <w:top w:w="0" w:type="dxa"/>
            <w:left w:w="0" w:type="dxa"/>
            <w:bottom w:w="0" w:type="dxa"/>
            <w:right w:w="0" w:type="dxa"/>
          </w:tblCellMar>
        </w:tblPrEx>
        <w:trPr>
          <w:trHeight w:val="567" w:hRule="atLeast"/>
        </w:trPr>
        <w:tc>
          <w:tcPr>
            <w:tcW w:w="1011" w:type="dxa"/>
            <w:vMerge w:val="restart"/>
            <w:tcBorders>
              <w:top w:val="single" w:color="auto" w:sz="4" w:space="0"/>
              <w:left w:val="single" w:color="auto" w:sz="4" w:space="0"/>
              <w:bottom w:val="single" w:color="auto" w:sz="4" w:space="0"/>
              <w:right w:val="single" w:color="auto" w:sz="4" w:space="0"/>
            </w:tcBorders>
            <w:vAlign w:val="center"/>
          </w:tcPr>
          <w:p>
            <w:pPr>
              <w:pStyle w:val="33"/>
              <w:snapToGrid w:val="0"/>
              <w:spacing w:line="360" w:lineRule="auto"/>
              <w:ind w:left="239"/>
              <w:rPr>
                <w:rFonts w:asciiTheme="minorEastAsia" w:hAnsiTheme="minorEastAsia" w:eastAsiaTheme="minorEastAsia"/>
              </w:rPr>
            </w:pPr>
            <w:r>
              <w:rPr>
                <w:rFonts w:asciiTheme="minorEastAsia" w:hAnsiTheme="minorEastAsia" w:eastAsiaTheme="minorEastAsia"/>
              </w:rPr>
              <w:t>2.2.4</w:t>
            </w:r>
          </w:p>
          <w:p>
            <w:pPr>
              <w:pStyle w:val="33"/>
              <w:snapToGrid w:val="0"/>
              <w:spacing w:line="360" w:lineRule="auto"/>
              <w:ind w:left="187"/>
              <w:rPr>
                <w:rFonts w:asciiTheme="minorEastAsia" w:hAnsiTheme="minorEastAsia" w:eastAsiaTheme="minorEastAsia"/>
              </w:rPr>
            </w:pPr>
            <w:r>
              <w:rPr>
                <w:rFonts w:asciiTheme="minorEastAsia" w:hAnsiTheme="minorEastAsia" w:eastAsiaTheme="minorEastAsia"/>
              </w:rPr>
              <w:t>（3）</w:t>
            </w:r>
          </w:p>
        </w:tc>
        <w:tc>
          <w:tcPr>
            <w:tcW w:w="1012" w:type="dxa"/>
            <w:vMerge w:val="restart"/>
            <w:tcBorders>
              <w:top w:val="single" w:color="auto" w:sz="4" w:space="0"/>
              <w:left w:val="single" w:color="auto" w:sz="4" w:space="0"/>
              <w:bottom w:val="single" w:color="auto" w:sz="4" w:space="0"/>
              <w:right w:val="single" w:color="auto" w:sz="4" w:space="0"/>
            </w:tcBorders>
            <w:vAlign w:val="center"/>
          </w:tcPr>
          <w:p>
            <w:pPr>
              <w:pStyle w:val="33"/>
              <w:snapToGrid w:val="0"/>
              <w:spacing w:line="360" w:lineRule="auto"/>
              <w:ind w:left="141" w:right="127"/>
              <w:rPr>
                <w:rFonts w:asciiTheme="minorEastAsia" w:hAnsiTheme="minorEastAsia" w:eastAsiaTheme="minorEastAsia"/>
              </w:rPr>
            </w:pPr>
            <w:r>
              <w:rPr>
                <w:rFonts w:hint="eastAsia" w:asciiTheme="minorEastAsia" w:hAnsiTheme="minorEastAsia" w:eastAsiaTheme="minorEastAsia"/>
              </w:rPr>
              <w:t>竞选</w:t>
            </w:r>
            <w:r>
              <w:rPr>
                <w:rFonts w:asciiTheme="minorEastAsia" w:hAnsiTheme="minorEastAsia" w:eastAsiaTheme="minorEastAsia"/>
              </w:rPr>
              <w:t>报价评分标准</w:t>
            </w:r>
            <w:r>
              <w:rPr>
                <w:rFonts w:hint="eastAsia" w:asciiTheme="minorEastAsia" w:hAnsiTheme="minorEastAsia" w:eastAsiaTheme="minorEastAsia"/>
              </w:rPr>
              <w:t>（</w:t>
            </w:r>
            <w:r>
              <w:rPr>
                <w:rFonts w:asciiTheme="minorEastAsia" w:hAnsiTheme="minorEastAsia" w:eastAsiaTheme="minorEastAsia"/>
              </w:rPr>
              <w:t>C</w:t>
            </w:r>
            <w:r>
              <w:rPr>
                <w:rFonts w:hint="eastAsia" w:asciiTheme="minorEastAsia" w:hAnsiTheme="minorEastAsia" w:eastAsiaTheme="minorEastAsia"/>
              </w:rPr>
              <w:t>）</w:t>
            </w:r>
          </w:p>
        </w:tc>
        <w:tc>
          <w:tcPr>
            <w:tcW w:w="2477" w:type="dxa"/>
            <w:tcBorders>
              <w:top w:val="single" w:color="auto" w:sz="4" w:space="0"/>
              <w:left w:val="single" w:color="auto" w:sz="4" w:space="0"/>
              <w:bottom w:val="single" w:color="auto" w:sz="4" w:space="0"/>
              <w:right w:val="single" w:color="auto" w:sz="4" w:space="0"/>
            </w:tcBorders>
            <w:vAlign w:val="center"/>
          </w:tcPr>
          <w:p>
            <w:pPr>
              <w:pStyle w:val="33"/>
              <w:snapToGrid w:val="0"/>
              <w:spacing w:line="360" w:lineRule="auto"/>
              <w:ind w:left="62" w:right="52"/>
              <w:jc w:val="center"/>
              <w:rPr>
                <w:rFonts w:asciiTheme="minorEastAsia" w:hAnsiTheme="minorEastAsia" w:eastAsiaTheme="minorEastAsia"/>
              </w:rPr>
            </w:pPr>
            <w:r>
              <w:rPr>
                <w:rFonts w:asciiTheme="minorEastAsia" w:hAnsiTheme="minorEastAsia" w:eastAsiaTheme="minorEastAsia"/>
              </w:rPr>
              <w:t>偏差率</w:t>
            </w:r>
          </w:p>
        </w:tc>
        <w:tc>
          <w:tcPr>
            <w:tcW w:w="4681" w:type="dxa"/>
            <w:tcBorders>
              <w:top w:val="single" w:color="auto" w:sz="4" w:space="0"/>
              <w:left w:val="single" w:color="auto" w:sz="4" w:space="0"/>
              <w:bottom w:val="single" w:color="auto" w:sz="4" w:space="0"/>
              <w:right w:val="single" w:color="auto" w:sz="4" w:space="0"/>
            </w:tcBorders>
            <w:vAlign w:val="center"/>
          </w:tcPr>
          <w:p>
            <w:pPr>
              <w:pStyle w:val="33"/>
              <w:snapToGrid w:val="0"/>
              <w:spacing w:line="360" w:lineRule="auto"/>
              <w:ind w:left="62" w:right="52"/>
              <w:jc w:val="center"/>
              <w:rPr>
                <w:rFonts w:asciiTheme="minorEastAsia" w:hAnsiTheme="minorEastAsia" w:eastAsiaTheme="minorEastAsia"/>
                <w:i/>
              </w:rPr>
            </w:pPr>
            <w:r>
              <w:rPr>
                <w:rFonts w:hint="eastAsia" w:asciiTheme="minorEastAsia" w:hAnsiTheme="minorEastAsia" w:eastAsiaTheme="minorEastAsia"/>
              </w:rPr>
              <w:t>无限制</w:t>
            </w:r>
          </w:p>
        </w:tc>
      </w:tr>
      <w:tr>
        <w:tblPrEx>
          <w:tblLayout w:type="fixed"/>
          <w:tblCellMar>
            <w:top w:w="0" w:type="dxa"/>
            <w:left w:w="0" w:type="dxa"/>
            <w:bottom w:w="0" w:type="dxa"/>
            <w:right w:w="0" w:type="dxa"/>
          </w:tblCellMar>
        </w:tblPrEx>
        <w:trPr>
          <w:trHeight w:val="567" w:hRule="atLeast"/>
        </w:trPr>
        <w:tc>
          <w:tcPr>
            <w:tcW w:w="101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Theme="minorEastAsia" w:hAnsiTheme="minorEastAsia" w:eastAsiaTheme="minorEastAsia"/>
                <w:sz w:val="2"/>
                <w:szCs w:val="2"/>
              </w:rPr>
            </w:pPr>
          </w:p>
        </w:tc>
        <w:tc>
          <w:tcPr>
            <w:tcW w:w="1012"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Theme="minorEastAsia" w:hAnsiTheme="minorEastAsia" w:eastAsiaTheme="minorEastAsia"/>
                <w:sz w:val="2"/>
                <w:szCs w:val="2"/>
              </w:rPr>
            </w:pPr>
          </w:p>
        </w:tc>
        <w:tc>
          <w:tcPr>
            <w:tcW w:w="2477" w:type="dxa"/>
            <w:tcBorders>
              <w:top w:val="single" w:color="auto" w:sz="4" w:space="0"/>
              <w:left w:val="single" w:color="auto" w:sz="4" w:space="0"/>
              <w:bottom w:val="single" w:color="auto" w:sz="4" w:space="0"/>
              <w:right w:val="single" w:color="auto" w:sz="4" w:space="0"/>
            </w:tcBorders>
            <w:vAlign w:val="center"/>
          </w:tcPr>
          <w:p>
            <w:pPr>
              <w:pStyle w:val="33"/>
              <w:snapToGrid w:val="0"/>
              <w:spacing w:line="360" w:lineRule="auto"/>
              <w:ind w:left="62" w:right="52"/>
              <w:jc w:val="center"/>
              <w:rPr>
                <w:rFonts w:asciiTheme="minorEastAsia" w:hAnsiTheme="minorEastAsia" w:eastAsiaTheme="minorEastAsia"/>
                <w:i/>
              </w:rPr>
            </w:pPr>
            <w:r>
              <w:rPr>
                <w:rFonts w:hint="eastAsia" w:asciiTheme="minorEastAsia" w:hAnsiTheme="minorEastAsia" w:eastAsiaTheme="minorEastAsia"/>
              </w:rPr>
              <w:t>竞选报价</w:t>
            </w:r>
          </w:p>
        </w:tc>
        <w:tc>
          <w:tcPr>
            <w:tcW w:w="4681" w:type="dxa"/>
            <w:tcBorders>
              <w:top w:val="single" w:color="auto" w:sz="4" w:space="0"/>
              <w:left w:val="single" w:color="auto" w:sz="4" w:space="0"/>
              <w:bottom w:val="single" w:color="auto" w:sz="4" w:space="0"/>
              <w:right w:val="single" w:color="auto" w:sz="4" w:space="0"/>
            </w:tcBorders>
            <w:vAlign w:val="center"/>
          </w:tcPr>
          <w:p>
            <w:pPr>
              <w:pStyle w:val="33"/>
              <w:snapToGrid w:val="0"/>
              <w:spacing w:line="360" w:lineRule="auto"/>
              <w:ind w:left="61" w:right="52" w:firstLine="420" w:firstLineChars="200"/>
              <w:rPr>
                <w:rFonts w:asciiTheme="minorEastAsia" w:hAnsiTheme="minorEastAsia" w:eastAsiaTheme="minorEastAsia"/>
              </w:rPr>
            </w:pPr>
            <w:r>
              <w:rPr>
                <w:rFonts w:hint="eastAsia" w:asciiTheme="minorEastAsia" w:hAnsiTheme="minorEastAsia" w:eastAsiaTheme="minorEastAsia"/>
              </w:rPr>
              <w:t>竞选总报价偏差在允许范围内的（含上、下限值），得本附表</w:t>
            </w:r>
            <w:r>
              <w:rPr>
                <w:rFonts w:asciiTheme="minorEastAsia" w:hAnsiTheme="minorEastAsia" w:eastAsiaTheme="minorEastAsia"/>
              </w:rPr>
              <w:t>2.2.1规定分值的满分</w:t>
            </w:r>
            <w:r>
              <w:rPr>
                <w:rFonts w:hint="eastAsia" w:asciiTheme="minorEastAsia" w:hAnsiTheme="minorEastAsia" w:eastAsiaTheme="minorEastAsia"/>
              </w:rPr>
              <w:t>85</w:t>
            </w:r>
            <w:r>
              <w:rPr>
                <w:rFonts w:asciiTheme="minorEastAsia" w:hAnsiTheme="minorEastAsia" w:eastAsiaTheme="minorEastAsia"/>
              </w:rPr>
              <w:t>分。在此基础上，</w:t>
            </w:r>
            <w:r>
              <w:rPr>
                <w:rFonts w:hint="eastAsia" w:asciiTheme="minorEastAsia" w:hAnsiTheme="minorEastAsia" w:eastAsiaTheme="minorEastAsia"/>
              </w:rPr>
              <w:t>竞选</w:t>
            </w:r>
            <w:r>
              <w:rPr>
                <w:rFonts w:asciiTheme="minorEastAsia" w:hAnsiTheme="minorEastAsia" w:eastAsiaTheme="minorEastAsia"/>
              </w:rPr>
              <w:t>总报价与评标基准价相比，每增加1％扣</w:t>
            </w:r>
            <w:r>
              <w:rPr>
                <w:rFonts w:hint="eastAsia" w:asciiTheme="minorEastAsia" w:hAnsiTheme="minorEastAsia" w:eastAsiaTheme="minorEastAsia"/>
              </w:rPr>
              <w:t>0.4</w:t>
            </w:r>
            <w:r>
              <w:rPr>
                <w:rFonts w:asciiTheme="minorEastAsia" w:hAnsiTheme="minorEastAsia" w:eastAsiaTheme="minorEastAsia"/>
              </w:rPr>
              <w:t>分，每减少1％扣</w:t>
            </w:r>
            <w:r>
              <w:rPr>
                <w:rFonts w:hint="eastAsia" w:asciiTheme="minorEastAsia" w:hAnsiTheme="minorEastAsia" w:eastAsiaTheme="minorEastAsia"/>
              </w:rPr>
              <w:t>0.2</w:t>
            </w:r>
            <w:r>
              <w:rPr>
                <w:rFonts w:asciiTheme="minorEastAsia" w:hAnsiTheme="minorEastAsia" w:eastAsiaTheme="minorEastAsia"/>
              </w:rPr>
              <w:t>分, 扣完为止。</w:t>
            </w:r>
          </w:p>
          <w:p>
            <w:pPr>
              <w:pStyle w:val="33"/>
              <w:snapToGrid w:val="0"/>
              <w:spacing w:line="360" w:lineRule="auto"/>
              <w:ind w:left="61" w:right="52"/>
              <w:rPr>
                <w:rFonts w:asciiTheme="minorEastAsia" w:hAnsiTheme="minorEastAsia" w:eastAsiaTheme="minorEastAsia"/>
              </w:rPr>
            </w:pPr>
            <w:r>
              <w:rPr>
                <w:rFonts w:hint="eastAsia" w:asciiTheme="minorEastAsia" w:hAnsiTheme="minorEastAsia" w:eastAsiaTheme="minorEastAsia"/>
              </w:rPr>
              <w:t>按插入法计算得分。</w:t>
            </w:r>
          </w:p>
          <w:p>
            <w:pPr>
              <w:pStyle w:val="33"/>
              <w:snapToGrid w:val="0"/>
              <w:spacing w:line="360" w:lineRule="auto"/>
              <w:ind w:left="61" w:right="52" w:firstLine="420" w:firstLineChars="200"/>
              <w:rPr>
                <w:rFonts w:asciiTheme="minorEastAsia" w:hAnsiTheme="minorEastAsia" w:eastAsiaTheme="minorEastAsia"/>
              </w:rPr>
            </w:pPr>
            <w:r>
              <w:rPr>
                <w:rFonts w:hint="eastAsia" w:asciiTheme="minorEastAsia" w:hAnsiTheme="minorEastAsia" w:eastAsiaTheme="minorEastAsia"/>
              </w:rPr>
              <w:t>在偏差范围内，未参与评标基准价计算的竞选报价，仍应参加计算相应分值。</w:t>
            </w:r>
          </w:p>
          <w:p>
            <w:pPr>
              <w:pStyle w:val="33"/>
              <w:snapToGrid w:val="0"/>
              <w:spacing w:line="360" w:lineRule="auto"/>
              <w:ind w:left="61" w:right="52" w:firstLine="420" w:firstLineChars="200"/>
              <w:rPr>
                <w:rFonts w:asciiTheme="minorEastAsia" w:hAnsiTheme="minorEastAsia" w:eastAsiaTheme="minorEastAsia"/>
                <w:i/>
              </w:rPr>
            </w:pPr>
            <w:r>
              <w:rPr>
                <w:rFonts w:hint="eastAsia" w:asciiTheme="minorEastAsia" w:hAnsiTheme="minorEastAsia" w:eastAsiaTheme="minorEastAsia"/>
              </w:rPr>
              <w:t>以上计算取小数点后两位，第三位四舍五入。</w:t>
            </w:r>
          </w:p>
        </w:tc>
      </w:tr>
      <w:tr>
        <w:tblPrEx>
          <w:tblLayout w:type="fixed"/>
          <w:tblCellMar>
            <w:top w:w="0" w:type="dxa"/>
            <w:left w:w="0" w:type="dxa"/>
            <w:bottom w:w="0" w:type="dxa"/>
            <w:right w:w="0" w:type="dxa"/>
          </w:tblCellMar>
        </w:tblPrEx>
        <w:trPr>
          <w:trHeight w:val="567" w:hRule="atLeast"/>
        </w:trPr>
        <w:tc>
          <w:tcPr>
            <w:tcW w:w="1011" w:type="dxa"/>
            <w:tcBorders>
              <w:top w:val="single" w:color="auto" w:sz="4" w:space="0"/>
              <w:left w:val="single" w:color="auto" w:sz="4" w:space="0"/>
              <w:bottom w:val="single" w:color="auto" w:sz="4" w:space="0"/>
              <w:right w:val="single" w:color="auto" w:sz="4" w:space="0"/>
            </w:tcBorders>
            <w:vAlign w:val="center"/>
          </w:tcPr>
          <w:p>
            <w:pPr>
              <w:pStyle w:val="33"/>
              <w:snapToGrid w:val="0"/>
              <w:spacing w:line="360" w:lineRule="auto"/>
              <w:ind w:left="187"/>
              <w:rPr>
                <w:rFonts w:asciiTheme="minorEastAsia" w:hAnsiTheme="minorEastAsia" w:eastAsiaTheme="minorEastAsia"/>
              </w:rPr>
            </w:pPr>
            <w:r>
              <w:rPr>
                <w:rFonts w:hint="eastAsia" w:asciiTheme="minorEastAsia" w:hAnsiTheme="minorEastAsia" w:eastAsiaTheme="minorEastAsia"/>
              </w:rPr>
              <w:t>3.2.3</w:t>
            </w:r>
          </w:p>
        </w:tc>
        <w:tc>
          <w:tcPr>
            <w:tcW w:w="3489" w:type="dxa"/>
            <w:gridSpan w:val="2"/>
            <w:tcBorders>
              <w:top w:val="single" w:color="auto" w:sz="4" w:space="0"/>
              <w:left w:val="single" w:color="auto" w:sz="4" w:space="0"/>
              <w:bottom w:val="single" w:color="auto" w:sz="4" w:space="0"/>
              <w:right w:val="single" w:color="auto" w:sz="4" w:space="0"/>
            </w:tcBorders>
            <w:vAlign w:val="center"/>
          </w:tcPr>
          <w:p>
            <w:pPr>
              <w:pStyle w:val="33"/>
              <w:snapToGrid w:val="0"/>
              <w:spacing w:line="360" w:lineRule="auto"/>
              <w:ind w:left="141"/>
              <w:jc w:val="center"/>
              <w:rPr>
                <w:rFonts w:asciiTheme="minorEastAsia" w:hAnsiTheme="minorEastAsia" w:eastAsiaTheme="minorEastAsia"/>
              </w:rPr>
            </w:pPr>
            <w:r>
              <w:rPr>
                <w:rFonts w:hint="eastAsia" w:asciiTheme="minorEastAsia" w:hAnsiTheme="minorEastAsia" w:eastAsiaTheme="minorEastAsia"/>
              </w:rPr>
              <w:t>竞选人得分</w:t>
            </w:r>
          </w:p>
        </w:tc>
        <w:tc>
          <w:tcPr>
            <w:tcW w:w="4681" w:type="dxa"/>
            <w:tcBorders>
              <w:top w:val="single" w:color="auto" w:sz="4" w:space="0"/>
              <w:left w:val="single" w:color="auto" w:sz="4" w:space="0"/>
              <w:bottom w:val="single" w:color="auto" w:sz="4" w:space="0"/>
              <w:right w:val="single" w:color="auto" w:sz="4" w:space="0"/>
            </w:tcBorders>
            <w:vAlign w:val="center"/>
          </w:tcPr>
          <w:p>
            <w:pPr>
              <w:pStyle w:val="33"/>
              <w:snapToGrid w:val="0"/>
              <w:spacing w:line="360" w:lineRule="auto"/>
              <w:ind w:left="61" w:right="52"/>
              <w:jc w:val="center"/>
              <w:rPr>
                <w:rFonts w:asciiTheme="minorEastAsia" w:hAnsiTheme="minorEastAsia" w:eastAsiaTheme="minorEastAsia"/>
                <w:i/>
              </w:rPr>
            </w:pPr>
            <w:r>
              <w:rPr>
                <w:rFonts w:hint="eastAsia" w:asciiTheme="minorEastAsia" w:hAnsiTheme="minorEastAsia" w:eastAsiaTheme="minorEastAsia"/>
              </w:rPr>
              <w:t xml:space="preserve">竞选人得分 </w:t>
            </w:r>
            <w:r>
              <w:rPr>
                <w:rFonts w:asciiTheme="minorEastAsia" w:hAnsiTheme="minorEastAsia" w:eastAsiaTheme="minorEastAsia"/>
              </w:rPr>
              <w:t>= A + C</w:t>
            </w:r>
          </w:p>
        </w:tc>
      </w:tr>
    </w:tbl>
    <w:p/>
    <w:p/>
    <w:p>
      <w:pPr>
        <w:autoSpaceDE w:val="0"/>
        <w:autoSpaceDN w:val="0"/>
        <w:adjustRightInd w:val="0"/>
        <w:spacing w:before="9" w:line="360" w:lineRule="auto"/>
        <w:ind w:right="-20"/>
        <w:jc w:val="left"/>
        <w:rPr>
          <w:rFonts w:ascii="宋体" w:hAnsi="宋体" w:cs="宋体"/>
          <w:b/>
          <w:sz w:val="24"/>
        </w:rPr>
      </w:pPr>
      <w:r>
        <w:rPr>
          <w:rFonts w:hint="eastAsia" w:ascii="宋体" w:hAnsi="宋体" w:cs="宋体"/>
          <w:b/>
          <w:sz w:val="24"/>
        </w:rPr>
        <w:br w:type="page"/>
      </w:r>
    </w:p>
    <w:p>
      <w:pPr>
        <w:autoSpaceDE w:val="0"/>
        <w:autoSpaceDN w:val="0"/>
        <w:adjustRightInd w:val="0"/>
        <w:spacing w:before="9" w:line="360" w:lineRule="auto"/>
        <w:ind w:right="-20"/>
        <w:jc w:val="left"/>
        <w:rPr>
          <w:rFonts w:ascii="宋体" w:hAnsi="宋体" w:cs="宋体"/>
          <w:b/>
          <w:sz w:val="24"/>
        </w:rPr>
      </w:pPr>
      <w:r>
        <w:rPr>
          <w:rFonts w:hint="eastAsia" w:ascii="宋体" w:hAnsi="宋体" w:cs="宋体"/>
          <w:b/>
          <w:sz w:val="24"/>
        </w:rPr>
        <w:t>附件A：废标条件</w:t>
      </w:r>
    </w:p>
    <w:p>
      <w:pPr>
        <w:pStyle w:val="13"/>
        <w:spacing w:line="360" w:lineRule="auto"/>
        <w:rPr>
          <w:rFonts w:ascii="宋体" w:hAnsi="宋体" w:cs="宋体"/>
          <w:b w:val="0"/>
          <w:sz w:val="28"/>
          <w:szCs w:val="28"/>
        </w:rPr>
      </w:pPr>
      <w:bookmarkStart w:id="101" w:name="招标文件03章02评标办法综合评估法02附件02"/>
      <w:bookmarkEnd w:id="101"/>
      <w:bookmarkStart w:id="102" w:name="招标文件04章合同条款及格式"/>
      <w:bookmarkEnd w:id="102"/>
      <w:bookmarkStart w:id="103" w:name="_Toc230410480"/>
      <w:bookmarkStart w:id="104" w:name="_Toc6907"/>
      <w:r>
        <w:rPr>
          <w:rFonts w:hint="eastAsia" w:ascii="宋体" w:hAnsi="宋体" w:cs="宋体"/>
          <w:b w:val="0"/>
          <w:sz w:val="28"/>
          <w:szCs w:val="28"/>
        </w:rPr>
        <w:t>附件A：废标情况一览表</w:t>
      </w:r>
      <w:bookmarkEnd w:id="103"/>
      <w:bookmarkEnd w:id="104"/>
    </w:p>
    <w:p>
      <w:pPr>
        <w:pStyle w:val="13"/>
        <w:spacing w:line="360" w:lineRule="auto"/>
        <w:ind w:firstLine="643" w:firstLineChars="200"/>
        <w:jc w:val="both"/>
        <w:rPr>
          <w:rFonts w:ascii="宋体" w:hAnsi="宋体" w:cs="宋体"/>
        </w:rPr>
      </w:pPr>
      <w:bookmarkStart w:id="105" w:name="_Toc28769"/>
      <w:r>
        <w:rPr>
          <w:rFonts w:hint="eastAsia" w:ascii="宋体" w:hAnsi="宋体" w:cs="宋体"/>
        </w:rPr>
        <w:t>一览表废标条件之外的评标委员会不得判为重大偏差，竞选文件中有一项被视为重大偏差，其竞选文件按废标处理。</w:t>
      </w:r>
      <w:bookmarkEnd w:id="105"/>
    </w:p>
    <w:tbl>
      <w:tblPr>
        <w:tblStyle w:val="18"/>
        <w:tblW w:w="975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43"/>
        <w:gridCol w:w="1559"/>
        <w:gridCol w:w="64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43" w:type="dxa"/>
          </w:tcPr>
          <w:p>
            <w:pPr>
              <w:snapToGrid w:val="0"/>
              <w:spacing w:line="360" w:lineRule="auto"/>
              <w:jc w:val="center"/>
              <w:rPr>
                <w:rFonts w:ascii="宋体"/>
                <w:b/>
                <w:sz w:val="18"/>
                <w:szCs w:val="18"/>
              </w:rPr>
            </w:pPr>
            <w:r>
              <w:rPr>
                <w:rFonts w:hint="eastAsia" w:ascii="宋体" w:hAnsi="宋体"/>
                <w:b/>
                <w:sz w:val="18"/>
                <w:szCs w:val="18"/>
              </w:rPr>
              <w:t>比选文件章节号</w:t>
            </w:r>
          </w:p>
        </w:tc>
        <w:tc>
          <w:tcPr>
            <w:tcW w:w="1559" w:type="dxa"/>
          </w:tcPr>
          <w:p>
            <w:pPr>
              <w:snapToGrid w:val="0"/>
              <w:spacing w:line="360" w:lineRule="auto"/>
              <w:jc w:val="center"/>
              <w:rPr>
                <w:rFonts w:ascii="宋体"/>
                <w:b/>
                <w:sz w:val="18"/>
                <w:szCs w:val="18"/>
              </w:rPr>
            </w:pPr>
            <w:r>
              <w:rPr>
                <w:rFonts w:hint="eastAsia" w:ascii="宋体" w:hAnsi="宋体"/>
                <w:b/>
                <w:sz w:val="18"/>
                <w:szCs w:val="18"/>
              </w:rPr>
              <w:t>条款名称</w:t>
            </w:r>
          </w:p>
        </w:tc>
        <w:tc>
          <w:tcPr>
            <w:tcW w:w="6451" w:type="dxa"/>
          </w:tcPr>
          <w:p>
            <w:pPr>
              <w:snapToGrid w:val="0"/>
              <w:spacing w:line="360" w:lineRule="auto"/>
              <w:jc w:val="center"/>
              <w:rPr>
                <w:rFonts w:ascii="宋体"/>
                <w:b/>
                <w:sz w:val="18"/>
                <w:szCs w:val="18"/>
              </w:rPr>
            </w:pPr>
            <w:r>
              <w:rPr>
                <w:rFonts w:hint="eastAsia" w:ascii="宋体" w:hAnsi="宋体"/>
                <w:b/>
                <w:sz w:val="18"/>
                <w:szCs w:val="18"/>
              </w:rPr>
              <w:t>否决竞选的情形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7" w:hRule="atLeast"/>
          <w:jc w:val="center"/>
        </w:trPr>
        <w:tc>
          <w:tcPr>
            <w:tcW w:w="1743" w:type="dxa"/>
            <w:tcBorders>
              <w:top w:val="single" w:color="auto" w:sz="4" w:space="0"/>
            </w:tcBorders>
            <w:vAlign w:val="center"/>
          </w:tcPr>
          <w:p>
            <w:pPr>
              <w:snapToGrid w:val="0"/>
              <w:spacing w:line="360" w:lineRule="auto"/>
              <w:ind w:firstLine="360" w:firstLineChars="200"/>
              <w:jc w:val="center"/>
              <w:rPr>
                <w:rFonts w:ascii="宋体"/>
                <w:sz w:val="18"/>
                <w:szCs w:val="18"/>
              </w:rPr>
            </w:pPr>
            <w:r>
              <w:rPr>
                <w:rFonts w:hint="eastAsia" w:ascii="宋体" w:hAnsi="宋体" w:cs="MingLiUfalt"/>
                <w:snapToGrid w:val="0"/>
                <w:kern w:val="0"/>
                <w:sz w:val="18"/>
                <w:szCs w:val="18"/>
              </w:rPr>
              <w:t>第二章</w:t>
            </w:r>
          </w:p>
        </w:tc>
        <w:tc>
          <w:tcPr>
            <w:tcW w:w="1559" w:type="dxa"/>
            <w:tcBorders>
              <w:top w:val="single" w:color="auto" w:sz="4" w:space="0"/>
            </w:tcBorders>
            <w:vAlign w:val="center"/>
          </w:tcPr>
          <w:p>
            <w:pPr>
              <w:snapToGrid w:val="0"/>
              <w:spacing w:line="360" w:lineRule="auto"/>
              <w:ind w:firstLine="360" w:firstLineChars="200"/>
              <w:jc w:val="center"/>
              <w:rPr>
                <w:rFonts w:ascii="宋体"/>
                <w:sz w:val="18"/>
                <w:szCs w:val="18"/>
              </w:rPr>
            </w:pPr>
            <w:r>
              <w:rPr>
                <w:rFonts w:hint="eastAsia" w:ascii="宋体" w:hAnsi="宋体" w:cs="MingLiUfalt"/>
                <w:snapToGrid w:val="0"/>
                <w:kern w:val="0"/>
                <w:sz w:val="18"/>
                <w:szCs w:val="18"/>
              </w:rPr>
              <w:t>竞选报价</w:t>
            </w:r>
          </w:p>
        </w:tc>
        <w:tc>
          <w:tcPr>
            <w:tcW w:w="6451" w:type="dxa"/>
            <w:tcBorders>
              <w:top w:val="single" w:color="auto" w:sz="4" w:space="0"/>
            </w:tcBorders>
          </w:tcPr>
          <w:p>
            <w:pPr>
              <w:snapToGrid w:val="0"/>
              <w:spacing w:line="360" w:lineRule="auto"/>
              <w:ind w:firstLine="360" w:firstLineChars="200"/>
              <w:rPr>
                <w:rFonts w:ascii="宋体"/>
                <w:sz w:val="18"/>
                <w:szCs w:val="18"/>
              </w:rPr>
            </w:pPr>
            <w:r>
              <w:rPr>
                <w:rFonts w:hint="eastAsia" w:ascii="宋体" w:hAnsi="宋体" w:cs="MingLiUfalt"/>
                <w:snapToGrid w:val="0"/>
                <w:kern w:val="0"/>
                <w:sz w:val="18"/>
                <w:szCs w:val="18"/>
              </w:rPr>
              <w:t>竞选人的竞选报价超过最高限价的。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43" w:type="dxa"/>
            <w:vAlign w:val="center"/>
          </w:tcPr>
          <w:p>
            <w:pPr>
              <w:snapToGrid w:val="0"/>
              <w:spacing w:line="360" w:lineRule="auto"/>
              <w:ind w:firstLine="360" w:firstLineChars="200"/>
              <w:jc w:val="center"/>
              <w:rPr>
                <w:rFonts w:ascii="宋体"/>
                <w:sz w:val="18"/>
                <w:szCs w:val="18"/>
              </w:rPr>
            </w:pPr>
            <w:r>
              <w:rPr>
                <w:rFonts w:hint="eastAsia" w:ascii="宋体" w:hAnsi="宋体" w:cs="MingLiUfalt"/>
                <w:snapToGrid w:val="0"/>
                <w:kern w:val="0"/>
                <w:sz w:val="18"/>
                <w:szCs w:val="18"/>
              </w:rPr>
              <w:t>第二章</w:t>
            </w:r>
          </w:p>
        </w:tc>
        <w:tc>
          <w:tcPr>
            <w:tcW w:w="1559" w:type="dxa"/>
            <w:vAlign w:val="center"/>
          </w:tcPr>
          <w:p>
            <w:pPr>
              <w:snapToGrid w:val="0"/>
              <w:spacing w:line="360" w:lineRule="auto"/>
              <w:ind w:firstLine="360" w:firstLineChars="200"/>
              <w:jc w:val="center"/>
              <w:rPr>
                <w:rFonts w:ascii="宋体"/>
                <w:sz w:val="18"/>
                <w:szCs w:val="18"/>
              </w:rPr>
            </w:pPr>
            <w:r>
              <w:rPr>
                <w:rFonts w:hint="eastAsia" w:ascii="宋体" w:hAnsi="宋体" w:cs="MingLiUfalt"/>
                <w:snapToGrid w:val="0"/>
                <w:kern w:val="0"/>
                <w:sz w:val="18"/>
                <w:szCs w:val="18"/>
              </w:rPr>
              <w:t>竞选保证金</w:t>
            </w:r>
          </w:p>
        </w:tc>
        <w:tc>
          <w:tcPr>
            <w:tcW w:w="6451" w:type="dxa"/>
          </w:tcPr>
          <w:p>
            <w:pPr>
              <w:snapToGrid w:val="0"/>
              <w:spacing w:line="360" w:lineRule="auto"/>
              <w:ind w:firstLine="360" w:firstLineChars="200"/>
              <w:rPr>
                <w:rFonts w:ascii="宋体"/>
                <w:sz w:val="18"/>
                <w:szCs w:val="18"/>
              </w:rPr>
            </w:pPr>
            <w:r>
              <w:rPr>
                <w:rFonts w:hint="eastAsia" w:ascii="宋体" w:hAnsi="宋体" w:cs="MingLiUfalt"/>
                <w:snapToGrid w:val="0"/>
                <w:kern w:val="0"/>
                <w:sz w:val="18"/>
                <w:szCs w:val="18"/>
              </w:rPr>
              <w:t>竞选人在递交竞选文件的同时，未按第二章竞选人须知前附规定的金额、担保形式和第六章“竞选文件格式”规定的竞选保证金格式递交竞选保证金。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2" w:hRule="atLeast"/>
          <w:jc w:val="center"/>
        </w:trPr>
        <w:tc>
          <w:tcPr>
            <w:tcW w:w="1743" w:type="dxa"/>
            <w:vAlign w:val="center"/>
          </w:tcPr>
          <w:p>
            <w:pPr>
              <w:snapToGrid w:val="0"/>
              <w:spacing w:line="360" w:lineRule="auto"/>
              <w:ind w:firstLine="360" w:firstLineChars="200"/>
              <w:jc w:val="center"/>
              <w:rPr>
                <w:sz w:val="18"/>
                <w:szCs w:val="18"/>
              </w:rPr>
            </w:pPr>
            <w:r>
              <w:rPr>
                <w:rFonts w:hint="eastAsia" w:ascii="宋体" w:hAnsi="宋体" w:cs="MingLiUfalt"/>
                <w:snapToGrid w:val="0"/>
                <w:kern w:val="0"/>
                <w:sz w:val="18"/>
                <w:szCs w:val="18"/>
              </w:rPr>
              <w:t>第二章</w:t>
            </w:r>
          </w:p>
        </w:tc>
        <w:tc>
          <w:tcPr>
            <w:tcW w:w="1559" w:type="dxa"/>
            <w:vAlign w:val="center"/>
          </w:tcPr>
          <w:p>
            <w:pPr>
              <w:snapToGrid w:val="0"/>
              <w:spacing w:line="360" w:lineRule="auto"/>
              <w:ind w:firstLine="360" w:firstLineChars="200"/>
              <w:jc w:val="center"/>
              <w:rPr>
                <w:rFonts w:ascii="宋体"/>
                <w:sz w:val="18"/>
                <w:szCs w:val="18"/>
              </w:rPr>
            </w:pPr>
            <w:r>
              <w:rPr>
                <w:rFonts w:hint="eastAsia" w:ascii="宋体" w:hAnsi="宋体" w:cs="MingLiUfalt"/>
                <w:snapToGrid w:val="0"/>
                <w:kern w:val="0"/>
                <w:sz w:val="18"/>
                <w:szCs w:val="18"/>
              </w:rPr>
              <w:t>竞选文件份数</w:t>
            </w:r>
          </w:p>
        </w:tc>
        <w:tc>
          <w:tcPr>
            <w:tcW w:w="6451" w:type="dxa"/>
          </w:tcPr>
          <w:p>
            <w:pPr>
              <w:snapToGrid w:val="0"/>
              <w:spacing w:line="360" w:lineRule="auto"/>
              <w:ind w:firstLine="360" w:firstLineChars="200"/>
              <w:rPr>
                <w:rFonts w:ascii="宋体"/>
                <w:bCs/>
                <w:sz w:val="18"/>
                <w:szCs w:val="18"/>
              </w:rPr>
            </w:pPr>
            <w:r>
              <w:rPr>
                <w:rFonts w:hint="eastAsia" w:ascii="宋体" w:hAnsi="宋体" w:cs="MingLiUfalt"/>
                <w:snapToGrid w:val="0"/>
                <w:kern w:val="0"/>
                <w:sz w:val="18"/>
                <w:szCs w:val="18"/>
              </w:rPr>
              <w:t>竞选文件份数不符合比选文件第二章竞选人须知前附表要求的。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2" w:hRule="atLeast"/>
          <w:jc w:val="center"/>
        </w:trPr>
        <w:tc>
          <w:tcPr>
            <w:tcW w:w="1743" w:type="dxa"/>
            <w:vAlign w:val="center"/>
          </w:tcPr>
          <w:p>
            <w:pPr>
              <w:snapToGrid w:val="0"/>
              <w:spacing w:line="360" w:lineRule="auto"/>
              <w:ind w:firstLine="360" w:firstLineChars="200"/>
              <w:jc w:val="center"/>
              <w:rPr>
                <w:sz w:val="18"/>
                <w:szCs w:val="18"/>
              </w:rPr>
            </w:pPr>
            <w:r>
              <w:rPr>
                <w:rFonts w:hint="eastAsia" w:ascii="宋体" w:hAnsi="宋体" w:cs="MingLiUfalt"/>
                <w:snapToGrid w:val="0"/>
                <w:kern w:val="0"/>
                <w:sz w:val="18"/>
                <w:szCs w:val="18"/>
              </w:rPr>
              <w:t>第二章</w:t>
            </w:r>
          </w:p>
        </w:tc>
        <w:tc>
          <w:tcPr>
            <w:tcW w:w="1559" w:type="dxa"/>
            <w:vAlign w:val="center"/>
          </w:tcPr>
          <w:p>
            <w:pPr>
              <w:snapToGrid w:val="0"/>
              <w:spacing w:line="360" w:lineRule="auto"/>
              <w:ind w:firstLine="360" w:firstLineChars="200"/>
              <w:jc w:val="center"/>
              <w:rPr>
                <w:rFonts w:ascii="宋体"/>
                <w:sz w:val="18"/>
                <w:szCs w:val="18"/>
              </w:rPr>
            </w:pPr>
            <w:r>
              <w:rPr>
                <w:rFonts w:hint="eastAsia" w:ascii="宋体" w:hAnsi="宋体" w:cs="MingLiUfalt"/>
                <w:snapToGrid w:val="0"/>
                <w:kern w:val="0"/>
                <w:sz w:val="18"/>
                <w:szCs w:val="18"/>
              </w:rPr>
              <w:t>装订要求</w:t>
            </w:r>
          </w:p>
        </w:tc>
        <w:tc>
          <w:tcPr>
            <w:tcW w:w="6451" w:type="dxa"/>
          </w:tcPr>
          <w:p>
            <w:pPr>
              <w:snapToGrid w:val="0"/>
              <w:spacing w:line="360" w:lineRule="auto"/>
              <w:ind w:firstLine="360" w:firstLineChars="200"/>
              <w:rPr>
                <w:rFonts w:ascii="宋体"/>
                <w:bCs/>
                <w:sz w:val="18"/>
                <w:szCs w:val="18"/>
              </w:rPr>
            </w:pPr>
            <w:r>
              <w:rPr>
                <w:rFonts w:hint="eastAsia" w:ascii="宋体" w:hAnsi="宋体" w:cs="MingLiUfalt"/>
                <w:snapToGrid w:val="0"/>
                <w:kern w:val="0"/>
                <w:sz w:val="18"/>
                <w:szCs w:val="18"/>
              </w:rPr>
              <w:t>竞选文件的正本与副本装订未按比选文件第二章竞选人须知前附表要求的。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2" w:hRule="atLeast"/>
          <w:jc w:val="center"/>
        </w:trPr>
        <w:tc>
          <w:tcPr>
            <w:tcW w:w="1743" w:type="dxa"/>
            <w:vAlign w:val="center"/>
          </w:tcPr>
          <w:p>
            <w:pPr>
              <w:snapToGrid w:val="0"/>
              <w:spacing w:line="360" w:lineRule="auto"/>
              <w:ind w:firstLine="360" w:firstLineChars="200"/>
              <w:jc w:val="center"/>
              <w:rPr>
                <w:rFonts w:ascii="宋体"/>
                <w:sz w:val="18"/>
                <w:szCs w:val="18"/>
              </w:rPr>
            </w:pPr>
            <w:r>
              <w:rPr>
                <w:rFonts w:hint="eastAsia" w:ascii="宋体" w:hAnsi="宋体" w:cs="MingLiUfalt"/>
                <w:snapToGrid w:val="0"/>
                <w:kern w:val="0"/>
                <w:sz w:val="18"/>
                <w:szCs w:val="18"/>
              </w:rPr>
              <w:t>第二章</w:t>
            </w:r>
          </w:p>
        </w:tc>
        <w:tc>
          <w:tcPr>
            <w:tcW w:w="1559" w:type="dxa"/>
            <w:vAlign w:val="center"/>
          </w:tcPr>
          <w:p>
            <w:pPr>
              <w:snapToGrid w:val="0"/>
              <w:spacing w:line="360" w:lineRule="auto"/>
              <w:ind w:firstLine="360" w:firstLineChars="200"/>
              <w:jc w:val="center"/>
              <w:rPr>
                <w:rFonts w:ascii="宋体"/>
                <w:sz w:val="18"/>
                <w:szCs w:val="18"/>
              </w:rPr>
            </w:pPr>
            <w:r>
              <w:rPr>
                <w:rFonts w:hint="eastAsia" w:ascii="宋体" w:hAnsi="宋体" w:cs="MingLiUfalt"/>
                <w:snapToGrid w:val="0"/>
                <w:kern w:val="0"/>
                <w:sz w:val="18"/>
                <w:szCs w:val="18"/>
              </w:rPr>
              <w:t>竞选文件的密封和标记</w:t>
            </w:r>
          </w:p>
        </w:tc>
        <w:tc>
          <w:tcPr>
            <w:tcW w:w="6451" w:type="dxa"/>
            <w:vAlign w:val="center"/>
          </w:tcPr>
          <w:p>
            <w:pPr>
              <w:snapToGrid w:val="0"/>
              <w:spacing w:line="360" w:lineRule="auto"/>
              <w:ind w:firstLine="360" w:firstLineChars="200"/>
              <w:rPr>
                <w:rFonts w:ascii="宋体" w:cs="MingLiUfalt"/>
                <w:snapToGrid w:val="0"/>
                <w:kern w:val="0"/>
                <w:sz w:val="18"/>
                <w:szCs w:val="18"/>
              </w:rPr>
            </w:pPr>
            <w:r>
              <w:rPr>
                <w:rFonts w:hint="eastAsia" w:ascii="宋体" w:hAnsi="宋体" w:cs="MingLiUfalt"/>
                <w:snapToGrid w:val="0"/>
                <w:kern w:val="0"/>
                <w:sz w:val="18"/>
                <w:szCs w:val="18"/>
              </w:rPr>
              <w:t>未按本章要求密封和加写标记的竞选文件的。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06" w:hRule="atLeast"/>
          <w:jc w:val="center"/>
        </w:trPr>
        <w:tc>
          <w:tcPr>
            <w:tcW w:w="1743" w:type="dxa"/>
            <w:vAlign w:val="center"/>
          </w:tcPr>
          <w:p>
            <w:pPr>
              <w:snapToGrid w:val="0"/>
              <w:spacing w:line="360" w:lineRule="auto"/>
              <w:ind w:firstLine="360" w:firstLineChars="200"/>
              <w:jc w:val="center"/>
              <w:rPr>
                <w:rFonts w:ascii="宋体"/>
                <w:sz w:val="18"/>
                <w:szCs w:val="18"/>
              </w:rPr>
            </w:pPr>
            <w:r>
              <w:rPr>
                <w:rFonts w:hint="eastAsia" w:ascii="宋体" w:hAnsi="宋体" w:cs="MingLiUfalt"/>
                <w:snapToGrid w:val="0"/>
                <w:kern w:val="0"/>
                <w:sz w:val="18"/>
                <w:szCs w:val="18"/>
              </w:rPr>
              <w:t>第三章</w:t>
            </w:r>
          </w:p>
        </w:tc>
        <w:tc>
          <w:tcPr>
            <w:tcW w:w="1559" w:type="dxa"/>
            <w:vAlign w:val="center"/>
          </w:tcPr>
          <w:p>
            <w:pPr>
              <w:snapToGrid w:val="0"/>
              <w:spacing w:line="360" w:lineRule="auto"/>
              <w:ind w:firstLine="360" w:firstLineChars="200"/>
              <w:jc w:val="center"/>
              <w:rPr>
                <w:rFonts w:ascii="宋体"/>
                <w:sz w:val="18"/>
                <w:szCs w:val="18"/>
              </w:rPr>
            </w:pPr>
            <w:r>
              <w:rPr>
                <w:rFonts w:hint="eastAsia"/>
                <w:sz w:val="18"/>
                <w:szCs w:val="18"/>
              </w:rPr>
              <w:t>技术符合性评审</w:t>
            </w:r>
          </w:p>
        </w:tc>
        <w:tc>
          <w:tcPr>
            <w:tcW w:w="6451" w:type="dxa"/>
            <w:vAlign w:val="center"/>
          </w:tcPr>
          <w:p>
            <w:pPr>
              <w:snapToGrid w:val="0"/>
              <w:spacing w:line="360" w:lineRule="auto"/>
              <w:ind w:firstLine="360" w:firstLineChars="200"/>
              <w:rPr>
                <w:rFonts w:ascii="宋体"/>
                <w:sz w:val="18"/>
                <w:szCs w:val="18"/>
              </w:rPr>
            </w:pPr>
            <w:r>
              <w:rPr>
                <w:rFonts w:hint="eastAsia" w:ascii="宋体" w:hAnsi="宋体" w:cs="MingLiUfalt"/>
                <w:snapToGrid w:val="0"/>
                <w:kern w:val="0"/>
                <w:sz w:val="18"/>
                <w:szCs w:val="18"/>
              </w:rPr>
              <w:t>技术标准采用符合性评审，评审不合格的。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4" w:hRule="atLeast"/>
          <w:jc w:val="center"/>
        </w:trPr>
        <w:tc>
          <w:tcPr>
            <w:tcW w:w="1743" w:type="dxa"/>
            <w:vAlign w:val="center"/>
          </w:tcPr>
          <w:p>
            <w:pPr>
              <w:snapToGrid w:val="0"/>
              <w:spacing w:line="360" w:lineRule="auto"/>
              <w:ind w:firstLine="360" w:firstLineChars="200"/>
              <w:jc w:val="center"/>
              <w:rPr>
                <w:rFonts w:ascii="宋体"/>
                <w:sz w:val="18"/>
                <w:szCs w:val="18"/>
              </w:rPr>
            </w:pPr>
            <w:r>
              <w:rPr>
                <w:rFonts w:hint="eastAsia" w:ascii="宋体" w:hAnsi="宋体" w:cs="MingLiUfalt"/>
                <w:snapToGrid w:val="0"/>
                <w:kern w:val="0"/>
                <w:sz w:val="18"/>
                <w:szCs w:val="18"/>
              </w:rPr>
              <w:t>第三章</w:t>
            </w:r>
          </w:p>
        </w:tc>
        <w:tc>
          <w:tcPr>
            <w:tcW w:w="1559" w:type="dxa"/>
            <w:vAlign w:val="center"/>
          </w:tcPr>
          <w:p>
            <w:pPr>
              <w:snapToGrid w:val="0"/>
              <w:spacing w:line="360" w:lineRule="auto"/>
              <w:ind w:firstLine="360" w:firstLineChars="200"/>
              <w:jc w:val="center"/>
              <w:rPr>
                <w:rFonts w:ascii="宋体"/>
                <w:sz w:val="18"/>
                <w:szCs w:val="18"/>
              </w:rPr>
            </w:pPr>
            <w:r>
              <w:rPr>
                <w:rFonts w:hint="eastAsia" w:ascii="宋体" w:hAnsi="宋体" w:cs="MingLiUfalt"/>
                <w:snapToGrid w:val="0"/>
                <w:kern w:val="0"/>
                <w:sz w:val="18"/>
                <w:szCs w:val="18"/>
              </w:rPr>
              <w:t>评审标准</w:t>
            </w:r>
          </w:p>
        </w:tc>
        <w:tc>
          <w:tcPr>
            <w:tcW w:w="6451" w:type="dxa"/>
            <w:vAlign w:val="center"/>
          </w:tcPr>
          <w:p>
            <w:pPr>
              <w:snapToGrid w:val="0"/>
              <w:spacing w:line="360" w:lineRule="auto"/>
              <w:ind w:firstLine="360" w:firstLineChars="200"/>
              <w:rPr>
                <w:rFonts w:ascii="宋体" w:cs="MingLiUfalt"/>
                <w:kern w:val="0"/>
                <w:sz w:val="18"/>
                <w:szCs w:val="18"/>
              </w:rPr>
            </w:pPr>
            <w:r>
              <w:rPr>
                <w:rFonts w:hint="eastAsia" w:ascii="宋体" w:hAnsi="宋体" w:cs="MingLiUfalt"/>
                <w:snapToGrid w:val="0"/>
                <w:kern w:val="0"/>
                <w:sz w:val="18"/>
                <w:szCs w:val="18"/>
              </w:rPr>
              <w:t>经形式评审及响应性、资格评审不合格的。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4" w:hRule="atLeast"/>
          <w:jc w:val="center"/>
        </w:trPr>
        <w:tc>
          <w:tcPr>
            <w:tcW w:w="1743" w:type="dxa"/>
            <w:vAlign w:val="center"/>
          </w:tcPr>
          <w:p>
            <w:pPr>
              <w:snapToGrid w:val="0"/>
              <w:spacing w:line="360" w:lineRule="auto"/>
              <w:ind w:firstLine="360" w:firstLineChars="200"/>
              <w:jc w:val="center"/>
              <w:rPr>
                <w:rFonts w:ascii="宋体"/>
                <w:sz w:val="18"/>
                <w:szCs w:val="18"/>
              </w:rPr>
            </w:pPr>
            <w:r>
              <w:rPr>
                <w:rFonts w:hint="eastAsia" w:ascii="宋体" w:hAnsi="宋体" w:cs="MingLiUfalt"/>
                <w:snapToGrid w:val="0"/>
                <w:kern w:val="0"/>
                <w:sz w:val="18"/>
                <w:szCs w:val="18"/>
              </w:rPr>
              <w:t>第三章</w:t>
            </w:r>
          </w:p>
        </w:tc>
        <w:tc>
          <w:tcPr>
            <w:tcW w:w="1559" w:type="dxa"/>
            <w:vAlign w:val="center"/>
          </w:tcPr>
          <w:p>
            <w:pPr>
              <w:snapToGrid w:val="0"/>
              <w:spacing w:line="360" w:lineRule="auto"/>
              <w:ind w:firstLine="360" w:firstLineChars="200"/>
              <w:jc w:val="center"/>
              <w:rPr>
                <w:rFonts w:ascii="宋体"/>
                <w:sz w:val="18"/>
                <w:szCs w:val="18"/>
              </w:rPr>
            </w:pPr>
            <w:r>
              <w:rPr>
                <w:rFonts w:hint="eastAsia" w:ascii="宋体" w:hAnsi="宋体" w:cs="MingLiUfalt"/>
                <w:snapToGrid w:val="0"/>
                <w:kern w:val="0"/>
                <w:sz w:val="18"/>
                <w:szCs w:val="18"/>
              </w:rPr>
              <w:t>重大偏差</w:t>
            </w:r>
          </w:p>
        </w:tc>
        <w:tc>
          <w:tcPr>
            <w:tcW w:w="6451" w:type="dxa"/>
            <w:vAlign w:val="center"/>
          </w:tcPr>
          <w:p>
            <w:pPr>
              <w:snapToGrid w:val="0"/>
              <w:spacing w:line="360" w:lineRule="auto"/>
              <w:ind w:firstLine="360" w:firstLineChars="200"/>
              <w:rPr>
                <w:rFonts w:ascii="宋体" w:hAnsi="宋体" w:cs="MingLiUfalt"/>
                <w:snapToGrid w:val="0"/>
                <w:kern w:val="0"/>
                <w:sz w:val="18"/>
                <w:szCs w:val="18"/>
              </w:rPr>
            </w:pPr>
            <w:r>
              <w:rPr>
                <w:rFonts w:hint="eastAsia" w:ascii="宋体" w:hAnsi="宋体" w:cs="MingLiUfalt"/>
                <w:snapToGrid w:val="0"/>
                <w:kern w:val="0"/>
                <w:sz w:val="18"/>
                <w:szCs w:val="18"/>
              </w:rPr>
              <w:t>竞选文件有以下情况之一的属重大偏差：</w:t>
            </w:r>
          </w:p>
          <w:p>
            <w:pPr>
              <w:numPr>
                <w:ilvl w:val="0"/>
                <w:numId w:val="4"/>
              </w:numPr>
              <w:snapToGrid w:val="0"/>
              <w:spacing w:line="360" w:lineRule="auto"/>
              <w:rPr>
                <w:rFonts w:ascii="宋体" w:hAnsi="宋体" w:cs="MingLiUfalt"/>
                <w:snapToGrid w:val="0"/>
                <w:kern w:val="0"/>
                <w:sz w:val="18"/>
                <w:szCs w:val="18"/>
              </w:rPr>
            </w:pPr>
            <w:r>
              <w:rPr>
                <w:rFonts w:hint="eastAsia" w:ascii="宋体" w:hAnsi="宋体" w:cs="MingLiUfalt"/>
                <w:snapToGrid w:val="0"/>
                <w:kern w:val="0"/>
                <w:sz w:val="18"/>
                <w:szCs w:val="18"/>
              </w:rPr>
              <w:t>竞选文件未经竞选单位盖章和签字的；</w:t>
            </w:r>
          </w:p>
          <w:p>
            <w:pPr>
              <w:numPr>
                <w:ilvl w:val="0"/>
                <w:numId w:val="4"/>
              </w:numPr>
              <w:snapToGrid w:val="0"/>
              <w:spacing w:line="360" w:lineRule="auto"/>
              <w:rPr>
                <w:rFonts w:ascii="宋体" w:hAnsi="宋体" w:cs="MingLiUfalt"/>
                <w:snapToGrid w:val="0"/>
                <w:kern w:val="0"/>
                <w:sz w:val="18"/>
                <w:szCs w:val="18"/>
              </w:rPr>
            </w:pPr>
            <w:r>
              <w:rPr>
                <w:rFonts w:hint="eastAsia" w:ascii="宋体" w:hAnsi="宋体" w:cs="MingLiUfalt"/>
                <w:snapToGrid w:val="0"/>
                <w:kern w:val="0"/>
                <w:sz w:val="18"/>
                <w:szCs w:val="18"/>
              </w:rPr>
              <w:t>竞选人不符合国家或比选文件规定的资格条件的；</w:t>
            </w:r>
          </w:p>
          <w:p>
            <w:pPr>
              <w:numPr>
                <w:ilvl w:val="0"/>
                <w:numId w:val="4"/>
              </w:numPr>
              <w:snapToGrid w:val="0"/>
              <w:spacing w:line="360" w:lineRule="auto"/>
              <w:rPr>
                <w:rFonts w:ascii="宋体" w:hAnsi="宋体" w:cs="MingLiUfalt"/>
                <w:snapToGrid w:val="0"/>
                <w:kern w:val="0"/>
                <w:sz w:val="18"/>
                <w:szCs w:val="18"/>
              </w:rPr>
            </w:pPr>
            <w:r>
              <w:rPr>
                <w:rFonts w:hint="eastAsia" w:ascii="宋体" w:hAnsi="宋体" w:cs="MingLiUfalt"/>
                <w:snapToGrid w:val="0"/>
                <w:kern w:val="0"/>
                <w:sz w:val="18"/>
                <w:szCs w:val="18"/>
              </w:rPr>
              <w:t>同一竞选人提交两个以上不同的竞选文件或者竞选报价的；</w:t>
            </w:r>
          </w:p>
          <w:p>
            <w:pPr>
              <w:numPr>
                <w:ilvl w:val="0"/>
                <w:numId w:val="4"/>
              </w:numPr>
              <w:snapToGrid w:val="0"/>
              <w:spacing w:line="360" w:lineRule="auto"/>
              <w:rPr>
                <w:rFonts w:ascii="宋体" w:hAnsi="宋体" w:cs="MingLiUfalt"/>
                <w:snapToGrid w:val="0"/>
                <w:kern w:val="0"/>
                <w:sz w:val="18"/>
                <w:szCs w:val="18"/>
              </w:rPr>
            </w:pPr>
            <w:r>
              <w:rPr>
                <w:rFonts w:hint="eastAsia" w:ascii="宋体" w:hAnsi="宋体" w:cs="MingLiUfalt"/>
                <w:snapToGrid w:val="0"/>
                <w:kern w:val="0"/>
                <w:sz w:val="18"/>
                <w:szCs w:val="18"/>
              </w:rPr>
              <w:t>竞选报价低于成本或高于比选文件设定的最高限价的；</w:t>
            </w:r>
          </w:p>
          <w:p>
            <w:pPr>
              <w:numPr>
                <w:ilvl w:val="0"/>
                <w:numId w:val="4"/>
              </w:numPr>
              <w:snapToGrid w:val="0"/>
              <w:spacing w:line="360" w:lineRule="auto"/>
              <w:rPr>
                <w:rFonts w:ascii="宋体" w:hAnsi="宋体" w:cs="MingLiUfalt"/>
                <w:snapToGrid w:val="0"/>
                <w:kern w:val="0"/>
                <w:sz w:val="18"/>
                <w:szCs w:val="18"/>
              </w:rPr>
            </w:pPr>
            <w:r>
              <w:rPr>
                <w:rFonts w:hint="eastAsia" w:ascii="宋体" w:hAnsi="宋体" w:cs="MingLiUfalt"/>
                <w:snapToGrid w:val="0"/>
                <w:kern w:val="0"/>
                <w:sz w:val="18"/>
                <w:szCs w:val="18"/>
              </w:rPr>
              <w:t>竞选文件没有对比选文件的实质性要求和条件作出响应的；</w:t>
            </w:r>
          </w:p>
          <w:p>
            <w:pPr>
              <w:numPr>
                <w:ilvl w:val="0"/>
                <w:numId w:val="4"/>
              </w:numPr>
              <w:snapToGrid w:val="0"/>
              <w:spacing w:line="360" w:lineRule="auto"/>
              <w:rPr>
                <w:rFonts w:ascii="宋体" w:hAnsi="宋体" w:cs="MingLiUfalt"/>
                <w:snapToGrid w:val="0"/>
                <w:kern w:val="0"/>
                <w:sz w:val="18"/>
                <w:szCs w:val="18"/>
              </w:rPr>
            </w:pPr>
            <w:r>
              <w:rPr>
                <w:rFonts w:hint="eastAsia" w:ascii="宋体" w:hAnsi="宋体" w:cs="MingLiUfalt"/>
                <w:snapToGrid w:val="0"/>
                <w:kern w:val="0"/>
                <w:sz w:val="18"/>
                <w:szCs w:val="18"/>
              </w:rPr>
              <w:t>竞选人有串通竞选、弄虚作假、行贿等违法行为的。</w:t>
            </w:r>
          </w:p>
          <w:p>
            <w:pPr>
              <w:snapToGrid w:val="0"/>
              <w:spacing w:line="360" w:lineRule="auto"/>
              <w:ind w:firstLine="360" w:firstLineChars="200"/>
              <w:rPr>
                <w:rFonts w:ascii="宋体" w:cs="MingLiUfalt"/>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4" w:hRule="atLeast"/>
          <w:jc w:val="center"/>
        </w:trPr>
        <w:tc>
          <w:tcPr>
            <w:tcW w:w="1743" w:type="dxa"/>
            <w:vAlign w:val="center"/>
          </w:tcPr>
          <w:p>
            <w:pPr>
              <w:snapToGrid w:val="0"/>
              <w:spacing w:line="360" w:lineRule="auto"/>
              <w:ind w:firstLine="360" w:firstLineChars="200"/>
              <w:jc w:val="center"/>
              <w:rPr>
                <w:rFonts w:ascii="宋体"/>
                <w:sz w:val="18"/>
                <w:szCs w:val="18"/>
              </w:rPr>
            </w:pPr>
            <w:r>
              <w:rPr>
                <w:rFonts w:hint="eastAsia" w:ascii="宋体" w:hAnsi="宋体" w:cs="MingLiUfalt"/>
                <w:snapToGrid w:val="0"/>
                <w:kern w:val="0"/>
                <w:sz w:val="18"/>
                <w:szCs w:val="18"/>
              </w:rPr>
              <w:t>第三章</w:t>
            </w:r>
          </w:p>
        </w:tc>
        <w:tc>
          <w:tcPr>
            <w:tcW w:w="1559" w:type="dxa"/>
            <w:vAlign w:val="center"/>
          </w:tcPr>
          <w:p>
            <w:pPr>
              <w:snapToGrid w:val="0"/>
              <w:spacing w:line="360" w:lineRule="auto"/>
              <w:ind w:firstLine="360" w:firstLineChars="200"/>
              <w:jc w:val="center"/>
              <w:rPr>
                <w:rFonts w:ascii="宋体"/>
                <w:sz w:val="18"/>
                <w:szCs w:val="18"/>
              </w:rPr>
            </w:pPr>
            <w:r>
              <w:rPr>
                <w:rFonts w:hint="eastAsia" w:ascii="宋体" w:hAnsi="宋体" w:cs="MingLiUfalt"/>
                <w:snapToGrid w:val="0"/>
                <w:kern w:val="0"/>
                <w:sz w:val="18"/>
                <w:szCs w:val="18"/>
              </w:rPr>
              <w:t>评标价的评定</w:t>
            </w:r>
          </w:p>
        </w:tc>
        <w:tc>
          <w:tcPr>
            <w:tcW w:w="6451" w:type="dxa"/>
            <w:vAlign w:val="center"/>
          </w:tcPr>
          <w:p>
            <w:pPr>
              <w:snapToGrid w:val="0"/>
              <w:spacing w:line="360" w:lineRule="auto"/>
              <w:ind w:firstLine="360" w:firstLineChars="200"/>
              <w:rPr>
                <w:rFonts w:ascii="宋体" w:cs="MingLiUfalt"/>
                <w:kern w:val="0"/>
                <w:sz w:val="18"/>
                <w:szCs w:val="18"/>
              </w:rPr>
            </w:pPr>
            <w:r>
              <w:rPr>
                <w:rFonts w:hint="eastAsia" w:ascii="宋体" w:hAnsi="宋体" w:cs="MingLiUfalt"/>
                <w:snapToGrid w:val="0"/>
                <w:kern w:val="0"/>
                <w:sz w:val="18"/>
                <w:szCs w:val="18"/>
              </w:rPr>
              <w:t>竞选人不接受修正过后的报价的。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4" w:hRule="atLeast"/>
          <w:jc w:val="center"/>
        </w:trPr>
        <w:tc>
          <w:tcPr>
            <w:tcW w:w="1743" w:type="dxa"/>
            <w:vAlign w:val="center"/>
          </w:tcPr>
          <w:p>
            <w:pPr>
              <w:snapToGrid w:val="0"/>
              <w:spacing w:line="360" w:lineRule="auto"/>
              <w:ind w:firstLine="360" w:firstLineChars="200"/>
              <w:jc w:val="center"/>
              <w:rPr>
                <w:rFonts w:ascii="宋体" w:hAnsi="宋体" w:cs="MingLiUfalt"/>
                <w:snapToGrid w:val="0"/>
                <w:kern w:val="0"/>
                <w:sz w:val="18"/>
                <w:szCs w:val="18"/>
              </w:rPr>
            </w:pPr>
            <w:r>
              <w:rPr>
                <w:rFonts w:hint="eastAsia" w:ascii="宋体" w:hAnsi="宋体" w:cs="MingLiUfalt"/>
                <w:snapToGrid w:val="0"/>
                <w:kern w:val="0"/>
                <w:sz w:val="18"/>
                <w:szCs w:val="18"/>
              </w:rPr>
              <w:t>第三章</w:t>
            </w:r>
          </w:p>
          <w:p>
            <w:pPr>
              <w:snapToGrid w:val="0"/>
              <w:spacing w:line="360" w:lineRule="auto"/>
              <w:ind w:firstLine="360" w:firstLineChars="200"/>
              <w:jc w:val="center"/>
              <w:rPr>
                <w:rFonts w:ascii="宋体" w:hAnsi="宋体" w:cs="MingLiUfalt"/>
                <w:snapToGrid w:val="0"/>
                <w:kern w:val="0"/>
                <w:sz w:val="18"/>
                <w:szCs w:val="18"/>
              </w:rPr>
            </w:pPr>
          </w:p>
        </w:tc>
        <w:tc>
          <w:tcPr>
            <w:tcW w:w="1559" w:type="dxa"/>
            <w:vAlign w:val="center"/>
          </w:tcPr>
          <w:p>
            <w:pPr>
              <w:snapToGrid w:val="0"/>
              <w:spacing w:line="360" w:lineRule="auto"/>
              <w:ind w:firstLine="360" w:firstLineChars="200"/>
              <w:rPr>
                <w:rFonts w:ascii="宋体" w:hAnsi="宋体" w:cs="MingLiUfalt"/>
                <w:snapToGrid w:val="0"/>
                <w:kern w:val="0"/>
                <w:sz w:val="18"/>
                <w:szCs w:val="18"/>
              </w:rPr>
            </w:pPr>
            <w:r>
              <w:rPr>
                <w:rFonts w:hint="eastAsia" w:ascii="宋体" w:hAnsi="宋体" w:cs="MingLiUfalt"/>
                <w:snapToGrid w:val="0"/>
                <w:kern w:val="0"/>
                <w:sz w:val="18"/>
                <w:szCs w:val="18"/>
              </w:rPr>
              <w:t>低于成本价</w:t>
            </w:r>
          </w:p>
        </w:tc>
        <w:tc>
          <w:tcPr>
            <w:tcW w:w="6451" w:type="dxa"/>
            <w:vAlign w:val="center"/>
          </w:tcPr>
          <w:p>
            <w:pPr>
              <w:snapToGrid w:val="0"/>
              <w:spacing w:line="360" w:lineRule="auto"/>
              <w:ind w:firstLine="360" w:firstLineChars="200"/>
              <w:rPr>
                <w:rFonts w:ascii="宋体" w:hAnsi="宋体" w:cs="MingLiUfalt"/>
                <w:snapToGrid w:val="0"/>
                <w:kern w:val="0"/>
                <w:sz w:val="18"/>
                <w:szCs w:val="18"/>
              </w:rPr>
            </w:pPr>
            <w:r>
              <w:rPr>
                <w:rFonts w:ascii="宋体" w:hAnsi="宋体" w:cs="MingLiUfalt"/>
                <w:snapToGrid w:val="0"/>
                <w:kern w:val="0"/>
                <w:sz w:val="18"/>
                <w:szCs w:val="18"/>
              </w:rPr>
              <w:t>评标委员会发现</w:t>
            </w:r>
            <w:r>
              <w:rPr>
                <w:rFonts w:hint="eastAsia" w:ascii="宋体" w:hAnsi="宋体" w:cs="MingLiUfalt"/>
                <w:snapToGrid w:val="0"/>
                <w:kern w:val="0"/>
                <w:sz w:val="18"/>
                <w:szCs w:val="18"/>
              </w:rPr>
              <w:t>竞选</w:t>
            </w:r>
            <w:r>
              <w:rPr>
                <w:rFonts w:ascii="宋体" w:hAnsi="宋体" w:cs="MingLiUfalt"/>
                <w:snapToGrid w:val="0"/>
                <w:kern w:val="0"/>
                <w:sz w:val="18"/>
                <w:szCs w:val="18"/>
              </w:rPr>
              <w:t>人的报价明显低于其他</w:t>
            </w:r>
            <w:r>
              <w:rPr>
                <w:rFonts w:hint="eastAsia" w:ascii="宋体" w:hAnsi="宋体" w:cs="MingLiUfalt"/>
                <w:snapToGrid w:val="0"/>
                <w:kern w:val="0"/>
                <w:sz w:val="18"/>
                <w:szCs w:val="18"/>
              </w:rPr>
              <w:t>竞选</w:t>
            </w:r>
            <w:r>
              <w:rPr>
                <w:rFonts w:ascii="宋体" w:hAnsi="宋体" w:cs="MingLiUfalt"/>
                <w:snapToGrid w:val="0"/>
                <w:kern w:val="0"/>
                <w:sz w:val="18"/>
                <w:szCs w:val="18"/>
              </w:rPr>
              <w:t>报价</w:t>
            </w:r>
            <w:r>
              <w:rPr>
                <w:rFonts w:hint="eastAsia" w:ascii="宋体" w:hAnsi="宋体" w:cs="MingLiUfalt"/>
                <w:snapToGrid w:val="0"/>
                <w:kern w:val="0"/>
                <w:sz w:val="18"/>
                <w:szCs w:val="18"/>
              </w:rPr>
              <w:t>，或者在设有标底时明显低于标底</w:t>
            </w:r>
            <w:r>
              <w:rPr>
                <w:rFonts w:ascii="宋体" w:hAnsi="宋体" w:cs="MingLiUfalt"/>
                <w:snapToGrid w:val="0"/>
                <w:kern w:val="0"/>
                <w:sz w:val="18"/>
                <w:szCs w:val="18"/>
              </w:rPr>
              <w:t>，使得其</w:t>
            </w:r>
            <w:r>
              <w:rPr>
                <w:rFonts w:hint="eastAsia" w:ascii="宋体" w:hAnsi="宋体" w:cs="MingLiUfalt"/>
                <w:snapToGrid w:val="0"/>
                <w:kern w:val="0"/>
                <w:sz w:val="18"/>
                <w:szCs w:val="18"/>
              </w:rPr>
              <w:t>竞选</w:t>
            </w:r>
            <w:r>
              <w:rPr>
                <w:rFonts w:ascii="宋体" w:hAnsi="宋体" w:cs="MingLiUfalt"/>
                <w:snapToGrid w:val="0"/>
                <w:kern w:val="0"/>
                <w:sz w:val="18"/>
                <w:szCs w:val="18"/>
              </w:rPr>
              <w:t>报价可能低于其个别成本的，应当要求该</w:t>
            </w:r>
            <w:r>
              <w:rPr>
                <w:rFonts w:hint="eastAsia" w:ascii="宋体" w:hAnsi="宋体" w:cs="MingLiUfalt"/>
                <w:snapToGrid w:val="0"/>
                <w:kern w:val="0"/>
                <w:sz w:val="18"/>
                <w:szCs w:val="18"/>
              </w:rPr>
              <w:t>竞选</w:t>
            </w:r>
            <w:r>
              <w:rPr>
                <w:rFonts w:ascii="宋体" w:hAnsi="宋体" w:cs="MingLiUfalt"/>
                <w:snapToGrid w:val="0"/>
                <w:kern w:val="0"/>
                <w:sz w:val="18"/>
                <w:szCs w:val="18"/>
              </w:rPr>
              <w:t>人作出书面说明并提供相应的证明材料。</w:t>
            </w:r>
            <w:r>
              <w:rPr>
                <w:rFonts w:hint="eastAsia" w:ascii="宋体" w:hAnsi="宋体" w:cs="MingLiUfalt"/>
                <w:snapToGrid w:val="0"/>
                <w:kern w:val="0"/>
                <w:sz w:val="18"/>
                <w:szCs w:val="18"/>
              </w:rPr>
              <w:t>竞选</w:t>
            </w:r>
            <w:r>
              <w:rPr>
                <w:rFonts w:ascii="宋体" w:hAnsi="宋体" w:cs="MingLiUfalt"/>
                <w:snapToGrid w:val="0"/>
                <w:kern w:val="0"/>
                <w:sz w:val="18"/>
                <w:szCs w:val="18"/>
              </w:rPr>
              <w:t>人不能合理说明或者不能提供相应证明材料的，评标委员会应当认定该</w:t>
            </w:r>
            <w:r>
              <w:rPr>
                <w:rFonts w:hint="eastAsia" w:ascii="宋体" w:hAnsi="宋体" w:cs="MingLiUfalt"/>
                <w:snapToGrid w:val="0"/>
                <w:kern w:val="0"/>
                <w:sz w:val="18"/>
                <w:szCs w:val="18"/>
              </w:rPr>
              <w:t>竞选</w:t>
            </w:r>
            <w:r>
              <w:rPr>
                <w:rFonts w:ascii="宋体" w:hAnsi="宋体" w:cs="MingLiUfalt"/>
                <w:snapToGrid w:val="0"/>
                <w:kern w:val="0"/>
                <w:sz w:val="18"/>
                <w:szCs w:val="18"/>
              </w:rPr>
              <w:t>人以低于成本报价竞标，并否决其</w:t>
            </w:r>
            <w:r>
              <w:rPr>
                <w:rFonts w:hint="eastAsia" w:ascii="宋体" w:hAnsi="宋体" w:cs="MingLiUfalt"/>
                <w:snapToGrid w:val="0"/>
                <w:kern w:val="0"/>
                <w:sz w:val="18"/>
                <w:szCs w:val="18"/>
              </w:rPr>
              <w:t>竞选</w:t>
            </w:r>
          </w:p>
        </w:tc>
      </w:tr>
    </w:tbl>
    <w:p>
      <w:pPr>
        <w:pStyle w:val="13"/>
        <w:spacing w:line="360" w:lineRule="auto"/>
        <w:rPr>
          <w:rFonts w:ascii="宋体"/>
        </w:rPr>
      </w:pPr>
      <w:r>
        <w:rPr>
          <w:rFonts w:ascii="宋体" w:hAnsi="宋体"/>
        </w:rPr>
        <w:br w:type="page"/>
      </w:r>
    </w:p>
    <w:p>
      <w:pPr>
        <w:spacing w:line="360" w:lineRule="auto"/>
        <w:jc w:val="center"/>
        <w:outlineLvl w:val="1"/>
        <w:rPr>
          <w:rFonts w:ascii="宋体"/>
          <w:b/>
          <w:sz w:val="44"/>
          <w:szCs w:val="44"/>
        </w:rPr>
      </w:pPr>
      <w:bookmarkStart w:id="106" w:name="_Toc238797615"/>
      <w:bookmarkStart w:id="107" w:name="_Toc238552260"/>
      <w:bookmarkStart w:id="108" w:name="_Toc179632627"/>
      <w:bookmarkStart w:id="109" w:name="_Toc416768992"/>
      <w:bookmarkStart w:id="110" w:name="_Toc4160"/>
      <w:r>
        <w:rPr>
          <w:rFonts w:hint="eastAsia" w:ascii="宋体" w:hAnsi="宋体"/>
          <w:b/>
          <w:sz w:val="44"/>
          <w:szCs w:val="44"/>
        </w:rPr>
        <w:t>第四章</w:t>
      </w:r>
      <w:bookmarkEnd w:id="106"/>
      <w:bookmarkEnd w:id="107"/>
      <w:bookmarkEnd w:id="108"/>
      <w:bookmarkEnd w:id="109"/>
      <w:bookmarkStart w:id="111" w:name="_Toc238797658"/>
      <w:bookmarkStart w:id="112" w:name="_Toc238552296"/>
      <w:r>
        <w:rPr>
          <w:rFonts w:hint="eastAsia" w:ascii="宋体" w:hAnsi="宋体"/>
          <w:b/>
          <w:sz w:val="44"/>
          <w:szCs w:val="44"/>
        </w:rPr>
        <w:t>合同条款及格式</w:t>
      </w:r>
      <w:bookmarkEnd w:id="110"/>
    </w:p>
    <w:p>
      <w:pPr>
        <w:pStyle w:val="2"/>
        <w:adjustRightInd w:val="0"/>
        <w:spacing w:line="360" w:lineRule="auto"/>
        <w:ind w:right="301"/>
        <w:jc w:val="center"/>
        <w:rPr>
          <w:rFonts w:asciiTheme="minorEastAsia" w:hAnsiTheme="minorEastAsia" w:eastAsiaTheme="minorEastAsia"/>
          <w:sz w:val="23"/>
        </w:rPr>
      </w:pPr>
      <w:bookmarkStart w:id="113" w:name="_Toc416769000"/>
      <w:r>
        <w:rPr>
          <w:rFonts w:ascii="宋体"/>
        </w:rPr>
        <w:br w:type="page"/>
      </w:r>
      <w:r>
        <w:rPr>
          <w:rFonts w:asciiTheme="minorEastAsia" w:hAnsiTheme="minorEastAsia" w:eastAsiaTheme="minorEastAsia"/>
        </w:rPr>
        <w:t>第一节通用合同条款</w:t>
      </w:r>
    </w:p>
    <w:p>
      <w:pPr>
        <w:pStyle w:val="2"/>
        <w:numPr>
          <w:ilvl w:val="0"/>
          <w:numId w:val="5"/>
        </w:numPr>
        <w:tabs>
          <w:tab w:val="left" w:pos="907"/>
        </w:tabs>
        <w:adjustRightInd w:val="0"/>
        <w:spacing w:line="360" w:lineRule="auto"/>
        <w:ind w:hanging="400"/>
        <w:jc w:val="left"/>
        <w:rPr>
          <w:rFonts w:asciiTheme="minorEastAsia" w:hAnsiTheme="minorEastAsia" w:eastAsiaTheme="minorEastAsia"/>
          <w:sz w:val="26"/>
        </w:rPr>
      </w:pPr>
      <w:bookmarkStart w:id="114" w:name="_bookmark105"/>
      <w:bookmarkEnd w:id="114"/>
      <w:r>
        <w:rPr>
          <w:rFonts w:asciiTheme="minorEastAsia" w:hAnsiTheme="minorEastAsia" w:eastAsiaTheme="minorEastAsia"/>
        </w:rPr>
        <w:t>一般约定</w:t>
      </w:r>
    </w:p>
    <w:p>
      <w:pPr>
        <w:pStyle w:val="3"/>
        <w:numPr>
          <w:ilvl w:val="1"/>
          <w:numId w:val="5"/>
        </w:numPr>
        <w:tabs>
          <w:tab w:val="left" w:pos="1027"/>
        </w:tabs>
        <w:adjustRightInd w:val="0"/>
        <w:spacing w:line="360" w:lineRule="auto"/>
        <w:ind w:hanging="489"/>
        <w:rPr>
          <w:rFonts w:asciiTheme="minorEastAsia" w:hAnsiTheme="minorEastAsia" w:eastAsiaTheme="minorEastAsia"/>
        </w:rPr>
      </w:pPr>
      <w:bookmarkStart w:id="115" w:name="_bookmark106"/>
      <w:bookmarkEnd w:id="115"/>
      <w:r>
        <w:rPr>
          <w:rFonts w:asciiTheme="minorEastAsia" w:hAnsiTheme="minorEastAsia" w:eastAsiaTheme="minorEastAsia"/>
        </w:rPr>
        <w:t>词语定义</w:t>
      </w:r>
    </w:p>
    <w:p>
      <w:pPr>
        <w:pStyle w:val="6"/>
        <w:adjustRightInd w:val="0"/>
        <w:spacing w:before="266" w:line="360" w:lineRule="auto"/>
        <w:ind w:left="820"/>
        <w:rPr>
          <w:rFonts w:asciiTheme="minorEastAsia" w:hAnsiTheme="minorEastAsia" w:eastAsiaTheme="minorEastAsia"/>
        </w:rPr>
      </w:pPr>
      <w:r>
        <w:rPr>
          <w:rFonts w:asciiTheme="minorEastAsia" w:hAnsiTheme="minorEastAsia" w:eastAsiaTheme="minorEastAsia"/>
        </w:rPr>
        <w:t>除专用合同条款另有约定外，合同中的下列词语应具有本款所赋予的含义。</w:t>
      </w:r>
    </w:p>
    <w:p>
      <w:pPr>
        <w:pStyle w:val="4"/>
        <w:numPr>
          <w:ilvl w:val="2"/>
          <w:numId w:val="5"/>
        </w:numPr>
        <w:tabs>
          <w:tab w:val="left" w:pos="1349"/>
        </w:tabs>
        <w:adjustRightInd w:val="0"/>
        <w:spacing w:before="70" w:line="360" w:lineRule="auto"/>
        <w:ind w:left="1348"/>
        <w:rPr>
          <w:rFonts w:asciiTheme="minorEastAsia" w:hAnsiTheme="minorEastAsia" w:eastAsiaTheme="minorEastAsia"/>
        </w:rPr>
      </w:pPr>
      <w:r>
        <w:rPr>
          <w:rFonts w:asciiTheme="minorEastAsia" w:hAnsiTheme="minorEastAsia" w:eastAsiaTheme="minorEastAsia"/>
        </w:rPr>
        <w:t>合同</w:t>
      </w:r>
    </w:p>
    <w:p>
      <w:pPr>
        <w:pStyle w:val="31"/>
        <w:numPr>
          <w:ilvl w:val="3"/>
          <w:numId w:val="5"/>
        </w:numPr>
        <w:tabs>
          <w:tab w:val="left" w:pos="1505"/>
        </w:tabs>
        <w:adjustRightInd w:val="0"/>
        <w:spacing w:before="91" w:line="360" w:lineRule="auto"/>
        <w:ind w:right="693" w:firstLine="384"/>
        <w:rPr>
          <w:rFonts w:asciiTheme="minorEastAsia" w:hAnsiTheme="minorEastAsia" w:eastAsiaTheme="minorEastAsia"/>
        </w:rPr>
      </w:pPr>
      <w:r>
        <w:rPr>
          <w:rFonts w:asciiTheme="minorEastAsia" w:hAnsiTheme="minorEastAsia" w:eastAsiaTheme="minorEastAsia"/>
          <w:spacing w:val="-9"/>
        </w:rPr>
        <w:t>合同文件</w:t>
      </w:r>
      <w:r>
        <w:rPr>
          <w:rFonts w:asciiTheme="minorEastAsia" w:hAnsiTheme="minorEastAsia" w:eastAsiaTheme="minorEastAsia"/>
        </w:rPr>
        <w:t>（</w:t>
      </w:r>
      <w:r>
        <w:rPr>
          <w:rFonts w:asciiTheme="minorEastAsia" w:hAnsiTheme="minorEastAsia" w:eastAsiaTheme="minorEastAsia"/>
          <w:spacing w:val="-3"/>
        </w:rPr>
        <w:t>或称合同</w:t>
      </w:r>
      <w:r>
        <w:rPr>
          <w:rFonts w:asciiTheme="minorEastAsia" w:hAnsiTheme="minorEastAsia" w:eastAsiaTheme="minorEastAsia"/>
          <w:spacing w:val="-67"/>
        </w:rPr>
        <w:t>）</w:t>
      </w:r>
      <w:r>
        <w:rPr>
          <w:rFonts w:asciiTheme="minorEastAsia" w:hAnsiTheme="minorEastAsia" w:eastAsiaTheme="minorEastAsia"/>
          <w:spacing w:val="-14"/>
        </w:rPr>
        <w:t>：指合同协议书、中标通知书、投标函、商务和技术偏差表、</w:t>
      </w:r>
      <w:r>
        <w:rPr>
          <w:rFonts w:asciiTheme="minorEastAsia" w:hAnsiTheme="minorEastAsia" w:eastAsiaTheme="minorEastAsia"/>
          <w:spacing w:val="-11"/>
        </w:rPr>
        <w:t>专用合同条款、通用合同条款、供货要求、分项报价表、中标设备技术性能指标的详细描述、</w:t>
      </w:r>
      <w:r>
        <w:rPr>
          <w:rFonts w:asciiTheme="minorEastAsia" w:hAnsiTheme="minorEastAsia" w:eastAsiaTheme="minorEastAsia"/>
          <w:spacing w:val="-6"/>
        </w:rPr>
        <w:t>技术服务和质保期服务计划，以及其他构成合同组成部分的文件。</w:t>
      </w:r>
    </w:p>
    <w:p>
      <w:pPr>
        <w:pStyle w:val="31"/>
        <w:numPr>
          <w:ilvl w:val="3"/>
          <w:numId w:val="5"/>
        </w:numPr>
        <w:tabs>
          <w:tab w:val="left" w:pos="1505"/>
        </w:tabs>
        <w:adjustRightInd w:val="0"/>
        <w:spacing w:line="360" w:lineRule="auto"/>
        <w:ind w:firstLine="408"/>
        <w:rPr>
          <w:rFonts w:asciiTheme="minorEastAsia" w:hAnsiTheme="minorEastAsia" w:eastAsiaTheme="minorEastAsia"/>
        </w:rPr>
      </w:pPr>
      <w:r>
        <w:rPr>
          <w:rFonts w:asciiTheme="minorEastAsia" w:hAnsiTheme="minorEastAsia" w:eastAsiaTheme="minorEastAsia"/>
          <w:spacing w:val="-3"/>
        </w:rPr>
        <w:t>合同协议书：指买方和卖方共同签署的合同协议书。</w:t>
      </w:r>
    </w:p>
    <w:p>
      <w:pPr>
        <w:pStyle w:val="31"/>
        <w:numPr>
          <w:ilvl w:val="3"/>
          <w:numId w:val="5"/>
        </w:numPr>
        <w:tabs>
          <w:tab w:val="left" w:pos="1505"/>
        </w:tabs>
        <w:adjustRightInd w:val="0"/>
        <w:spacing w:before="139" w:line="360" w:lineRule="auto"/>
        <w:ind w:firstLine="408"/>
        <w:rPr>
          <w:rFonts w:asciiTheme="minorEastAsia" w:hAnsiTheme="minorEastAsia" w:eastAsiaTheme="minorEastAsia"/>
        </w:rPr>
      </w:pPr>
      <w:r>
        <w:rPr>
          <w:rFonts w:asciiTheme="minorEastAsia" w:hAnsiTheme="minorEastAsia" w:eastAsiaTheme="minorEastAsia"/>
          <w:spacing w:val="-3"/>
        </w:rPr>
        <w:t>中标通知书：指买方通知卖方中标的函件。</w:t>
      </w:r>
    </w:p>
    <w:p>
      <w:pPr>
        <w:pStyle w:val="31"/>
        <w:numPr>
          <w:ilvl w:val="3"/>
          <w:numId w:val="5"/>
        </w:numPr>
        <w:tabs>
          <w:tab w:val="left" w:pos="1505"/>
        </w:tabs>
        <w:adjustRightInd w:val="0"/>
        <w:spacing w:before="139" w:line="360" w:lineRule="auto"/>
        <w:ind w:firstLine="408"/>
        <w:rPr>
          <w:rFonts w:asciiTheme="minorEastAsia" w:hAnsiTheme="minorEastAsia" w:eastAsiaTheme="minorEastAsia"/>
        </w:rPr>
      </w:pPr>
      <w:r>
        <w:rPr>
          <w:rFonts w:asciiTheme="minorEastAsia" w:hAnsiTheme="minorEastAsia" w:eastAsiaTheme="minorEastAsia"/>
          <w:spacing w:val="-3"/>
        </w:rPr>
        <w:t>投标函：指由卖方填写并签署的，名为“投标函”的函件。</w:t>
      </w:r>
    </w:p>
    <w:p>
      <w:pPr>
        <w:pStyle w:val="31"/>
        <w:numPr>
          <w:ilvl w:val="3"/>
          <w:numId w:val="5"/>
        </w:numPr>
        <w:tabs>
          <w:tab w:val="left" w:pos="1505"/>
        </w:tabs>
        <w:adjustRightInd w:val="0"/>
        <w:spacing w:before="141" w:line="360" w:lineRule="auto"/>
        <w:ind w:firstLine="408"/>
        <w:rPr>
          <w:rFonts w:asciiTheme="minorEastAsia" w:hAnsiTheme="minorEastAsia" w:eastAsiaTheme="minorEastAsia"/>
        </w:rPr>
      </w:pPr>
      <w:r>
        <w:rPr>
          <w:rFonts w:asciiTheme="minorEastAsia" w:hAnsiTheme="minorEastAsia" w:eastAsiaTheme="minorEastAsia"/>
          <w:spacing w:val="-3"/>
        </w:rPr>
        <w:t>商务和技术偏差表：指卖方投标文件中的商务和技术偏差表。</w:t>
      </w:r>
    </w:p>
    <w:p>
      <w:pPr>
        <w:pStyle w:val="31"/>
        <w:numPr>
          <w:ilvl w:val="3"/>
          <w:numId w:val="5"/>
        </w:numPr>
        <w:tabs>
          <w:tab w:val="left" w:pos="1505"/>
        </w:tabs>
        <w:adjustRightInd w:val="0"/>
        <w:spacing w:before="140" w:line="360" w:lineRule="auto"/>
        <w:ind w:firstLine="408"/>
        <w:rPr>
          <w:rFonts w:asciiTheme="minorEastAsia" w:hAnsiTheme="minorEastAsia" w:eastAsiaTheme="minorEastAsia"/>
        </w:rPr>
      </w:pPr>
      <w:r>
        <w:rPr>
          <w:rFonts w:asciiTheme="minorEastAsia" w:hAnsiTheme="minorEastAsia" w:eastAsiaTheme="minorEastAsia"/>
          <w:spacing w:val="-3"/>
        </w:rPr>
        <w:t>供货要求：指合同文件中名为“供货要求”的文件。</w:t>
      </w:r>
    </w:p>
    <w:p>
      <w:pPr>
        <w:pStyle w:val="31"/>
        <w:numPr>
          <w:ilvl w:val="3"/>
          <w:numId w:val="5"/>
        </w:numPr>
        <w:tabs>
          <w:tab w:val="left" w:pos="1505"/>
        </w:tabs>
        <w:adjustRightInd w:val="0"/>
        <w:spacing w:before="140" w:line="360" w:lineRule="auto"/>
        <w:ind w:firstLine="400"/>
        <w:rPr>
          <w:rFonts w:asciiTheme="minorEastAsia" w:hAnsiTheme="minorEastAsia" w:eastAsiaTheme="minorEastAsia"/>
          <w:spacing w:val="-3"/>
        </w:rPr>
      </w:pPr>
      <w:r>
        <w:rPr>
          <w:rFonts w:asciiTheme="minorEastAsia" w:hAnsiTheme="minorEastAsia" w:eastAsiaTheme="minorEastAsia"/>
          <w:spacing w:val="-5"/>
        </w:rPr>
        <w:t>中标设备技术性能指标的详细描述：指卖方投标文件中的投标设备技术性能指标的</w:t>
      </w:r>
      <w:r>
        <w:rPr>
          <w:rFonts w:asciiTheme="minorEastAsia" w:hAnsiTheme="minorEastAsia" w:eastAsiaTheme="minorEastAsia"/>
          <w:spacing w:val="-4"/>
        </w:rPr>
        <w:t>详细描述。</w:t>
      </w:r>
    </w:p>
    <w:p>
      <w:pPr>
        <w:pStyle w:val="31"/>
        <w:numPr>
          <w:ilvl w:val="3"/>
          <w:numId w:val="5"/>
        </w:numPr>
        <w:tabs>
          <w:tab w:val="left" w:pos="1505"/>
        </w:tabs>
        <w:adjustRightInd w:val="0"/>
        <w:spacing w:before="140" w:line="360" w:lineRule="auto"/>
        <w:ind w:firstLine="408"/>
        <w:rPr>
          <w:rFonts w:asciiTheme="minorEastAsia" w:hAnsiTheme="minorEastAsia" w:eastAsiaTheme="minorEastAsia"/>
          <w:spacing w:val="-3"/>
        </w:rPr>
      </w:pPr>
      <w:r>
        <w:rPr>
          <w:rFonts w:asciiTheme="minorEastAsia" w:hAnsiTheme="minorEastAsia" w:eastAsiaTheme="minorEastAsia"/>
          <w:spacing w:val="-3"/>
        </w:rPr>
        <w:t>技术服务和质保期服务计划：指卖方投标文件中的技术服务和质保期服务计划。</w:t>
      </w:r>
    </w:p>
    <w:p>
      <w:pPr>
        <w:pStyle w:val="31"/>
        <w:numPr>
          <w:ilvl w:val="3"/>
          <w:numId w:val="5"/>
        </w:numPr>
        <w:tabs>
          <w:tab w:val="left" w:pos="1505"/>
        </w:tabs>
        <w:adjustRightInd w:val="0"/>
        <w:spacing w:before="140" w:line="360" w:lineRule="auto"/>
        <w:ind w:firstLine="408"/>
        <w:rPr>
          <w:rFonts w:asciiTheme="minorEastAsia" w:hAnsiTheme="minorEastAsia" w:eastAsiaTheme="minorEastAsia"/>
          <w:spacing w:val="-3"/>
        </w:rPr>
      </w:pPr>
      <w:r>
        <w:rPr>
          <w:rFonts w:asciiTheme="minorEastAsia" w:hAnsiTheme="minorEastAsia" w:eastAsiaTheme="minorEastAsia"/>
          <w:spacing w:val="-3"/>
        </w:rPr>
        <w:t>分项报价表：指卖方投标文件中的分项报价表。</w:t>
      </w:r>
    </w:p>
    <w:p>
      <w:pPr>
        <w:pStyle w:val="31"/>
        <w:numPr>
          <w:ilvl w:val="3"/>
          <w:numId w:val="5"/>
        </w:numPr>
        <w:tabs>
          <w:tab w:val="left" w:pos="1505"/>
        </w:tabs>
        <w:adjustRightInd w:val="0"/>
        <w:spacing w:before="140" w:line="360" w:lineRule="auto"/>
        <w:ind w:firstLine="408"/>
        <w:rPr>
          <w:rFonts w:asciiTheme="minorEastAsia" w:hAnsiTheme="minorEastAsia" w:eastAsiaTheme="minorEastAsia"/>
        </w:rPr>
      </w:pPr>
      <w:r>
        <w:rPr>
          <w:rFonts w:asciiTheme="minorEastAsia" w:hAnsiTheme="minorEastAsia" w:eastAsiaTheme="minorEastAsia"/>
          <w:spacing w:val="-3"/>
        </w:rPr>
        <w:t>其他合同文件：指经合同双方当事人确认构成合同文件的其他文件。</w:t>
      </w:r>
    </w:p>
    <w:p>
      <w:pPr>
        <w:pStyle w:val="4"/>
        <w:numPr>
          <w:ilvl w:val="2"/>
          <w:numId w:val="6"/>
        </w:numPr>
        <w:tabs>
          <w:tab w:val="left" w:pos="1349"/>
        </w:tabs>
        <w:adjustRightInd w:val="0"/>
        <w:spacing w:before="69" w:line="360" w:lineRule="auto"/>
        <w:rPr>
          <w:rFonts w:asciiTheme="minorEastAsia" w:hAnsiTheme="minorEastAsia" w:eastAsiaTheme="minorEastAsia"/>
        </w:rPr>
      </w:pPr>
      <w:r>
        <w:rPr>
          <w:rFonts w:asciiTheme="minorEastAsia" w:hAnsiTheme="minorEastAsia" w:eastAsiaTheme="minorEastAsia"/>
        </w:rPr>
        <w:t>合同当事人</w:t>
      </w:r>
    </w:p>
    <w:p>
      <w:pPr>
        <w:pStyle w:val="31"/>
        <w:numPr>
          <w:ilvl w:val="3"/>
          <w:numId w:val="6"/>
        </w:numPr>
        <w:tabs>
          <w:tab w:val="left" w:pos="1505"/>
        </w:tabs>
        <w:adjustRightInd w:val="0"/>
        <w:spacing w:before="92" w:line="360" w:lineRule="auto"/>
        <w:ind w:firstLine="408"/>
        <w:rPr>
          <w:rFonts w:asciiTheme="minorEastAsia" w:hAnsiTheme="minorEastAsia" w:eastAsiaTheme="minorEastAsia"/>
        </w:rPr>
      </w:pPr>
      <w:r>
        <w:rPr>
          <w:rFonts w:asciiTheme="minorEastAsia" w:hAnsiTheme="minorEastAsia" w:eastAsiaTheme="minorEastAsia"/>
          <w:spacing w:val="-3"/>
        </w:rPr>
        <w:t>合同当事人：指买方和（</w:t>
      </w:r>
      <w:r>
        <w:rPr>
          <w:rFonts w:asciiTheme="minorEastAsia" w:hAnsiTheme="minorEastAsia" w:eastAsiaTheme="minorEastAsia"/>
        </w:rPr>
        <w:t>或</w:t>
      </w:r>
      <w:r>
        <w:rPr>
          <w:rFonts w:asciiTheme="minorEastAsia" w:hAnsiTheme="minorEastAsia" w:eastAsiaTheme="minorEastAsia"/>
          <w:spacing w:val="-3"/>
        </w:rPr>
        <w:t>）</w:t>
      </w:r>
      <w:r>
        <w:rPr>
          <w:rFonts w:asciiTheme="minorEastAsia" w:hAnsiTheme="minorEastAsia" w:eastAsiaTheme="minorEastAsia"/>
          <w:spacing w:val="-2"/>
        </w:rPr>
        <w:t>卖方。</w:t>
      </w:r>
    </w:p>
    <w:p>
      <w:pPr>
        <w:pStyle w:val="31"/>
        <w:numPr>
          <w:ilvl w:val="3"/>
          <w:numId w:val="6"/>
        </w:numPr>
        <w:tabs>
          <w:tab w:val="left" w:pos="1505"/>
        </w:tabs>
        <w:adjustRightInd w:val="0"/>
        <w:spacing w:before="142" w:line="360" w:lineRule="auto"/>
        <w:ind w:right="586" w:firstLine="368"/>
        <w:rPr>
          <w:rFonts w:asciiTheme="minorEastAsia" w:hAnsiTheme="minorEastAsia" w:eastAsiaTheme="minorEastAsia"/>
        </w:rPr>
      </w:pPr>
      <w:r>
        <w:rPr>
          <w:rFonts w:asciiTheme="minorEastAsia" w:hAnsiTheme="minorEastAsia" w:eastAsiaTheme="minorEastAsia"/>
          <w:spacing w:val="-13"/>
        </w:rPr>
        <w:t xml:space="preserve">买方：指与卖方签订合同协议书，购买合同设备和技术服务和质保期服务的当事人， </w:t>
      </w:r>
      <w:r>
        <w:rPr>
          <w:rFonts w:asciiTheme="minorEastAsia" w:hAnsiTheme="minorEastAsia" w:eastAsiaTheme="minorEastAsia"/>
          <w:spacing w:val="-6"/>
        </w:rPr>
        <w:t>及其合法继承人。</w:t>
      </w:r>
    </w:p>
    <w:p>
      <w:pPr>
        <w:pStyle w:val="31"/>
        <w:numPr>
          <w:ilvl w:val="3"/>
          <w:numId w:val="6"/>
        </w:numPr>
        <w:tabs>
          <w:tab w:val="left" w:pos="1505"/>
        </w:tabs>
        <w:adjustRightInd w:val="0"/>
        <w:spacing w:line="360" w:lineRule="auto"/>
        <w:ind w:right="585" w:firstLine="368"/>
        <w:rPr>
          <w:rFonts w:asciiTheme="minorEastAsia" w:hAnsiTheme="minorEastAsia" w:eastAsiaTheme="minorEastAsia"/>
        </w:rPr>
      </w:pPr>
      <w:r>
        <w:rPr>
          <w:rFonts w:asciiTheme="minorEastAsia" w:hAnsiTheme="minorEastAsia" w:eastAsiaTheme="minorEastAsia"/>
          <w:spacing w:val="-13"/>
        </w:rPr>
        <w:t xml:space="preserve">卖方：指与买方签订合同协议书，提供合同设备和技术服务和质保期服务的当事人， </w:t>
      </w:r>
      <w:r>
        <w:rPr>
          <w:rFonts w:asciiTheme="minorEastAsia" w:hAnsiTheme="minorEastAsia" w:eastAsiaTheme="minorEastAsia"/>
          <w:spacing w:val="-6"/>
        </w:rPr>
        <w:t>及其合法继承人。</w:t>
      </w:r>
    </w:p>
    <w:p>
      <w:pPr>
        <w:pStyle w:val="4"/>
        <w:numPr>
          <w:ilvl w:val="2"/>
          <w:numId w:val="7"/>
        </w:numPr>
        <w:tabs>
          <w:tab w:val="left" w:pos="1349"/>
        </w:tabs>
        <w:adjustRightInd w:val="0"/>
        <w:spacing w:line="360" w:lineRule="auto"/>
        <w:rPr>
          <w:rFonts w:asciiTheme="minorEastAsia" w:hAnsiTheme="minorEastAsia" w:eastAsiaTheme="minorEastAsia"/>
        </w:rPr>
      </w:pPr>
      <w:r>
        <w:rPr>
          <w:rFonts w:asciiTheme="minorEastAsia" w:hAnsiTheme="minorEastAsia" w:eastAsiaTheme="minorEastAsia"/>
        </w:rPr>
        <w:t>合同价格</w:t>
      </w:r>
    </w:p>
    <w:p>
      <w:pPr>
        <w:pStyle w:val="31"/>
        <w:numPr>
          <w:ilvl w:val="3"/>
          <w:numId w:val="6"/>
        </w:numPr>
        <w:tabs>
          <w:tab w:val="left" w:pos="1505"/>
        </w:tabs>
        <w:adjustRightInd w:val="0"/>
        <w:spacing w:before="142" w:line="360" w:lineRule="auto"/>
        <w:ind w:right="586" w:firstLine="368"/>
        <w:rPr>
          <w:rFonts w:asciiTheme="minorEastAsia" w:hAnsiTheme="minorEastAsia" w:eastAsiaTheme="minorEastAsia"/>
          <w:spacing w:val="-13"/>
        </w:rPr>
      </w:pPr>
      <w:r>
        <w:rPr>
          <w:rFonts w:asciiTheme="minorEastAsia" w:hAnsiTheme="minorEastAsia" w:eastAsiaTheme="minorEastAsia"/>
          <w:spacing w:val="-13"/>
        </w:rPr>
        <w:t>签约合同价：是签订合同时合同协议书中写明的合同总金额。</w:t>
      </w:r>
    </w:p>
    <w:p>
      <w:pPr>
        <w:pStyle w:val="31"/>
        <w:numPr>
          <w:ilvl w:val="3"/>
          <w:numId w:val="6"/>
        </w:numPr>
        <w:tabs>
          <w:tab w:val="left" w:pos="1505"/>
        </w:tabs>
        <w:adjustRightInd w:val="0"/>
        <w:spacing w:before="142" w:line="360" w:lineRule="auto"/>
        <w:ind w:right="586" w:firstLine="368"/>
        <w:rPr>
          <w:rFonts w:asciiTheme="minorEastAsia" w:hAnsiTheme="minorEastAsia" w:eastAsiaTheme="minorEastAsia"/>
          <w:spacing w:val="-13"/>
        </w:rPr>
      </w:pPr>
      <w:r>
        <w:rPr>
          <w:rFonts w:asciiTheme="minorEastAsia" w:hAnsiTheme="minorEastAsia" w:eastAsiaTheme="minorEastAsia"/>
          <w:spacing w:val="-13"/>
        </w:rPr>
        <w:t>合同价格：指卖方按合同约定履行了全部合同义务后，买方应付给卖方的金额。</w:t>
      </w:r>
    </w:p>
    <w:p>
      <w:pPr>
        <w:pStyle w:val="31"/>
        <w:numPr>
          <w:ilvl w:val="3"/>
          <w:numId w:val="6"/>
        </w:numPr>
        <w:tabs>
          <w:tab w:val="left" w:pos="1505"/>
        </w:tabs>
        <w:adjustRightInd w:val="0"/>
        <w:spacing w:before="142" w:line="360" w:lineRule="auto"/>
        <w:ind w:right="586" w:firstLine="368"/>
        <w:rPr>
          <w:rFonts w:asciiTheme="minorEastAsia" w:hAnsiTheme="minorEastAsia" w:eastAsiaTheme="minorEastAsia"/>
        </w:rPr>
      </w:pPr>
      <w:r>
        <w:rPr>
          <w:rFonts w:asciiTheme="minorEastAsia" w:hAnsiTheme="minorEastAsia" w:eastAsiaTheme="minorEastAsia"/>
          <w:spacing w:val="-13"/>
        </w:rPr>
        <w:t>合同设备：指卖方按合同约定应向买方提供的设备、装置、备品、备件、易损易耗件、</w:t>
      </w:r>
      <w:r>
        <w:rPr>
          <w:rFonts w:asciiTheme="minorEastAsia" w:hAnsiTheme="minorEastAsia" w:eastAsiaTheme="minorEastAsia"/>
        </w:rPr>
        <w:t>配套使用的软件或其他辅助电子应用程序及技术资料，或其中任何一部分。</w:t>
      </w:r>
    </w:p>
    <w:p>
      <w:pPr>
        <w:pStyle w:val="31"/>
        <w:numPr>
          <w:ilvl w:val="2"/>
          <w:numId w:val="8"/>
        </w:numPr>
        <w:tabs>
          <w:tab w:val="left" w:pos="1349"/>
        </w:tabs>
        <w:adjustRightInd w:val="0"/>
        <w:spacing w:before="139" w:line="360" w:lineRule="auto"/>
        <w:ind w:right="589" w:firstLine="408"/>
        <w:rPr>
          <w:rFonts w:asciiTheme="minorEastAsia" w:hAnsiTheme="minorEastAsia" w:eastAsiaTheme="minorEastAsia"/>
        </w:rPr>
      </w:pPr>
      <w:r>
        <w:rPr>
          <w:rFonts w:asciiTheme="minorEastAsia" w:hAnsiTheme="minorEastAsia" w:eastAsiaTheme="minorEastAsia"/>
          <w:spacing w:val="-3"/>
        </w:rPr>
        <w:t>技术资料：指各种纸质及电子载体的与合同设备的设计、检验、安装、调试、考核、操作、维修以及保养等有关的技术指标、规格、图纸和说明文件。</w:t>
      </w:r>
    </w:p>
    <w:p>
      <w:pPr>
        <w:pStyle w:val="31"/>
        <w:numPr>
          <w:ilvl w:val="2"/>
          <w:numId w:val="8"/>
        </w:numPr>
        <w:tabs>
          <w:tab w:val="left" w:pos="1346"/>
        </w:tabs>
        <w:adjustRightInd w:val="0"/>
        <w:spacing w:before="1" w:line="360" w:lineRule="auto"/>
        <w:ind w:right="691" w:firstLine="376"/>
        <w:rPr>
          <w:rFonts w:asciiTheme="minorEastAsia" w:hAnsiTheme="minorEastAsia" w:eastAsiaTheme="minorEastAsia"/>
        </w:rPr>
      </w:pPr>
      <w:r>
        <w:rPr>
          <w:rFonts w:asciiTheme="minorEastAsia" w:hAnsiTheme="minorEastAsia" w:eastAsiaTheme="minorEastAsia"/>
          <w:spacing w:val="-11"/>
        </w:rPr>
        <w:t>安装：指对合同设备进行的组装、连接以及根据需要将合同设备固定在施工场地内一</w:t>
      </w:r>
      <w:r>
        <w:rPr>
          <w:rFonts w:asciiTheme="minorEastAsia" w:hAnsiTheme="minorEastAsia" w:eastAsiaTheme="minorEastAsia"/>
          <w:spacing w:val="-6"/>
        </w:rPr>
        <w:t>定的位置上，使其就位并与相关设备、工程实现连接。</w:t>
      </w:r>
    </w:p>
    <w:p>
      <w:pPr>
        <w:pStyle w:val="31"/>
        <w:numPr>
          <w:ilvl w:val="2"/>
          <w:numId w:val="8"/>
        </w:numPr>
        <w:tabs>
          <w:tab w:val="left" w:pos="1346"/>
        </w:tabs>
        <w:adjustRightInd w:val="0"/>
        <w:spacing w:line="360" w:lineRule="auto"/>
        <w:ind w:firstLine="408"/>
        <w:rPr>
          <w:rFonts w:asciiTheme="minorEastAsia" w:hAnsiTheme="minorEastAsia" w:eastAsiaTheme="minorEastAsia"/>
        </w:rPr>
      </w:pPr>
      <w:r>
        <w:rPr>
          <w:rFonts w:asciiTheme="minorEastAsia" w:hAnsiTheme="minorEastAsia" w:eastAsiaTheme="minorEastAsia"/>
          <w:spacing w:val="-3"/>
        </w:rPr>
        <w:t>调试：指在合同设备安装完成后，对合同设备所进行的调校和测试。</w:t>
      </w:r>
    </w:p>
    <w:p>
      <w:pPr>
        <w:pStyle w:val="31"/>
        <w:numPr>
          <w:ilvl w:val="2"/>
          <w:numId w:val="8"/>
        </w:numPr>
        <w:tabs>
          <w:tab w:val="left" w:pos="1346"/>
        </w:tabs>
        <w:adjustRightInd w:val="0"/>
        <w:spacing w:before="139" w:line="360" w:lineRule="auto"/>
        <w:ind w:right="691" w:firstLine="376"/>
        <w:rPr>
          <w:rFonts w:asciiTheme="minorEastAsia" w:hAnsiTheme="minorEastAsia" w:eastAsiaTheme="minorEastAsia"/>
        </w:rPr>
      </w:pPr>
      <w:r>
        <w:rPr>
          <w:rFonts w:asciiTheme="minorEastAsia" w:hAnsiTheme="minorEastAsia" w:eastAsiaTheme="minorEastAsia"/>
          <w:spacing w:val="-11"/>
        </w:rPr>
        <w:t>考核：指在合同设备调试完成后，对合同设备进行的用于确定其是否达到合同约定的</w:t>
      </w:r>
      <w:r>
        <w:rPr>
          <w:rFonts w:asciiTheme="minorEastAsia" w:hAnsiTheme="minorEastAsia" w:eastAsiaTheme="minorEastAsia"/>
          <w:spacing w:val="-6"/>
        </w:rPr>
        <w:t>技术性能考核指标的考核。</w:t>
      </w:r>
    </w:p>
    <w:p>
      <w:pPr>
        <w:pStyle w:val="31"/>
        <w:numPr>
          <w:ilvl w:val="2"/>
          <w:numId w:val="8"/>
        </w:numPr>
        <w:tabs>
          <w:tab w:val="left" w:pos="1346"/>
        </w:tabs>
        <w:adjustRightInd w:val="0"/>
        <w:spacing w:line="360" w:lineRule="auto"/>
        <w:ind w:right="691" w:firstLine="380"/>
        <w:rPr>
          <w:rFonts w:asciiTheme="minorEastAsia" w:hAnsiTheme="minorEastAsia" w:eastAsiaTheme="minorEastAsia"/>
        </w:rPr>
      </w:pPr>
      <w:r>
        <w:rPr>
          <w:rFonts w:asciiTheme="minorEastAsia" w:hAnsiTheme="minorEastAsia" w:eastAsiaTheme="minorEastAsia"/>
          <w:spacing w:val="-10"/>
        </w:rPr>
        <w:t>验收：指合同设备通过考核达到合同约定的技术性能考核指标后，买方作出接受合同</w:t>
      </w:r>
      <w:r>
        <w:rPr>
          <w:rFonts w:asciiTheme="minorEastAsia" w:hAnsiTheme="minorEastAsia" w:eastAsiaTheme="minorEastAsia"/>
          <w:spacing w:val="-5"/>
        </w:rPr>
        <w:t>设备的确认。</w:t>
      </w:r>
    </w:p>
    <w:p>
      <w:pPr>
        <w:pStyle w:val="31"/>
        <w:numPr>
          <w:ilvl w:val="2"/>
          <w:numId w:val="8"/>
        </w:numPr>
        <w:tabs>
          <w:tab w:val="left" w:pos="1452"/>
        </w:tabs>
        <w:adjustRightInd w:val="0"/>
        <w:spacing w:line="360" w:lineRule="auto"/>
        <w:ind w:right="691" w:firstLine="360"/>
        <w:rPr>
          <w:rFonts w:asciiTheme="minorEastAsia" w:hAnsiTheme="minorEastAsia" w:eastAsiaTheme="minorEastAsia"/>
        </w:rPr>
      </w:pPr>
      <w:r>
        <w:rPr>
          <w:rFonts w:asciiTheme="minorEastAsia" w:hAnsiTheme="minorEastAsia" w:eastAsiaTheme="minorEastAsia"/>
          <w:spacing w:val="-15"/>
        </w:rPr>
        <w:t xml:space="preserve">技术服务：指卖方按合同约定，在合同设备验收前，向买方提供的安装、调试服务， </w:t>
      </w:r>
      <w:r>
        <w:rPr>
          <w:rFonts w:asciiTheme="minorEastAsia" w:hAnsiTheme="minorEastAsia" w:eastAsiaTheme="minorEastAsia"/>
          <w:spacing w:val="-7"/>
        </w:rPr>
        <w:t>或者在由买方负责的安装、调试、考核中对买方进行的技术指导、协助、监督和培训等。</w:t>
      </w:r>
    </w:p>
    <w:p>
      <w:pPr>
        <w:pStyle w:val="31"/>
        <w:numPr>
          <w:ilvl w:val="2"/>
          <w:numId w:val="8"/>
        </w:numPr>
        <w:tabs>
          <w:tab w:val="left" w:pos="1447"/>
        </w:tabs>
        <w:adjustRightInd w:val="0"/>
        <w:spacing w:line="360" w:lineRule="auto"/>
        <w:ind w:right="697" w:firstLine="408"/>
        <w:rPr>
          <w:rFonts w:asciiTheme="minorEastAsia" w:hAnsiTheme="minorEastAsia" w:eastAsiaTheme="minorEastAsia"/>
        </w:rPr>
      </w:pPr>
      <w:r>
        <w:rPr>
          <w:rFonts w:asciiTheme="minorEastAsia" w:hAnsiTheme="minorEastAsia" w:eastAsiaTheme="minorEastAsia"/>
          <w:spacing w:val="-3"/>
        </w:rPr>
        <w:t>质量保证期：指合同设备验收后，卖方按合同约定保证合同设备适当、稳定运行， 并负责消除合同设备故障的期限。</w:t>
      </w:r>
    </w:p>
    <w:p>
      <w:pPr>
        <w:pStyle w:val="31"/>
        <w:numPr>
          <w:ilvl w:val="2"/>
          <w:numId w:val="8"/>
        </w:numPr>
        <w:tabs>
          <w:tab w:val="left" w:pos="1452"/>
        </w:tabs>
        <w:adjustRightInd w:val="0"/>
        <w:spacing w:line="360" w:lineRule="auto"/>
        <w:ind w:right="691" w:firstLine="360"/>
        <w:rPr>
          <w:rFonts w:asciiTheme="minorEastAsia" w:hAnsiTheme="minorEastAsia" w:eastAsiaTheme="minorEastAsia"/>
        </w:rPr>
      </w:pPr>
      <w:r>
        <w:rPr>
          <w:rFonts w:asciiTheme="minorEastAsia" w:hAnsiTheme="minorEastAsia" w:eastAsiaTheme="minorEastAsia"/>
          <w:spacing w:val="-15"/>
        </w:rPr>
        <w:t>质保期服务：指在质量保证期内，卖方向买方提供的合同设备维护服务、咨询服务、</w:t>
      </w:r>
      <w:r>
        <w:rPr>
          <w:rFonts w:asciiTheme="minorEastAsia" w:hAnsiTheme="minorEastAsia" w:eastAsiaTheme="minorEastAsia"/>
          <w:spacing w:val="-7"/>
        </w:rPr>
        <w:t>技术指导、协助以及对出现故障的合同设备进行修理或更换的服务。</w:t>
      </w:r>
    </w:p>
    <w:p>
      <w:pPr>
        <w:pStyle w:val="4"/>
        <w:numPr>
          <w:ilvl w:val="2"/>
          <w:numId w:val="8"/>
        </w:numPr>
        <w:tabs>
          <w:tab w:val="left" w:pos="1454"/>
        </w:tabs>
        <w:adjustRightInd w:val="0"/>
        <w:spacing w:line="360" w:lineRule="auto"/>
        <w:ind w:left="1454" w:hanging="632"/>
        <w:rPr>
          <w:rFonts w:asciiTheme="minorEastAsia" w:hAnsiTheme="minorEastAsia" w:eastAsiaTheme="minorEastAsia"/>
        </w:rPr>
      </w:pPr>
      <w:r>
        <w:rPr>
          <w:rFonts w:asciiTheme="minorEastAsia" w:hAnsiTheme="minorEastAsia" w:eastAsiaTheme="minorEastAsia"/>
        </w:rPr>
        <w:t>工程</w:t>
      </w:r>
    </w:p>
    <w:p>
      <w:pPr>
        <w:pStyle w:val="31"/>
        <w:numPr>
          <w:ilvl w:val="2"/>
          <w:numId w:val="8"/>
        </w:numPr>
        <w:tabs>
          <w:tab w:val="left" w:pos="1346"/>
        </w:tabs>
        <w:adjustRightInd w:val="0"/>
        <w:spacing w:line="360" w:lineRule="auto"/>
        <w:ind w:right="691" w:firstLine="380"/>
        <w:rPr>
          <w:rFonts w:asciiTheme="minorEastAsia" w:hAnsiTheme="minorEastAsia" w:eastAsiaTheme="minorEastAsia"/>
          <w:spacing w:val="-10"/>
        </w:rPr>
      </w:pPr>
      <w:r>
        <w:rPr>
          <w:rFonts w:asciiTheme="minorEastAsia" w:hAnsiTheme="minorEastAsia" w:eastAsiaTheme="minorEastAsia"/>
          <w:spacing w:val="-10"/>
        </w:rPr>
        <w:t>工程：指在专用合同条款中指明的，安装运行合同设备的工程。</w:t>
      </w:r>
    </w:p>
    <w:p>
      <w:pPr>
        <w:pStyle w:val="31"/>
        <w:numPr>
          <w:ilvl w:val="2"/>
          <w:numId w:val="8"/>
        </w:numPr>
        <w:tabs>
          <w:tab w:val="left" w:pos="1346"/>
        </w:tabs>
        <w:adjustRightInd w:val="0"/>
        <w:spacing w:line="360" w:lineRule="auto"/>
        <w:ind w:right="691" w:firstLine="380"/>
        <w:rPr>
          <w:rFonts w:asciiTheme="minorEastAsia" w:hAnsiTheme="minorEastAsia" w:eastAsiaTheme="minorEastAsia"/>
          <w:spacing w:val="-10"/>
        </w:rPr>
      </w:pPr>
      <w:r>
        <w:rPr>
          <w:rFonts w:asciiTheme="minorEastAsia" w:hAnsiTheme="minorEastAsia" w:eastAsiaTheme="minorEastAsia"/>
          <w:spacing w:val="-10"/>
        </w:rPr>
        <w:t>施工场地（或称工地、施工现场）：指专用合同条款中指明的工程所在场所。</w:t>
      </w:r>
    </w:p>
    <w:p>
      <w:pPr>
        <w:pStyle w:val="31"/>
        <w:numPr>
          <w:ilvl w:val="2"/>
          <w:numId w:val="8"/>
        </w:numPr>
        <w:tabs>
          <w:tab w:val="left" w:pos="1346"/>
        </w:tabs>
        <w:adjustRightInd w:val="0"/>
        <w:spacing w:line="360" w:lineRule="auto"/>
        <w:ind w:right="691" w:firstLine="380"/>
        <w:rPr>
          <w:rFonts w:asciiTheme="minorEastAsia" w:hAnsiTheme="minorEastAsia" w:eastAsiaTheme="minorEastAsia"/>
        </w:rPr>
      </w:pPr>
      <w:r>
        <w:rPr>
          <w:rFonts w:asciiTheme="minorEastAsia" w:hAnsiTheme="minorEastAsia" w:eastAsiaTheme="minorEastAsia"/>
          <w:spacing w:val="-10"/>
        </w:rPr>
        <w:t>天（或称日）：除特别指明外，</w:t>
      </w:r>
      <w:r>
        <w:rPr>
          <w:rFonts w:asciiTheme="minorEastAsia" w:hAnsiTheme="minorEastAsia" w:eastAsiaTheme="minorEastAsia"/>
          <w:spacing w:val="-18"/>
        </w:rPr>
        <w:t xml:space="preserve">指日历天。合同中按天计算时间的，开始当天不计入， </w:t>
      </w:r>
      <w:r>
        <w:rPr>
          <w:rFonts w:asciiTheme="minorEastAsia" w:hAnsiTheme="minorEastAsia" w:eastAsiaTheme="minorEastAsia"/>
          <w:spacing w:val="-12"/>
        </w:rPr>
        <w:t>从次日开始计算。合同约定的期间的最后一天是星期日或者其他法定休假日的，以休假日的次</w:t>
      </w:r>
      <w:r>
        <w:rPr>
          <w:rFonts w:asciiTheme="minorEastAsia" w:hAnsiTheme="minorEastAsia" w:eastAsiaTheme="minorEastAsia"/>
          <w:spacing w:val="-6"/>
        </w:rPr>
        <w:t>日为期间的最后一天。</w:t>
      </w:r>
    </w:p>
    <w:p>
      <w:pPr>
        <w:pStyle w:val="31"/>
        <w:numPr>
          <w:ilvl w:val="2"/>
          <w:numId w:val="9"/>
        </w:numPr>
        <w:tabs>
          <w:tab w:val="left" w:pos="1452"/>
        </w:tabs>
        <w:adjustRightInd w:val="0"/>
        <w:spacing w:line="360" w:lineRule="auto"/>
        <w:ind w:right="691" w:firstLine="360"/>
        <w:rPr>
          <w:rFonts w:asciiTheme="minorEastAsia" w:hAnsiTheme="minorEastAsia" w:eastAsiaTheme="minorEastAsia"/>
        </w:rPr>
      </w:pPr>
      <w:r>
        <w:rPr>
          <w:rFonts w:asciiTheme="minorEastAsia" w:hAnsiTheme="minorEastAsia" w:eastAsiaTheme="minorEastAsia"/>
          <w:spacing w:val="-15"/>
        </w:rPr>
        <w:t>月：按照公历月计算。合同中按月计算时间的，开始当天不计入，从次日开始计算。</w:t>
      </w:r>
      <w:r>
        <w:rPr>
          <w:rFonts w:asciiTheme="minorEastAsia" w:hAnsiTheme="minorEastAsia" w:eastAsiaTheme="minorEastAsia"/>
          <w:spacing w:val="-11"/>
        </w:rPr>
        <w:t>合同约定的期间的最后一天是星期日或者其他法定休假日的，以休假日的次日为期间的最后一天。</w:t>
      </w:r>
    </w:p>
    <w:p>
      <w:pPr>
        <w:pStyle w:val="31"/>
        <w:numPr>
          <w:ilvl w:val="2"/>
          <w:numId w:val="9"/>
        </w:numPr>
        <w:tabs>
          <w:tab w:val="left" w:pos="1454"/>
        </w:tabs>
        <w:adjustRightInd w:val="0"/>
        <w:spacing w:line="360" w:lineRule="auto"/>
        <w:ind w:right="694" w:firstLine="408"/>
        <w:rPr>
          <w:rFonts w:asciiTheme="minorEastAsia" w:hAnsiTheme="minorEastAsia" w:eastAsiaTheme="minorEastAsia"/>
        </w:rPr>
      </w:pPr>
      <w:r>
        <w:rPr>
          <w:rFonts w:asciiTheme="minorEastAsia" w:hAnsiTheme="minorEastAsia" w:eastAsiaTheme="minorEastAsia"/>
          <w:spacing w:val="-3"/>
        </w:rPr>
        <w:t>书面形式：指合同文件、信件和数据电文（</w:t>
      </w:r>
      <w:r>
        <w:rPr>
          <w:rFonts w:asciiTheme="minorEastAsia" w:hAnsiTheme="minorEastAsia" w:eastAsiaTheme="minorEastAsia"/>
          <w:spacing w:val="-2"/>
        </w:rPr>
        <w:t>包括电报、电传、传真、电子数据交换</w:t>
      </w:r>
      <w:r>
        <w:rPr>
          <w:rFonts w:asciiTheme="minorEastAsia" w:hAnsiTheme="minorEastAsia" w:eastAsiaTheme="minorEastAsia"/>
          <w:spacing w:val="-3"/>
        </w:rPr>
        <w:t>和电子邮件</w:t>
      </w:r>
      <w:r>
        <w:rPr>
          <w:rFonts w:asciiTheme="minorEastAsia" w:hAnsiTheme="minorEastAsia" w:eastAsiaTheme="minorEastAsia"/>
        </w:rPr>
        <w:t>）</w:t>
      </w:r>
      <w:r>
        <w:rPr>
          <w:rFonts w:asciiTheme="minorEastAsia" w:hAnsiTheme="minorEastAsia" w:eastAsiaTheme="minorEastAsia"/>
          <w:spacing w:val="-3"/>
        </w:rPr>
        <w:t>等可以有形地表现所载内容的形式。</w:t>
      </w:r>
    </w:p>
    <w:p>
      <w:pPr>
        <w:pStyle w:val="6"/>
        <w:adjustRightInd w:val="0"/>
        <w:spacing w:before="8" w:line="360" w:lineRule="auto"/>
        <w:rPr>
          <w:rFonts w:asciiTheme="minorEastAsia" w:hAnsiTheme="minorEastAsia" w:eastAsiaTheme="minorEastAsia"/>
          <w:sz w:val="19"/>
        </w:rPr>
      </w:pPr>
    </w:p>
    <w:p>
      <w:pPr>
        <w:pStyle w:val="3"/>
        <w:numPr>
          <w:ilvl w:val="1"/>
          <w:numId w:val="9"/>
        </w:numPr>
        <w:tabs>
          <w:tab w:val="left" w:pos="1027"/>
        </w:tabs>
        <w:adjustRightInd w:val="0"/>
        <w:spacing w:line="360" w:lineRule="auto"/>
        <w:ind w:left="1026" w:hanging="489"/>
        <w:jc w:val="left"/>
        <w:rPr>
          <w:rFonts w:asciiTheme="minorEastAsia" w:hAnsiTheme="minorEastAsia" w:eastAsiaTheme="minorEastAsia"/>
        </w:rPr>
      </w:pPr>
      <w:bookmarkStart w:id="116" w:name="_bookmark107"/>
      <w:bookmarkEnd w:id="116"/>
      <w:r>
        <w:rPr>
          <w:rFonts w:asciiTheme="minorEastAsia" w:hAnsiTheme="minorEastAsia" w:eastAsiaTheme="minorEastAsia"/>
        </w:rPr>
        <w:t>语言文字</w:t>
      </w:r>
    </w:p>
    <w:p>
      <w:pPr>
        <w:pStyle w:val="6"/>
        <w:adjustRightInd w:val="0"/>
        <w:spacing w:before="266" w:line="360" w:lineRule="auto"/>
        <w:ind w:left="820"/>
        <w:rPr>
          <w:rFonts w:asciiTheme="minorEastAsia" w:hAnsiTheme="minorEastAsia" w:eastAsiaTheme="minorEastAsia"/>
        </w:rPr>
      </w:pPr>
      <w:r>
        <w:rPr>
          <w:rFonts w:asciiTheme="minorEastAsia" w:hAnsiTheme="minorEastAsia" w:eastAsiaTheme="minorEastAsia"/>
        </w:rPr>
        <w:t>合同使用的语言文字为中文。专用术语使用外文的，应附有中文注释。</w:t>
      </w:r>
    </w:p>
    <w:p>
      <w:pPr>
        <w:pStyle w:val="3"/>
        <w:numPr>
          <w:ilvl w:val="1"/>
          <w:numId w:val="9"/>
        </w:numPr>
        <w:tabs>
          <w:tab w:val="left" w:pos="958"/>
        </w:tabs>
        <w:adjustRightInd w:val="0"/>
        <w:spacing w:before="41" w:line="360" w:lineRule="auto"/>
        <w:ind w:left="957" w:hanging="420"/>
        <w:jc w:val="left"/>
        <w:rPr>
          <w:rFonts w:asciiTheme="minorEastAsia" w:hAnsiTheme="minorEastAsia" w:eastAsiaTheme="minorEastAsia"/>
        </w:rPr>
      </w:pPr>
      <w:bookmarkStart w:id="117" w:name="_bookmark108"/>
      <w:bookmarkEnd w:id="117"/>
      <w:r>
        <w:rPr>
          <w:rFonts w:asciiTheme="minorEastAsia" w:hAnsiTheme="minorEastAsia" w:eastAsiaTheme="minorEastAsia"/>
          <w:spacing w:val="-2"/>
        </w:rPr>
        <w:t>合同文件的优先顺序</w:t>
      </w:r>
    </w:p>
    <w:p>
      <w:pPr>
        <w:pStyle w:val="6"/>
        <w:adjustRightInd w:val="0"/>
        <w:spacing w:before="266" w:line="360" w:lineRule="auto"/>
        <w:ind w:left="400" w:right="694" w:firstLine="419"/>
        <w:rPr>
          <w:rFonts w:asciiTheme="minorEastAsia" w:hAnsiTheme="minorEastAsia" w:eastAsiaTheme="minorEastAsia"/>
        </w:rPr>
      </w:pPr>
      <w:r>
        <w:rPr>
          <w:rFonts w:asciiTheme="minorEastAsia" w:hAnsiTheme="minorEastAsia" w:eastAsiaTheme="minorEastAsia"/>
        </w:rPr>
        <w:t>组成合同的各项文件应互相解释，互为说明。除专用合同条款另有约定外，解释合同文件的优先顺序如下：</w:t>
      </w:r>
    </w:p>
    <w:p>
      <w:pPr>
        <w:pStyle w:val="6"/>
        <w:adjustRightInd w:val="0"/>
        <w:spacing w:line="360" w:lineRule="auto"/>
        <w:ind w:left="820"/>
        <w:rPr>
          <w:rFonts w:asciiTheme="minorEastAsia" w:hAnsiTheme="minorEastAsia" w:eastAsiaTheme="minorEastAsia"/>
        </w:rPr>
      </w:pPr>
      <w:r>
        <w:rPr>
          <w:rFonts w:asciiTheme="minorEastAsia" w:hAnsiTheme="minorEastAsia" w:eastAsiaTheme="minorEastAsia"/>
        </w:rPr>
        <w:t>（1）合同协议书；</w:t>
      </w:r>
    </w:p>
    <w:p>
      <w:pPr>
        <w:pStyle w:val="6"/>
        <w:adjustRightInd w:val="0"/>
        <w:spacing w:before="138" w:line="360" w:lineRule="auto"/>
        <w:ind w:left="820"/>
        <w:rPr>
          <w:rFonts w:asciiTheme="minorEastAsia" w:hAnsiTheme="minorEastAsia" w:eastAsiaTheme="minorEastAsia"/>
        </w:rPr>
      </w:pPr>
      <w:r>
        <w:rPr>
          <w:rFonts w:asciiTheme="minorEastAsia" w:hAnsiTheme="minorEastAsia" w:eastAsiaTheme="minorEastAsia"/>
        </w:rPr>
        <w:t>（2）中标通知书；</w:t>
      </w:r>
    </w:p>
    <w:p>
      <w:pPr>
        <w:pStyle w:val="6"/>
        <w:adjustRightInd w:val="0"/>
        <w:spacing w:before="139" w:line="360" w:lineRule="auto"/>
        <w:ind w:left="820"/>
        <w:rPr>
          <w:rFonts w:asciiTheme="minorEastAsia" w:hAnsiTheme="minorEastAsia" w:eastAsiaTheme="minorEastAsia"/>
        </w:rPr>
      </w:pPr>
      <w:r>
        <w:rPr>
          <w:rFonts w:asciiTheme="minorEastAsia" w:hAnsiTheme="minorEastAsia" w:eastAsiaTheme="minorEastAsia"/>
        </w:rPr>
        <w:t>（3）投标函；</w:t>
      </w:r>
    </w:p>
    <w:p>
      <w:pPr>
        <w:pStyle w:val="6"/>
        <w:adjustRightInd w:val="0"/>
        <w:spacing w:before="142" w:line="360" w:lineRule="auto"/>
        <w:ind w:left="820"/>
        <w:rPr>
          <w:rFonts w:asciiTheme="minorEastAsia" w:hAnsiTheme="minorEastAsia" w:eastAsiaTheme="minorEastAsia"/>
        </w:rPr>
      </w:pPr>
      <w:r>
        <w:rPr>
          <w:rFonts w:asciiTheme="minorEastAsia" w:hAnsiTheme="minorEastAsia" w:eastAsiaTheme="minorEastAsia"/>
        </w:rPr>
        <w:t>（4）商务和技术偏差表；</w:t>
      </w:r>
    </w:p>
    <w:p>
      <w:pPr>
        <w:pStyle w:val="6"/>
        <w:adjustRightInd w:val="0"/>
        <w:spacing w:before="139" w:line="360" w:lineRule="auto"/>
        <w:ind w:left="820"/>
        <w:rPr>
          <w:rFonts w:asciiTheme="minorEastAsia" w:hAnsiTheme="minorEastAsia" w:eastAsiaTheme="minorEastAsia"/>
        </w:rPr>
      </w:pPr>
      <w:r>
        <w:rPr>
          <w:rFonts w:asciiTheme="minorEastAsia" w:hAnsiTheme="minorEastAsia" w:eastAsiaTheme="minorEastAsia"/>
        </w:rPr>
        <w:t>（5）专用合同条款；</w:t>
      </w:r>
    </w:p>
    <w:p>
      <w:pPr>
        <w:pStyle w:val="6"/>
        <w:adjustRightInd w:val="0"/>
        <w:spacing w:before="139" w:line="360" w:lineRule="auto"/>
        <w:ind w:left="820"/>
        <w:rPr>
          <w:rFonts w:asciiTheme="minorEastAsia" w:hAnsiTheme="minorEastAsia" w:eastAsiaTheme="minorEastAsia"/>
        </w:rPr>
      </w:pPr>
      <w:r>
        <w:rPr>
          <w:rFonts w:asciiTheme="minorEastAsia" w:hAnsiTheme="minorEastAsia" w:eastAsiaTheme="minorEastAsia"/>
        </w:rPr>
        <w:t>（6）通用合同条款；</w:t>
      </w:r>
    </w:p>
    <w:p>
      <w:pPr>
        <w:pStyle w:val="6"/>
        <w:adjustRightInd w:val="0"/>
        <w:spacing w:before="139" w:line="360" w:lineRule="auto"/>
        <w:ind w:left="820"/>
        <w:rPr>
          <w:rFonts w:asciiTheme="minorEastAsia" w:hAnsiTheme="minorEastAsia" w:eastAsiaTheme="minorEastAsia"/>
        </w:rPr>
      </w:pPr>
      <w:r>
        <w:rPr>
          <w:rFonts w:asciiTheme="minorEastAsia" w:hAnsiTheme="minorEastAsia" w:eastAsiaTheme="minorEastAsia"/>
        </w:rPr>
        <w:t>（7）供货要求；</w:t>
      </w:r>
    </w:p>
    <w:p>
      <w:pPr>
        <w:pStyle w:val="6"/>
        <w:adjustRightInd w:val="0"/>
        <w:spacing w:before="142" w:line="360" w:lineRule="auto"/>
        <w:ind w:left="820"/>
        <w:rPr>
          <w:rFonts w:asciiTheme="minorEastAsia" w:hAnsiTheme="minorEastAsia" w:eastAsiaTheme="minorEastAsia"/>
        </w:rPr>
      </w:pPr>
      <w:r>
        <w:rPr>
          <w:rFonts w:asciiTheme="minorEastAsia" w:hAnsiTheme="minorEastAsia" w:eastAsiaTheme="minorEastAsia"/>
        </w:rPr>
        <w:t>（8）分项报价表；</w:t>
      </w:r>
    </w:p>
    <w:p>
      <w:pPr>
        <w:pStyle w:val="6"/>
        <w:adjustRightInd w:val="0"/>
        <w:spacing w:before="138" w:line="360" w:lineRule="auto"/>
        <w:ind w:left="820"/>
        <w:rPr>
          <w:rFonts w:asciiTheme="minorEastAsia" w:hAnsiTheme="minorEastAsia" w:eastAsiaTheme="minorEastAsia"/>
        </w:rPr>
      </w:pPr>
      <w:r>
        <w:rPr>
          <w:rFonts w:asciiTheme="minorEastAsia" w:hAnsiTheme="minorEastAsia" w:eastAsiaTheme="minorEastAsia"/>
        </w:rPr>
        <w:t>（9）中标设备技术性能指标的详细描述；</w:t>
      </w:r>
    </w:p>
    <w:p>
      <w:pPr>
        <w:pStyle w:val="6"/>
        <w:adjustRightInd w:val="0"/>
        <w:spacing w:before="139" w:line="360" w:lineRule="auto"/>
        <w:ind w:left="820"/>
        <w:rPr>
          <w:rFonts w:asciiTheme="minorEastAsia" w:hAnsiTheme="minorEastAsia" w:eastAsiaTheme="minorEastAsia"/>
        </w:rPr>
      </w:pPr>
      <w:r>
        <w:rPr>
          <w:rFonts w:asciiTheme="minorEastAsia" w:hAnsiTheme="minorEastAsia" w:eastAsiaTheme="minorEastAsia"/>
        </w:rPr>
        <w:t>（10）技术服务和质保期服务计划；</w:t>
      </w:r>
    </w:p>
    <w:p>
      <w:pPr>
        <w:pStyle w:val="6"/>
        <w:adjustRightInd w:val="0"/>
        <w:spacing w:before="139" w:line="360" w:lineRule="auto"/>
        <w:ind w:left="820"/>
        <w:rPr>
          <w:rFonts w:asciiTheme="minorEastAsia" w:hAnsiTheme="minorEastAsia" w:eastAsiaTheme="minorEastAsia"/>
        </w:rPr>
      </w:pPr>
      <w:r>
        <w:rPr>
          <w:rFonts w:asciiTheme="minorEastAsia" w:hAnsiTheme="minorEastAsia" w:eastAsiaTheme="minorEastAsia"/>
        </w:rPr>
        <w:t>（11）其他合同文件。</w:t>
      </w:r>
    </w:p>
    <w:p>
      <w:pPr>
        <w:pStyle w:val="6"/>
        <w:adjustRightInd w:val="0"/>
        <w:spacing w:before="1" w:line="360" w:lineRule="auto"/>
        <w:rPr>
          <w:rFonts w:asciiTheme="minorEastAsia" w:hAnsiTheme="minorEastAsia" w:eastAsiaTheme="minorEastAsia"/>
          <w:sz w:val="31"/>
        </w:rPr>
      </w:pPr>
    </w:p>
    <w:p>
      <w:pPr>
        <w:pStyle w:val="3"/>
        <w:numPr>
          <w:ilvl w:val="1"/>
          <w:numId w:val="9"/>
        </w:numPr>
        <w:tabs>
          <w:tab w:val="left" w:pos="1027"/>
        </w:tabs>
        <w:adjustRightInd w:val="0"/>
        <w:spacing w:line="360" w:lineRule="auto"/>
        <w:ind w:left="1026" w:hanging="489"/>
        <w:jc w:val="left"/>
        <w:rPr>
          <w:rFonts w:asciiTheme="minorEastAsia" w:hAnsiTheme="minorEastAsia" w:eastAsiaTheme="minorEastAsia"/>
        </w:rPr>
      </w:pPr>
      <w:bookmarkStart w:id="118" w:name="_bookmark109"/>
      <w:bookmarkEnd w:id="118"/>
      <w:r>
        <w:rPr>
          <w:rFonts w:asciiTheme="minorEastAsia" w:hAnsiTheme="minorEastAsia" w:eastAsiaTheme="minorEastAsia"/>
          <w:spacing w:val="-2"/>
        </w:rPr>
        <w:t>合同的生效及变更</w:t>
      </w:r>
    </w:p>
    <w:p>
      <w:pPr>
        <w:pStyle w:val="31"/>
        <w:numPr>
          <w:ilvl w:val="2"/>
          <w:numId w:val="10"/>
        </w:numPr>
        <w:tabs>
          <w:tab w:val="left" w:pos="1346"/>
        </w:tabs>
        <w:adjustRightInd w:val="0"/>
        <w:spacing w:before="266" w:line="360" w:lineRule="auto"/>
        <w:ind w:right="693" w:firstLine="396"/>
        <w:rPr>
          <w:rFonts w:asciiTheme="minorEastAsia" w:hAnsiTheme="minorEastAsia" w:eastAsiaTheme="minorEastAsia"/>
        </w:rPr>
      </w:pPr>
      <w:r>
        <w:rPr>
          <w:rFonts w:asciiTheme="minorEastAsia" w:hAnsiTheme="minorEastAsia" w:eastAsiaTheme="minorEastAsia"/>
          <w:spacing w:val="-6"/>
        </w:rPr>
        <w:t>除专用合同条款另有约定外，买方和卖方的法定代表人</w:t>
      </w:r>
      <w:r>
        <w:rPr>
          <w:rFonts w:asciiTheme="minorEastAsia" w:hAnsiTheme="minorEastAsia" w:eastAsiaTheme="minorEastAsia"/>
        </w:rPr>
        <w:t>（</w:t>
      </w:r>
      <w:r>
        <w:rPr>
          <w:rFonts w:asciiTheme="minorEastAsia" w:hAnsiTheme="minorEastAsia" w:eastAsiaTheme="minorEastAsia"/>
          <w:spacing w:val="-3"/>
        </w:rPr>
        <w:t>单位负责人</w:t>
      </w:r>
      <w:r>
        <w:rPr>
          <w:rFonts w:asciiTheme="minorEastAsia" w:hAnsiTheme="minorEastAsia" w:eastAsiaTheme="minorEastAsia"/>
          <w:spacing w:val="-27"/>
        </w:rPr>
        <w:t>）</w:t>
      </w:r>
      <w:r>
        <w:rPr>
          <w:rFonts w:asciiTheme="minorEastAsia" w:hAnsiTheme="minorEastAsia" w:eastAsiaTheme="minorEastAsia"/>
          <w:spacing w:val="-2"/>
        </w:rPr>
        <w:t>或其授权代表</w:t>
      </w:r>
      <w:r>
        <w:rPr>
          <w:rFonts w:asciiTheme="minorEastAsia" w:hAnsiTheme="minorEastAsia" w:eastAsiaTheme="minorEastAsia"/>
          <w:spacing w:val="-3"/>
        </w:rPr>
        <w:t>在合同协议书上签字并加盖单位章后，合同生效。</w:t>
      </w:r>
    </w:p>
    <w:p>
      <w:pPr>
        <w:pStyle w:val="31"/>
        <w:numPr>
          <w:ilvl w:val="2"/>
          <w:numId w:val="10"/>
        </w:numPr>
        <w:tabs>
          <w:tab w:val="left" w:pos="1346"/>
        </w:tabs>
        <w:adjustRightInd w:val="0"/>
        <w:spacing w:line="360" w:lineRule="auto"/>
        <w:ind w:right="693" w:firstLine="392"/>
        <w:rPr>
          <w:rFonts w:asciiTheme="minorEastAsia" w:hAnsiTheme="minorEastAsia" w:eastAsiaTheme="minorEastAsia"/>
        </w:rPr>
      </w:pPr>
      <w:r>
        <w:rPr>
          <w:rFonts w:asciiTheme="minorEastAsia" w:hAnsiTheme="minorEastAsia" w:eastAsiaTheme="minorEastAsia"/>
          <w:spacing w:val="-7"/>
        </w:rPr>
        <w:t>除专用合同条款另有约定外，在合同履行过程中，如需对合同进行变更，双方应签订</w:t>
      </w:r>
      <w:r>
        <w:rPr>
          <w:rFonts w:asciiTheme="minorEastAsia" w:hAnsiTheme="minorEastAsia" w:eastAsiaTheme="minorEastAsia"/>
          <w:spacing w:val="-5"/>
        </w:rPr>
        <w:t>书面协议，并经双方法定代表人</w:t>
      </w:r>
      <w:r>
        <w:rPr>
          <w:rFonts w:asciiTheme="minorEastAsia" w:hAnsiTheme="minorEastAsia" w:eastAsiaTheme="minorEastAsia"/>
        </w:rPr>
        <w:t>（</w:t>
      </w:r>
      <w:r>
        <w:rPr>
          <w:rFonts w:asciiTheme="minorEastAsia" w:hAnsiTheme="minorEastAsia" w:eastAsiaTheme="minorEastAsia"/>
          <w:spacing w:val="-3"/>
        </w:rPr>
        <w:t>单位负责人</w:t>
      </w:r>
      <w:r>
        <w:rPr>
          <w:rFonts w:asciiTheme="minorEastAsia" w:hAnsiTheme="minorEastAsia" w:eastAsiaTheme="minorEastAsia"/>
        </w:rPr>
        <w:t>）</w:t>
      </w:r>
      <w:r>
        <w:rPr>
          <w:rFonts w:asciiTheme="minorEastAsia" w:hAnsiTheme="minorEastAsia" w:eastAsiaTheme="minorEastAsia"/>
          <w:spacing w:val="-3"/>
        </w:rPr>
        <w:t>或其授权代表签字并加盖单位章后生效。</w:t>
      </w:r>
    </w:p>
    <w:p>
      <w:pPr>
        <w:pStyle w:val="6"/>
        <w:adjustRightInd w:val="0"/>
        <w:spacing w:before="8" w:line="360" w:lineRule="auto"/>
        <w:rPr>
          <w:rFonts w:asciiTheme="minorEastAsia" w:hAnsiTheme="minorEastAsia" w:eastAsiaTheme="minorEastAsia"/>
          <w:sz w:val="19"/>
        </w:rPr>
      </w:pPr>
    </w:p>
    <w:p>
      <w:pPr>
        <w:pStyle w:val="3"/>
        <w:numPr>
          <w:ilvl w:val="1"/>
          <w:numId w:val="10"/>
        </w:numPr>
        <w:tabs>
          <w:tab w:val="left" w:pos="958"/>
        </w:tabs>
        <w:adjustRightInd w:val="0"/>
        <w:spacing w:line="360" w:lineRule="auto"/>
        <w:ind w:left="957" w:hanging="420"/>
        <w:jc w:val="left"/>
        <w:rPr>
          <w:rFonts w:asciiTheme="minorEastAsia" w:hAnsiTheme="minorEastAsia" w:eastAsiaTheme="minorEastAsia"/>
        </w:rPr>
      </w:pPr>
      <w:bookmarkStart w:id="119" w:name="_bookmark110"/>
      <w:bookmarkEnd w:id="119"/>
      <w:r>
        <w:rPr>
          <w:rFonts w:asciiTheme="minorEastAsia" w:hAnsiTheme="minorEastAsia" w:eastAsiaTheme="minorEastAsia"/>
        </w:rPr>
        <w:t>联络</w:t>
      </w:r>
    </w:p>
    <w:p>
      <w:pPr>
        <w:pStyle w:val="31"/>
        <w:numPr>
          <w:ilvl w:val="2"/>
          <w:numId w:val="10"/>
        </w:numPr>
        <w:tabs>
          <w:tab w:val="left" w:pos="1346"/>
        </w:tabs>
        <w:adjustRightInd w:val="0"/>
        <w:spacing w:before="267" w:line="360" w:lineRule="auto"/>
        <w:ind w:right="691" w:firstLine="392"/>
        <w:rPr>
          <w:rFonts w:asciiTheme="minorEastAsia" w:hAnsiTheme="minorEastAsia" w:eastAsiaTheme="minorEastAsia"/>
        </w:rPr>
      </w:pPr>
      <w:r>
        <w:rPr>
          <w:rFonts w:asciiTheme="minorEastAsia" w:hAnsiTheme="minorEastAsia" w:eastAsiaTheme="minorEastAsia"/>
          <w:spacing w:val="-7"/>
        </w:rPr>
        <w:t>买卖双方应就合同履行中有关的事项及时进行联络，重要事项应通过书面形式进行联络或确认。合同履行过程中的任何联络及相关文件的签署，均应通过专用合同条款指定的联系</w:t>
      </w:r>
      <w:r>
        <w:rPr>
          <w:rFonts w:asciiTheme="minorEastAsia" w:hAnsiTheme="minorEastAsia" w:eastAsiaTheme="minorEastAsia"/>
          <w:spacing w:val="-3"/>
        </w:rPr>
        <w:t>人和联系方式进行。合同履行过程中，双方可以书面形式增加或变更指定联系人。</w:t>
      </w:r>
    </w:p>
    <w:p>
      <w:pPr>
        <w:pStyle w:val="31"/>
        <w:numPr>
          <w:ilvl w:val="2"/>
          <w:numId w:val="10"/>
        </w:numPr>
        <w:tabs>
          <w:tab w:val="left" w:pos="1346"/>
        </w:tabs>
        <w:adjustRightInd w:val="0"/>
        <w:spacing w:line="360" w:lineRule="auto"/>
        <w:ind w:firstLine="400"/>
        <w:rPr>
          <w:rFonts w:asciiTheme="minorEastAsia" w:hAnsiTheme="minorEastAsia" w:eastAsiaTheme="minorEastAsia"/>
        </w:rPr>
      </w:pPr>
      <w:r>
        <w:rPr>
          <w:rFonts w:asciiTheme="minorEastAsia" w:hAnsiTheme="minorEastAsia" w:eastAsiaTheme="minorEastAsia"/>
          <w:spacing w:val="-5"/>
        </w:rPr>
        <w:t xml:space="preserve">合同履行中或与合同有关的任何联络，送达到第 </w:t>
      </w:r>
      <w:r>
        <w:rPr>
          <w:rFonts w:asciiTheme="minorEastAsia" w:hAnsiTheme="minorEastAsia" w:eastAsiaTheme="minorEastAsia"/>
        </w:rPr>
        <w:t>1.5.1</w:t>
      </w:r>
      <w:r>
        <w:rPr>
          <w:rFonts w:asciiTheme="minorEastAsia" w:hAnsiTheme="minorEastAsia" w:eastAsiaTheme="minorEastAsia"/>
          <w:spacing w:val="-3"/>
        </w:rPr>
        <w:t>项指定的联系人即视为送达。</w:t>
      </w:r>
    </w:p>
    <w:p>
      <w:pPr>
        <w:pStyle w:val="31"/>
        <w:numPr>
          <w:ilvl w:val="2"/>
          <w:numId w:val="10"/>
        </w:numPr>
        <w:tabs>
          <w:tab w:val="left" w:pos="1346"/>
        </w:tabs>
        <w:adjustRightInd w:val="0"/>
        <w:spacing w:before="139" w:line="360" w:lineRule="auto"/>
        <w:ind w:firstLine="392"/>
        <w:rPr>
          <w:rFonts w:asciiTheme="minorEastAsia" w:hAnsiTheme="minorEastAsia" w:eastAsiaTheme="minorEastAsia"/>
        </w:rPr>
      </w:pPr>
      <w:r>
        <w:rPr>
          <w:rFonts w:asciiTheme="minorEastAsia" w:hAnsiTheme="minorEastAsia" w:eastAsiaTheme="minorEastAsia"/>
          <w:spacing w:val="-7"/>
        </w:rPr>
        <w:t>买方可以安排监理等相关人员作为买方人员，与卖方进行联络或参加合同设备的监造</w:t>
      </w:r>
    </w:p>
    <w:p>
      <w:pPr>
        <w:pStyle w:val="6"/>
        <w:adjustRightInd w:val="0"/>
        <w:spacing w:before="139" w:line="360" w:lineRule="auto"/>
        <w:ind w:left="400" w:right="693"/>
        <w:rPr>
          <w:rFonts w:asciiTheme="minorEastAsia" w:hAnsiTheme="minorEastAsia" w:eastAsiaTheme="minorEastAsia"/>
        </w:rPr>
      </w:pPr>
      <w:r>
        <w:rPr>
          <w:rFonts w:asciiTheme="minorEastAsia" w:hAnsiTheme="minorEastAsia" w:eastAsiaTheme="minorEastAsia"/>
        </w:rPr>
        <w:t>（</w:t>
      </w:r>
      <w:r>
        <w:rPr>
          <w:rFonts w:asciiTheme="minorEastAsia" w:hAnsiTheme="minorEastAsia" w:eastAsiaTheme="minorEastAsia"/>
          <w:spacing w:val="-2"/>
        </w:rPr>
        <w:t>如有</w:t>
      </w:r>
      <w:r>
        <w:rPr>
          <w:rFonts w:asciiTheme="minorEastAsia" w:hAnsiTheme="minorEastAsia" w:eastAsiaTheme="minorEastAsia"/>
          <w:spacing w:val="-106"/>
        </w:rPr>
        <w:t>）</w:t>
      </w:r>
      <w:r>
        <w:rPr>
          <w:rFonts w:asciiTheme="minorEastAsia" w:hAnsiTheme="minorEastAsia" w:eastAsiaTheme="minorEastAsia"/>
          <w:spacing w:val="-6"/>
        </w:rPr>
        <w:t>、交货前检验</w:t>
      </w:r>
      <w:r>
        <w:rPr>
          <w:rFonts w:asciiTheme="minorEastAsia" w:hAnsiTheme="minorEastAsia" w:eastAsiaTheme="minorEastAsia"/>
        </w:rPr>
        <w:t>（</w:t>
      </w:r>
      <w:r>
        <w:rPr>
          <w:rFonts w:asciiTheme="minorEastAsia" w:hAnsiTheme="minorEastAsia" w:eastAsiaTheme="minorEastAsia"/>
          <w:spacing w:val="-2"/>
        </w:rPr>
        <w:t>如有</w:t>
      </w:r>
      <w:r>
        <w:rPr>
          <w:rFonts w:asciiTheme="minorEastAsia" w:hAnsiTheme="minorEastAsia" w:eastAsiaTheme="minorEastAsia"/>
          <w:spacing w:val="-106"/>
        </w:rPr>
        <w:t>）</w:t>
      </w:r>
      <w:r>
        <w:rPr>
          <w:rFonts w:asciiTheme="minorEastAsia" w:hAnsiTheme="minorEastAsia" w:eastAsiaTheme="minorEastAsia"/>
          <w:spacing w:val="-11"/>
        </w:rPr>
        <w:t xml:space="preserve">、开箱检验、安装、调试、考核、验收等，但应按照第 </w:t>
      </w:r>
      <w:r>
        <w:rPr>
          <w:rFonts w:asciiTheme="minorEastAsia" w:hAnsiTheme="minorEastAsia" w:eastAsiaTheme="minorEastAsia"/>
        </w:rPr>
        <w:t xml:space="preserve">1.5.1 </w:t>
      </w:r>
      <w:r>
        <w:rPr>
          <w:rFonts w:asciiTheme="minorEastAsia" w:hAnsiTheme="minorEastAsia" w:eastAsiaTheme="minorEastAsia"/>
          <w:spacing w:val="-3"/>
        </w:rPr>
        <w:t>项的约定事先书面通知卖方。</w:t>
      </w:r>
    </w:p>
    <w:p>
      <w:pPr>
        <w:pStyle w:val="3"/>
        <w:numPr>
          <w:ilvl w:val="1"/>
          <w:numId w:val="10"/>
        </w:numPr>
        <w:tabs>
          <w:tab w:val="left" w:pos="1027"/>
        </w:tabs>
        <w:adjustRightInd w:val="0"/>
        <w:spacing w:before="41" w:line="360" w:lineRule="auto"/>
        <w:ind w:left="1026" w:hanging="489"/>
        <w:jc w:val="left"/>
        <w:rPr>
          <w:rFonts w:asciiTheme="minorEastAsia" w:hAnsiTheme="minorEastAsia" w:eastAsiaTheme="minorEastAsia"/>
        </w:rPr>
      </w:pPr>
      <w:bookmarkStart w:id="120" w:name="_bookmark111"/>
      <w:bookmarkEnd w:id="120"/>
      <w:r>
        <w:rPr>
          <w:rFonts w:asciiTheme="minorEastAsia" w:hAnsiTheme="minorEastAsia" w:eastAsiaTheme="minorEastAsia"/>
        </w:rPr>
        <w:t>联合体</w:t>
      </w:r>
    </w:p>
    <w:p>
      <w:pPr>
        <w:pStyle w:val="31"/>
        <w:numPr>
          <w:ilvl w:val="2"/>
          <w:numId w:val="10"/>
        </w:numPr>
        <w:tabs>
          <w:tab w:val="left" w:pos="1346"/>
        </w:tabs>
        <w:adjustRightInd w:val="0"/>
        <w:spacing w:before="266" w:line="360" w:lineRule="auto"/>
        <w:ind w:right="691" w:firstLine="380"/>
        <w:rPr>
          <w:rFonts w:asciiTheme="minorEastAsia" w:hAnsiTheme="minorEastAsia" w:eastAsiaTheme="minorEastAsia"/>
        </w:rPr>
      </w:pPr>
      <w:r>
        <w:rPr>
          <w:rFonts w:asciiTheme="minorEastAsia" w:hAnsiTheme="minorEastAsia" w:eastAsiaTheme="minorEastAsia"/>
          <w:spacing w:val="-10"/>
        </w:rPr>
        <w:t>卖方为联合体的，联合体各方应当共同与买方签订合同，并向买方为履行合同承担连</w:t>
      </w:r>
      <w:r>
        <w:rPr>
          <w:rFonts w:asciiTheme="minorEastAsia" w:hAnsiTheme="minorEastAsia" w:eastAsiaTheme="minorEastAsia"/>
          <w:spacing w:val="-6"/>
        </w:rPr>
        <w:t>带责任。</w:t>
      </w:r>
    </w:p>
    <w:p>
      <w:pPr>
        <w:pStyle w:val="31"/>
        <w:numPr>
          <w:ilvl w:val="2"/>
          <w:numId w:val="10"/>
        </w:numPr>
        <w:tabs>
          <w:tab w:val="left" w:pos="1346"/>
        </w:tabs>
        <w:adjustRightInd w:val="0"/>
        <w:spacing w:line="360" w:lineRule="auto"/>
        <w:ind w:right="693" w:firstLine="384"/>
        <w:rPr>
          <w:rFonts w:asciiTheme="minorEastAsia" w:hAnsiTheme="minorEastAsia" w:eastAsiaTheme="minorEastAsia"/>
        </w:rPr>
      </w:pPr>
      <w:r>
        <w:rPr>
          <w:rFonts w:asciiTheme="minorEastAsia" w:hAnsiTheme="minorEastAsia" w:eastAsiaTheme="minorEastAsia"/>
          <w:spacing w:val="-9"/>
        </w:rPr>
        <w:t>在合同履行过程中，未经买方同意，不得修改联合体协议。联合体协议中关于联合体</w:t>
      </w:r>
      <w:r>
        <w:rPr>
          <w:rFonts w:asciiTheme="minorEastAsia" w:hAnsiTheme="minorEastAsia" w:eastAsiaTheme="minorEastAsia"/>
          <w:spacing w:val="-5"/>
        </w:rPr>
        <w:t>成员间权利义务的划分，并不影响或减损联合体各方应就履行合同向买方承担的连带责任。</w:t>
      </w:r>
    </w:p>
    <w:p>
      <w:pPr>
        <w:pStyle w:val="31"/>
        <w:numPr>
          <w:ilvl w:val="2"/>
          <w:numId w:val="10"/>
        </w:numPr>
        <w:tabs>
          <w:tab w:val="left" w:pos="1346"/>
        </w:tabs>
        <w:adjustRightInd w:val="0"/>
        <w:spacing w:line="360" w:lineRule="auto"/>
        <w:ind w:right="693" w:firstLine="388"/>
        <w:rPr>
          <w:rFonts w:asciiTheme="minorEastAsia" w:hAnsiTheme="minorEastAsia" w:eastAsiaTheme="minorEastAsia"/>
          <w:sz w:val="19"/>
        </w:rPr>
      </w:pPr>
      <w:r>
        <w:rPr>
          <w:rFonts w:asciiTheme="minorEastAsia" w:hAnsiTheme="minorEastAsia" w:eastAsiaTheme="minorEastAsia"/>
          <w:spacing w:val="-8"/>
        </w:rPr>
        <w:t>联合体牵头人代表联合体与买方联系，并接受指示，负责组织联合体各成员全面履行合同。除非专用合同条款另有约定，牵头人在履行合同中的所有行为均视为已获得联合体各方的授权。买方可将合同价款全部支付给牵头人并视为其已适当履行了付款义务。如牵头人的行</w:t>
      </w:r>
      <w:r>
        <w:rPr>
          <w:rFonts w:asciiTheme="minorEastAsia" w:hAnsiTheme="minorEastAsia" w:eastAsiaTheme="minorEastAsia"/>
          <w:spacing w:val="-5"/>
        </w:rPr>
        <w:t>为将构成对合同内容的变更，则牵头人须事先获得联合体各方的特别授权。</w:t>
      </w:r>
    </w:p>
    <w:p>
      <w:pPr>
        <w:pStyle w:val="3"/>
        <w:numPr>
          <w:ilvl w:val="1"/>
          <w:numId w:val="10"/>
        </w:numPr>
        <w:tabs>
          <w:tab w:val="left" w:pos="1027"/>
        </w:tabs>
        <w:adjustRightInd w:val="0"/>
        <w:spacing w:line="360" w:lineRule="auto"/>
        <w:ind w:left="1026" w:hanging="489"/>
        <w:jc w:val="left"/>
        <w:rPr>
          <w:rFonts w:asciiTheme="minorEastAsia" w:hAnsiTheme="minorEastAsia" w:eastAsiaTheme="minorEastAsia"/>
        </w:rPr>
      </w:pPr>
      <w:bookmarkStart w:id="121" w:name="_bookmark112"/>
      <w:bookmarkEnd w:id="121"/>
      <w:r>
        <w:rPr>
          <w:rFonts w:asciiTheme="minorEastAsia" w:hAnsiTheme="minorEastAsia" w:eastAsiaTheme="minorEastAsia"/>
        </w:rPr>
        <w:t>转让</w:t>
      </w:r>
    </w:p>
    <w:p>
      <w:pPr>
        <w:pStyle w:val="6"/>
        <w:adjustRightInd w:val="0"/>
        <w:spacing w:before="266" w:line="360" w:lineRule="auto"/>
        <w:ind w:left="820"/>
        <w:rPr>
          <w:rFonts w:asciiTheme="minorEastAsia" w:hAnsiTheme="minorEastAsia" w:eastAsiaTheme="minorEastAsia"/>
          <w:sz w:val="23"/>
        </w:rPr>
      </w:pPr>
      <w:r>
        <w:rPr>
          <w:rFonts w:asciiTheme="minorEastAsia" w:hAnsiTheme="minorEastAsia" w:eastAsiaTheme="minorEastAsia"/>
        </w:rPr>
        <w:t>未经对方当事人书面同意，合同任何一方均不得转让其在合同项下的权利和（或）义务。</w:t>
      </w:r>
    </w:p>
    <w:p>
      <w:pPr>
        <w:pStyle w:val="2"/>
        <w:numPr>
          <w:ilvl w:val="0"/>
          <w:numId w:val="5"/>
        </w:numPr>
        <w:tabs>
          <w:tab w:val="left" w:pos="802"/>
        </w:tabs>
        <w:adjustRightInd w:val="0"/>
        <w:spacing w:line="360" w:lineRule="auto"/>
        <w:ind w:left="801"/>
        <w:jc w:val="left"/>
        <w:rPr>
          <w:rFonts w:asciiTheme="minorEastAsia" w:hAnsiTheme="minorEastAsia" w:eastAsiaTheme="minorEastAsia"/>
          <w:sz w:val="26"/>
        </w:rPr>
      </w:pPr>
      <w:bookmarkStart w:id="122" w:name="_bookmark113"/>
      <w:bookmarkEnd w:id="122"/>
      <w:r>
        <w:rPr>
          <w:rFonts w:asciiTheme="minorEastAsia" w:hAnsiTheme="minorEastAsia" w:eastAsiaTheme="minorEastAsia"/>
        </w:rPr>
        <w:t>合同范围</w:t>
      </w:r>
    </w:p>
    <w:p>
      <w:pPr>
        <w:pStyle w:val="6"/>
        <w:adjustRightInd w:val="0"/>
        <w:spacing w:line="360" w:lineRule="auto"/>
        <w:ind w:left="400" w:right="693" w:firstLine="419"/>
        <w:rPr>
          <w:rFonts w:asciiTheme="minorEastAsia" w:hAnsiTheme="minorEastAsia" w:eastAsiaTheme="minorEastAsia"/>
        </w:rPr>
      </w:pPr>
      <w:r>
        <w:rPr>
          <w:rFonts w:asciiTheme="minorEastAsia" w:hAnsiTheme="minorEastAsia" w:eastAsiaTheme="minorEastAsia"/>
        </w:rPr>
        <w:t>卖方应根据供货要求、中标设备技术性能指标的详细描述、技术服务和质保期服务计划等合同文件的约定向买方提供合同设备、技术服务和质保期服务。</w:t>
      </w:r>
    </w:p>
    <w:p>
      <w:pPr>
        <w:pStyle w:val="2"/>
        <w:numPr>
          <w:ilvl w:val="0"/>
          <w:numId w:val="5"/>
        </w:numPr>
        <w:tabs>
          <w:tab w:val="left" w:pos="802"/>
        </w:tabs>
        <w:adjustRightInd w:val="0"/>
        <w:spacing w:before="152" w:line="360" w:lineRule="auto"/>
        <w:ind w:left="801"/>
        <w:jc w:val="left"/>
        <w:rPr>
          <w:rFonts w:asciiTheme="minorEastAsia" w:hAnsiTheme="minorEastAsia" w:eastAsiaTheme="minorEastAsia"/>
        </w:rPr>
      </w:pPr>
      <w:bookmarkStart w:id="123" w:name="_bookmark114"/>
      <w:bookmarkEnd w:id="123"/>
      <w:r>
        <w:rPr>
          <w:rFonts w:asciiTheme="minorEastAsia" w:hAnsiTheme="minorEastAsia" w:eastAsiaTheme="minorEastAsia"/>
        </w:rPr>
        <w:t>合同价格与支付</w:t>
      </w:r>
    </w:p>
    <w:p>
      <w:pPr>
        <w:pStyle w:val="6"/>
        <w:adjustRightInd w:val="0"/>
        <w:spacing w:before="13" w:line="360" w:lineRule="auto"/>
        <w:rPr>
          <w:rFonts w:asciiTheme="minorEastAsia" w:hAnsiTheme="minorEastAsia" w:eastAsiaTheme="minorEastAsia"/>
          <w:b/>
          <w:sz w:val="26"/>
        </w:rPr>
      </w:pPr>
    </w:p>
    <w:p>
      <w:pPr>
        <w:pStyle w:val="3"/>
        <w:numPr>
          <w:ilvl w:val="1"/>
          <w:numId w:val="5"/>
        </w:numPr>
        <w:tabs>
          <w:tab w:val="left" w:pos="1027"/>
        </w:tabs>
        <w:adjustRightInd w:val="0"/>
        <w:spacing w:line="360" w:lineRule="auto"/>
        <w:ind w:hanging="489"/>
        <w:rPr>
          <w:rFonts w:asciiTheme="minorEastAsia" w:hAnsiTheme="minorEastAsia" w:eastAsiaTheme="minorEastAsia"/>
        </w:rPr>
      </w:pPr>
      <w:bookmarkStart w:id="124" w:name="_bookmark115"/>
      <w:bookmarkEnd w:id="124"/>
      <w:r>
        <w:rPr>
          <w:rFonts w:asciiTheme="minorEastAsia" w:hAnsiTheme="minorEastAsia" w:eastAsiaTheme="minorEastAsia"/>
        </w:rPr>
        <w:t>合同价格</w:t>
      </w:r>
    </w:p>
    <w:p>
      <w:pPr>
        <w:pStyle w:val="31"/>
        <w:numPr>
          <w:ilvl w:val="2"/>
          <w:numId w:val="5"/>
        </w:numPr>
        <w:tabs>
          <w:tab w:val="left" w:pos="1346"/>
        </w:tabs>
        <w:adjustRightInd w:val="0"/>
        <w:spacing w:before="266" w:line="360" w:lineRule="auto"/>
        <w:ind w:right="691" w:firstLine="400"/>
        <w:rPr>
          <w:rFonts w:asciiTheme="minorEastAsia" w:hAnsiTheme="minorEastAsia" w:eastAsiaTheme="minorEastAsia"/>
        </w:rPr>
      </w:pPr>
      <w:r>
        <w:rPr>
          <w:rFonts w:asciiTheme="minorEastAsia" w:hAnsiTheme="minorEastAsia" w:eastAsiaTheme="minorEastAsia"/>
          <w:spacing w:val="-5"/>
        </w:rPr>
        <w:t>合同协议书中载明的签约合同价包括卖方为完成合同全部义务应承担的一切成本、费</w:t>
      </w:r>
      <w:r>
        <w:rPr>
          <w:rFonts w:asciiTheme="minorEastAsia" w:hAnsiTheme="minorEastAsia" w:eastAsiaTheme="minorEastAsia"/>
          <w:spacing w:val="-4"/>
        </w:rPr>
        <w:t>用和支出以及卖方的合理利润。</w:t>
      </w:r>
    </w:p>
    <w:p>
      <w:pPr>
        <w:pStyle w:val="31"/>
        <w:numPr>
          <w:ilvl w:val="2"/>
          <w:numId w:val="5"/>
        </w:numPr>
        <w:tabs>
          <w:tab w:val="left" w:pos="1346"/>
        </w:tabs>
        <w:adjustRightInd w:val="0"/>
        <w:spacing w:line="360" w:lineRule="auto"/>
        <w:ind w:firstLine="408"/>
        <w:rPr>
          <w:rFonts w:asciiTheme="minorEastAsia" w:hAnsiTheme="minorEastAsia" w:eastAsiaTheme="minorEastAsia"/>
          <w:sz w:val="31"/>
        </w:rPr>
      </w:pPr>
      <w:r>
        <w:rPr>
          <w:rFonts w:asciiTheme="minorEastAsia" w:hAnsiTheme="minorEastAsia" w:eastAsiaTheme="minorEastAsia"/>
          <w:spacing w:val="-3"/>
        </w:rPr>
        <w:t>除专用合同条款另有约定外，签约合同价为固定价格。</w:t>
      </w:r>
    </w:p>
    <w:p>
      <w:pPr>
        <w:pStyle w:val="3"/>
        <w:numPr>
          <w:ilvl w:val="1"/>
          <w:numId w:val="5"/>
        </w:numPr>
        <w:tabs>
          <w:tab w:val="left" w:pos="958"/>
        </w:tabs>
        <w:adjustRightInd w:val="0"/>
        <w:spacing w:line="360" w:lineRule="auto"/>
        <w:ind w:left="957" w:hanging="420"/>
        <w:rPr>
          <w:rFonts w:asciiTheme="minorEastAsia" w:hAnsiTheme="minorEastAsia" w:eastAsiaTheme="minorEastAsia"/>
        </w:rPr>
      </w:pPr>
      <w:bookmarkStart w:id="125" w:name="_bookmark116"/>
      <w:bookmarkEnd w:id="125"/>
      <w:r>
        <w:rPr>
          <w:rFonts w:asciiTheme="minorEastAsia" w:hAnsiTheme="minorEastAsia" w:eastAsiaTheme="minorEastAsia"/>
          <w:spacing w:val="-1"/>
        </w:rPr>
        <w:t>合同价款的支付</w:t>
      </w:r>
    </w:p>
    <w:p>
      <w:pPr>
        <w:pStyle w:val="6"/>
        <w:adjustRightInd w:val="0"/>
        <w:spacing w:before="266" w:line="360" w:lineRule="auto"/>
        <w:rPr>
          <w:rFonts w:asciiTheme="minorEastAsia" w:hAnsiTheme="minorEastAsia" w:eastAsiaTheme="minorEastAsia"/>
        </w:rPr>
      </w:pPr>
      <w:r>
        <w:rPr>
          <w:rFonts w:asciiTheme="minorEastAsia" w:hAnsiTheme="minorEastAsia" w:eastAsiaTheme="minorEastAsia"/>
        </w:rPr>
        <w:t>除专用合同条款另有约定外，买方应通过以下方式和比例向卖方支付合同价款：</w:t>
      </w:r>
    </w:p>
    <w:p>
      <w:pPr>
        <w:pStyle w:val="6"/>
        <w:adjustRightInd w:val="0"/>
        <w:spacing w:before="11" w:line="360" w:lineRule="auto"/>
        <w:rPr>
          <w:rFonts w:asciiTheme="minorEastAsia" w:hAnsiTheme="minorEastAsia" w:eastAsiaTheme="minorEastAsia"/>
          <w:sz w:val="19"/>
        </w:rPr>
      </w:pPr>
      <w:r>
        <w:rPr>
          <w:rFonts w:hint="eastAsia" w:asciiTheme="minorEastAsia" w:hAnsiTheme="minorEastAsia" w:eastAsiaTheme="minorEastAsia"/>
          <w:sz w:val="19"/>
        </w:rPr>
        <w:t>3.2.1预付款</w:t>
      </w:r>
    </w:p>
    <w:p>
      <w:pPr>
        <w:pStyle w:val="6"/>
        <w:adjustRightInd w:val="0"/>
        <w:spacing w:before="11" w:line="360" w:lineRule="auto"/>
        <w:rPr>
          <w:rFonts w:asciiTheme="minorEastAsia" w:hAnsiTheme="minorEastAsia" w:eastAsiaTheme="minorEastAsia"/>
          <w:sz w:val="19"/>
        </w:rPr>
      </w:pPr>
      <w:r>
        <w:rPr>
          <w:rFonts w:hint="eastAsia" w:asciiTheme="minorEastAsia" w:hAnsiTheme="minorEastAsia" w:eastAsiaTheme="minorEastAsia"/>
          <w:sz w:val="19"/>
        </w:rPr>
        <w:t>合同生效后，买方在收到卖方开具的注明应付预付款金额的财务收据正本一份并经审核无误后 28 日内，向卖方支付签约合同价的 10%作为预付款。</w:t>
      </w:r>
    </w:p>
    <w:p>
      <w:pPr>
        <w:pStyle w:val="6"/>
        <w:adjustRightInd w:val="0"/>
        <w:spacing w:before="11" w:line="360" w:lineRule="auto"/>
        <w:rPr>
          <w:rFonts w:asciiTheme="minorEastAsia" w:hAnsiTheme="minorEastAsia" w:eastAsiaTheme="minorEastAsia"/>
          <w:sz w:val="19"/>
        </w:rPr>
      </w:pPr>
      <w:r>
        <w:rPr>
          <w:rFonts w:hint="eastAsia" w:asciiTheme="minorEastAsia" w:hAnsiTheme="minorEastAsia" w:eastAsiaTheme="minorEastAsia"/>
          <w:sz w:val="19"/>
        </w:rPr>
        <w:t>买方支付预付款后，如卖方未履行合同义务，则买方有权收回预付款；如卖方依约履行了合同义务，则预付款抵作合同价款。</w:t>
      </w:r>
    </w:p>
    <w:p>
      <w:pPr>
        <w:pStyle w:val="6"/>
        <w:adjustRightInd w:val="0"/>
        <w:spacing w:before="11" w:line="360" w:lineRule="auto"/>
        <w:rPr>
          <w:rFonts w:asciiTheme="minorEastAsia" w:hAnsiTheme="minorEastAsia" w:eastAsiaTheme="minorEastAsia"/>
          <w:sz w:val="19"/>
        </w:rPr>
      </w:pPr>
      <w:r>
        <w:rPr>
          <w:rFonts w:hint="eastAsia" w:asciiTheme="minorEastAsia" w:hAnsiTheme="minorEastAsia" w:eastAsiaTheme="minorEastAsia"/>
          <w:sz w:val="19"/>
        </w:rPr>
        <w:t>3.2.2交货款</w:t>
      </w:r>
    </w:p>
    <w:p>
      <w:pPr>
        <w:pStyle w:val="6"/>
        <w:adjustRightInd w:val="0"/>
        <w:spacing w:before="11" w:line="360" w:lineRule="auto"/>
        <w:rPr>
          <w:rFonts w:asciiTheme="minorEastAsia" w:hAnsiTheme="minorEastAsia" w:eastAsiaTheme="minorEastAsia"/>
          <w:sz w:val="19"/>
        </w:rPr>
      </w:pPr>
      <w:r>
        <w:rPr>
          <w:rFonts w:hint="eastAsia" w:asciiTheme="minorEastAsia" w:hAnsiTheme="minorEastAsia" w:eastAsiaTheme="minorEastAsia"/>
          <w:sz w:val="19"/>
        </w:rPr>
        <w:t>卖方按合同约定交付全部合同设备后，买方在收到卖方提交的下列全部单据并经审核无误后 28 日内，向卖方支付合同价格的 60%：</w:t>
      </w:r>
    </w:p>
    <w:p>
      <w:pPr>
        <w:pStyle w:val="6"/>
        <w:adjustRightInd w:val="0"/>
        <w:spacing w:before="11" w:line="360" w:lineRule="auto"/>
        <w:rPr>
          <w:rFonts w:asciiTheme="minorEastAsia" w:hAnsiTheme="minorEastAsia" w:eastAsiaTheme="minorEastAsia"/>
          <w:sz w:val="19"/>
        </w:rPr>
      </w:pPr>
      <w:r>
        <w:rPr>
          <w:rFonts w:hint="eastAsia" w:asciiTheme="minorEastAsia" w:hAnsiTheme="minorEastAsia" w:eastAsiaTheme="minorEastAsia"/>
          <w:sz w:val="19"/>
        </w:rPr>
        <w:t>（1）卖方出具的交货清单正本一份；</w:t>
      </w:r>
    </w:p>
    <w:p>
      <w:pPr>
        <w:pStyle w:val="6"/>
        <w:adjustRightInd w:val="0"/>
        <w:spacing w:before="11" w:line="360" w:lineRule="auto"/>
        <w:rPr>
          <w:rFonts w:asciiTheme="minorEastAsia" w:hAnsiTheme="minorEastAsia" w:eastAsiaTheme="minorEastAsia"/>
          <w:sz w:val="19"/>
        </w:rPr>
      </w:pPr>
      <w:r>
        <w:rPr>
          <w:rFonts w:hint="eastAsia" w:asciiTheme="minorEastAsia" w:hAnsiTheme="minorEastAsia" w:eastAsiaTheme="minorEastAsia"/>
          <w:sz w:val="19"/>
        </w:rPr>
        <w:t>（2）买方签署的收货清单正本一份；</w:t>
      </w:r>
    </w:p>
    <w:p>
      <w:pPr>
        <w:pStyle w:val="6"/>
        <w:adjustRightInd w:val="0"/>
        <w:spacing w:before="11" w:line="360" w:lineRule="auto"/>
        <w:rPr>
          <w:rFonts w:asciiTheme="minorEastAsia" w:hAnsiTheme="minorEastAsia" w:eastAsiaTheme="minorEastAsia"/>
          <w:sz w:val="19"/>
        </w:rPr>
      </w:pPr>
      <w:r>
        <w:rPr>
          <w:rFonts w:hint="eastAsia" w:asciiTheme="minorEastAsia" w:hAnsiTheme="minorEastAsia" w:eastAsiaTheme="minorEastAsia"/>
          <w:sz w:val="19"/>
        </w:rPr>
        <w:t>（3）制造商出具的出厂质量合格证正本一份；</w:t>
      </w:r>
    </w:p>
    <w:p>
      <w:pPr>
        <w:pStyle w:val="6"/>
        <w:adjustRightInd w:val="0"/>
        <w:spacing w:before="11" w:line="360" w:lineRule="auto"/>
        <w:rPr>
          <w:rFonts w:asciiTheme="minorEastAsia" w:hAnsiTheme="minorEastAsia" w:eastAsiaTheme="minorEastAsia"/>
          <w:sz w:val="19"/>
        </w:rPr>
      </w:pPr>
      <w:r>
        <w:rPr>
          <w:rFonts w:hint="eastAsia" w:asciiTheme="minorEastAsia" w:hAnsiTheme="minorEastAsia" w:eastAsiaTheme="minorEastAsia"/>
          <w:sz w:val="19"/>
        </w:rPr>
        <w:t>（4）合同价格100%金额的增值税发票正本一份。</w:t>
      </w:r>
    </w:p>
    <w:p>
      <w:pPr>
        <w:pStyle w:val="6"/>
        <w:adjustRightInd w:val="0"/>
        <w:spacing w:before="11" w:line="360" w:lineRule="auto"/>
        <w:rPr>
          <w:rFonts w:asciiTheme="minorEastAsia" w:hAnsiTheme="minorEastAsia" w:eastAsiaTheme="minorEastAsia"/>
          <w:sz w:val="19"/>
        </w:rPr>
      </w:pPr>
      <w:r>
        <w:rPr>
          <w:rFonts w:hint="eastAsia" w:asciiTheme="minorEastAsia" w:hAnsiTheme="minorEastAsia" w:eastAsiaTheme="minorEastAsia"/>
          <w:sz w:val="19"/>
        </w:rPr>
        <w:t>3.2.3验收款</w:t>
      </w:r>
    </w:p>
    <w:p>
      <w:pPr>
        <w:pStyle w:val="6"/>
        <w:adjustRightInd w:val="0"/>
        <w:spacing w:before="11" w:line="360" w:lineRule="auto"/>
        <w:rPr>
          <w:rFonts w:asciiTheme="minorEastAsia" w:hAnsiTheme="minorEastAsia" w:eastAsiaTheme="minorEastAsia"/>
          <w:sz w:val="19"/>
        </w:rPr>
      </w:pPr>
      <w:r>
        <w:rPr>
          <w:rFonts w:hint="eastAsia" w:asciiTheme="minorEastAsia" w:hAnsiTheme="minorEastAsia" w:eastAsiaTheme="minorEastAsia"/>
          <w:sz w:val="19"/>
        </w:rPr>
        <w:t>买方在收到卖方提交的买卖双方签署的合同设备验收证书或已生效的验收款支付函正本一份并经审核无误后 28 日内，向卖方支付合同价格的 25%。</w:t>
      </w:r>
    </w:p>
    <w:p>
      <w:pPr>
        <w:pStyle w:val="6"/>
        <w:adjustRightInd w:val="0"/>
        <w:spacing w:before="11" w:line="360" w:lineRule="auto"/>
        <w:rPr>
          <w:rFonts w:asciiTheme="minorEastAsia" w:hAnsiTheme="minorEastAsia" w:eastAsiaTheme="minorEastAsia"/>
          <w:sz w:val="19"/>
        </w:rPr>
      </w:pPr>
      <w:r>
        <w:rPr>
          <w:rFonts w:hint="eastAsia" w:asciiTheme="minorEastAsia" w:hAnsiTheme="minorEastAsia" w:eastAsiaTheme="minorEastAsia"/>
          <w:sz w:val="19"/>
        </w:rPr>
        <w:t>3.2.4结清款</w:t>
      </w:r>
    </w:p>
    <w:p>
      <w:pPr>
        <w:pStyle w:val="6"/>
        <w:adjustRightInd w:val="0"/>
        <w:spacing w:before="11" w:line="360" w:lineRule="auto"/>
        <w:rPr>
          <w:rFonts w:asciiTheme="minorEastAsia" w:hAnsiTheme="minorEastAsia" w:eastAsiaTheme="minorEastAsia"/>
          <w:sz w:val="19"/>
        </w:rPr>
      </w:pPr>
      <w:r>
        <w:rPr>
          <w:rFonts w:hint="eastAsia" w:asciiTheme="minorEastAsia" w:hAnsiTheme="minorEastAsia" w:eastAsiaTheme="minorEastAsia"/>
          <w:sz w:val="19"/>
        </w:rPr>
        <w:t>买方在收到卖方提交的买方签署的质量保证期届满证书或已生效的结清款支付函正本一份并经审核无误后 28 日内，向卖方支付合同价格的 5%。</w:t>
      </w:r>
    </w:p>
    <w:p>
      <w:pPr>
        <w:pStyle w:val="6"/>
        <w:adjustRightInd w:val="0"/>
        <w:spacing w:before="11" w:line="360" w:lineRule="auto"/>
        <w:rPr>
          <w:rFonts w:asciiTheme="minorEastAsia" w:hAnsiTheme="minorEastAsia" w:eastAsiaTheme="minorEastAsia"/>
          <w:sz w:val="19"/>
        </w:rPr>
      </w:pPr>
      <w:r>
        <w:rPr>
          <w:rFonts w:hint="eastAsia" w:asciiTheme="minorEastAsia" w:hAnsiTheme="minorEastAsia" w:eastAsiaTheme="minorEastAsia"/>
          <w:sz w:val="19"/>
        </w:rPr>
        <w:t>如果依照合同第 9.1 项，卖方应向买方支付费用的，买方有权从结清款中直接扣除该笔费用。</w:t>
      </w:r>
    </w:p>
    <w:p>
      <w:pPr>
        <w:pStyle w:val="6"/>
        <w:adjustRightInd w:val="0"/>
        <w:spacing w:before="11" w:line="360" w:lineRule="auto"/>
        <w:rPr>
          <w:rFonts w:asciiTheme="minorEastAsia" w:hAnsiTheme="minorEastAsia" w:eastAsiaTheme="minorEastAsia"/>
          <w:sz w:val="19"/>
        </w:rPr>
      </w:pPr>
      <w:r>
        <w:rPr>
          <w:rFonts w:hint="eastAsia" w:asciiTheme="minorEastAsia" w:hAnsiTheme="minorEastAsia" w:eastAsiaTheme="minorEastAsia"/>
          <w:sz w:val="19"/>
        </w:rPr>
        <w:t>除专用合同条款另有约定外，在买方向卖方支付验收款的同时或其后的任何时间内，卖方可在向买方提交买方可接受的金额为合同价格 5%的合同结清款保函的前提下，要求买方支付合同结清款，买方不得拒绝。</w:t>
      </w:r>
    </w:p>
    <w:p>
      <w:pPr>
        <w:pStyle w:val="3"/>
        <w:numPr>
          <w:ilvl w:val="1"/>
          <w:numId w:val="5"/>
        </w:numPr>
        <w:tabs>
          <w:tab w:val="left" w:pos="1027"/>
        </w:tabs>
        <w:adjustRightInd w:val="0"/>
        <w:spacing w:line="360" w:lineRule="auto"/>
        <w:ind w:hanging="489"/>
        <w:rPr>
          <w:rFonts w:asciiTheme="minorEastAsia" w:hAnsiTheme="minorEastAsia" w:eastAsiaTheme="minorEastAsia"/>
        </w:rPr>
      </w:pPr>
      <w:bookmarkStart w:id="126" w:name="_bookmark117"/>
      <w:bookmarkEnd w:id="126"/>
      <w:r>
        <w:rPr>
          <w:rFonts w:asciiTheme="minorEastAsia" w:hAnsiTheme="minorEastAsia" w:eastAsiaTheme="minorEastAsia"/>
          <w:spacing w:val="-1"/>
        </w:rPr>
        <w:t>买方扣款的权利</w:t>
      </w:r>
    </w:p>
    <w:p>
      <w:pPr>
        <w:pStyle w:val="6"/>
        <w:adjustRightInd w:val="0"/>
        <w:spacing w:before="266" w:line="360" w:lineRule="auto"/>
        <w:ind w:left="400" w:right="694" w:firstLine="419"/>
        <w:rPr>
          <w:rFonts w:asciiTheme="minorEastAsia" w:hAnsiTheme="minorEastAsia" w:eastAsiaTheme="minorEastAsia"/>
        </w:rPr>
      </w:pPr>
      <w:r>
        <w:rPr>
          <w:rFonts w:asciiTheme="minorEastAsia" w:hAnsiTheme="minorEastAsia" w:eastAsiaTheme="minorEastAsia"/>
        </w:rPr>
        <w:t>当卖方应向买方支付合同项下的违约金或赔偿金时，买方有权从上述任何一笔应付款中予以直接扣除和（或）兑付履约保证金。</w:t>
      </w:r>
    </w:p>
    <w:p>
      <w:pPr>
        <w:pStyle w:val="2"/>
        <w:numPr>
          <w:ilvl w:val="0"/>
          <w:numId w:val="5"/>
        </w:numPr>
        <w:tabs>
          <w:tab w:val="left" w:pos="938"/>
        </w:tabs>
        <w:adjustRightInd w:val="0"/>
        <w:spacing w:before="155" w:line="360" w:lineRule="auto"/>
        <w:ind w:left="938"/>
        <w:jc w:val="left"/>
        <w:rPr>
          <w:rFonts w:asciiTheme="minorEastAsia" w:hAnsiTheme="minorEastAsia" w:eastAsiaTheme="minorEastAsia"/>
          <w:sz w:val="26"/>
        </w:rPr>
      </w:pPr>
      <w:bookmarkStart w:id="127" w:name="_bookmark118"/>
      <w:bookmarkEnd w:id="127"/>
      <w:r>
        <w:rPr>
          <w:rFonts w:asciiTheme="minorEastAsia" w:hAnsiTheme="minorEastAsia" w:eastAsiaTheme="minorEastAsia"/>
        </w:rPr>
        <w:t>监造及交货前检验</w:t>
      </w:r>
    </w:p>
    <w:p>
      <w:pPr>
        <w:pStyle w:val="3"/>
        <w:numPr>
          <w:ilvl w:val="1"/>
          <w:numId w:val="5"/>
        </w:numPr>
        <w:tabs>
          <w:tab w:val="left" w:pos="1027"/>
        </w:tabs>
        <w:adjustRightInd w:val="0"/>
        <w:spacing w:line="360" w:lineRule="auto"/>
        <w:ind w:hanging="489"/>
        <w:rPr>
          <w:rFonts w:asciiTheme="minorEastAsia" w:hAnsiTheme="minorEastAsia" w:eastAsiaTheme="minorEastAsia"/>
        </w:rPr>
      </w:pPr>
      <w:bookmarkStart w:id="128" w:name="_bookmark119"/>
      <w:bookmarkEnd w:id="128"/>
      <w:r>
        <w:rPr>
          <w:rFonts w:asciiTheme="minorEastAsia" w:hAnsiTheme="minorEastAsia" w:eastAsiaTheme="minorEastAsia"/>
        </w:rPr>
        <w:t>监造</w:t>
      </w:r>
    </w:p>
    <w:p>
      <w:pPr>
        <w:pStyle w:val="6"/>
        <w:adjustRightInd w:val="0"/>
        <w:spacing w:before="266" w:line="360" w:lineRule="auto"/>
        <w:ind w:left="820"/>
        <w:rPr>
          <w:rFonts w:asciiTheme="minorEastAsia" w:hAnsiTheme="minorEastAsia" w:eastAsiaTheme="minorEastAsia"/>
        </w:rPr>
      </w:pPr>
      <w:r>
        <w:rPr>
          <w:rFonts w:asciiTheme="minorEastAsia" w:hAnsiTheme="minorEastAsia" w:eastAsiaTheme="minorEastAsia"/>
        </w:rPr>
        <w:t>专用合同条款约定买方对合同设备进行监造的，双方应按本款及专用合同条款约定履行。</w:t>
      </w:r>
    </w:p>
    <w:p>
      <w:pPr>
        <w:pStyle w:val="31"/>
        <w:numPr>
          <w:ilvl w:val="2"/>
          <w:numId w:val="5"/>
        </w:numPr>
        <w:tabs>
          <w:tab w:val="left" w:pos="1349"/>
        </w:tabs>
        <w:adjustRightInd w:val="0"/>
        <w:spacing w:before="139" w:line="360" w:lineRule="auto"/>
        <w:ind w:right="589" w:firstLine="408"/>
        <w:rPr>
          <w:rFonts w:asciiTheme="minorEastAsia" w:hAnsiTheme="minorEastAsia" w:eastAsiaTheme="minorEastAsia"/>
        </w:rPr>
      </w:pPr>
      <w:r>
        <w:rPr>
          <w:rFonts w:asciiTheme="minorEastAsia" w:hAnsiTheme="minorEastAsia" w:eastAsiaTheme="minorEastAsia"/>
          <w:spacing w:val="-3"/>
        </w:rPr>
        <w:t>在合同设备的制造过程中，买方可派出监造人员，对合同设备的生产制造进行监造， 监督合同设备制造、检验等情况。监造的范围、方式等应符合专用合同条款和</w:t>
      </w:r>
      <w:r>
        <w:rPr>
          <w:rFonts w:asciiTheme="minorEastAsia" w:hAnsiTheme="minorEastAsia" w:eastAsiaTheme="minorEastAsia"/>
        </w:rPr>
        <w:t>（或）</w:t>
      </w:r>
      <w:r>
        <w:rPr>
          <w:rFonts w:asciiTheme="minorEastAsia" w:hAnsiTheme="minorEastAsia" w:eastAsiaTheme="minorEastAsia"/>
          <w:spacing w:val="-1"/>
        </w:rPr>
        <w:t>供货要求</w:t>
      </w:r>
    </w:p>
    <w:p>
      <w:pPr>
        <w:pStyle w:val="6"/>
        <w:adjustRightInd w:val="0"/>
        <w:spacing w:before="41" w:line="360" w:lineRule="auto"/>
        <w:ind w:left="400"/>
        <w:rPr>
          <w:rFonts w:asciiTheme="minorEastAsia" w:hAnsiTheme="minorEastAsia" w:eastAsiaTheme="minorEastAsia"/>
        </w:rPr>
      </w:pPr>
      <w:r>
        <w:rPr>
          <w:rFonts w:asciiTheme="minorEastAsia" w:hAnsiTheme="minorEastAsia" w:eastAsiaTheme="minorEastAsia"/>
        </w:rPr>
        <w:t>等合同文件的约定。</w:t>
      </w:r>
    </w:p>
    <w:p>
      <w:pPr>
        <w:pStyle w:val="31"/>
        <w:numPr>
          <w:ilvl w:val="2"/>
          <w:numId w:val="5"/>
        </w:numPr>
        <w:tabs>
          <w:tab w:val="left" w:pos="1346"/>
        </w:tabs>
        <w:adjustRightInd w:val="0"/>
        <w:spacing w:before="139" w:line="360" w:lineRule="auto"/>
        <w:ind w:right="693" w:firstLine="396"/>
        <w:rPr>
          <w:rFonts w:asciiTheme="minorEastAsia" w:hAnsiTheme="minorEastAsia" w:eastAsiaTheme="minorEastAsia"/>
        </w:rPr>
      </w:pPr>
      <w:r>
        <w:rPr>
          <w:rFonts w:asciiTheme="minorEastAsia" w:hAnsiTheme="minorEastAsia" w:eastAsiaTheme="minorEastAsia"/>
          <w:spacing w:val="-6"/>
        </w:rPr>
        <w:t>除专用合同条款和</w:t>
      </w:r>
      <w:r>
        <w:rPr>
          <w:rFonts w:asciiTheme="minorEastAsia" w:hAnsiTheme="minorEastAsia" w:eastAsiaTheme="minorEastAsia"/>
          <w:spacing w:val="-3"/>
        </w:rPr>
        <w:t>（</w:t>
      </w:r>
      <w:r>
        <w:rPr>
          <w:rFonts w:asciiTheme="minorEastAsia" w:hAnsiTheme="minorEastAsia" w:eastAsiaTheme="minorEastAsia"/>
        </w:rPr>
        <w:t>或</w:t>
      </w:r>
      <w:r>
        <w:rPr>
          <w:rFonts w:asciiTheme="minorEastAsia" w:hAnsiTheme="minorEastAsia" w:eastAsiaTheme="minorEastAsia"/>
          <w:spacing w:val="-27"/>
        </w:rPr>
        <w:t>）</w:t>
      </w:r>
      <w:r>
        <w:rPr>
          <w:rFonts w:asciiTheme="minorEastAsia" w:hAnsiTheme="minorEastAsia" w:eastAsiaTheme="minorEastAsia"/>
          <w:spacing w:val="-5"/>
        </w:rPr>
        <w:t>供货要求等合同文件另有约定外，买方监造人员可到合同设备及其关键部件的生产制造现场进行监造，卖方应予配合。卖方应免费为买方监造人员提供工作条件及便利，包括但不限于必要的办公场所、技术资料、检测工具及出入许可等。除专用合</w:t>
      </w:r>
      <w:r>
        <w:rPr>
          <w:rFonts w:asciiTheme="minorEastAsia" w:hAnsiTheme="minorEastAsia" w:eastAsiaTheme="minorEastAsia"/>
          <w:spacing w:val="-4"/>
        </w:rPr>
        <w:t>同条款另有约定外，买方监造人员的交通、食宿费用由买方承担。</w:t>
      </w:r>
    </w:p>
    <w:p>
      <w:pPr>
        <w:pStyle w:val="31"/>
        <w:numPr>
          <w:ilvl w:val="2"/>
          <w:numId w:val="5"/>
        </w:numPr>
        <w:tabs>
          <w:tab w:val="left" w:pos="1346"/>
        </w:tabs>
        <w:adjustRightInd w:val="0"/>
        <w:spacing w:line="360" w:lineRule="auto"/>
        <w:ind w:right="691" w:firstLine="392"/>
        <w:rPr>
          <w:rFonts w:asciiTheme="minorEastAsia" w:hAnsiTheme="minorEastAsia" w:eastAsiaTheme="minorEastAsia"/>
        </w:rPr>
      </w:pPr>
      <w:r>
        <w:rPr>
          <w:rFonts w:asciiTheme="minorEastAsia" w:hAnsiTheme="minorEastAsia" w:eastAsiaTheme="minorEastAsia"/>
          <w:spacing w:val="-7"/>
        </w:rPr>
        <w:t>卖方制订生产制造合同设备的进度计划时，应将买方监造纳入计划安排，并提前通知买方；买方进行监造不应影响合同设备的正常生产。除专用合同条款和</w:t>
      </w:r>
      <w:r>
        <w:rPr>
          <w:rFonts w:asciiTheme="minorEastAsia" w:hAnsiTheme="minorEastAsia" w:eastAsiaTheme="minorEastAsia"/>
        </w:rPr>
        <w:t>（</w:t>
      </w:r>
      <w:r>
        <w:rPr>
          <w:rFonts w:asciiTheme="minorEastAsia" w:hAnsiTheme="minorEastAsia" w:eastAsiaTheme="minorEastAsia"/>
          <w:spacing w:val="-3"/>
        </w:rPr>
        <w:t>或</w:t>
      </w:r>
      <w:r>
        <w:rPr>
          <w:rFonts w:asciiTheme="minorEastAsia" w:hAnsiTheme="minorEastAsia" w:eastAsiaTheme="minorEastAsia"/>
        </w:rPr>
        <w:t>）</w:t>
      </w:r>
      <w:r>
        <w:rPr>
          <w:rFonts w:asciiTheme="minorEastAsia" w:hAnsiTheme="minorEastAsia" w:eastAsiaTheme="minorEastAsia"/>
          <w:spacing w:val="-1"/>
        </w:rPr>
        <w:t>供货要求等合同</w:t>
      </w:r>
      <w:r>
        <w:rPr>
          <w:rFonts w:asciiTheme="minorEastAsia" w:hAnsiTheme="minorEastAsia" w:eastAsiaTheme="minorEastAsia"/>
          <w:spacing w:val="-4"/>
        </w:rPr>
        <w:t xml:space="preserve">文件另有约定外，卖方应提前 </w:t>
      </w:r>
      <w:r>
        <w:rPr>
          <w:rFonts w:asciiTheme="minorEastAsia" w:hAnsiTheme="minorEastAsia" w:eastAsiaTheme="minorEastAsia"/>
        </w:rPr>
        <w:t>7</w:t>
      </w:r>
      <w:r>
        <w:rPr>
          <w:rFonts w:asciiTheme="minorEastAsia" w:hAnsiTheme="minorEastAsia" w:eastAsiaTheme="minorEastAsia"/>
          <w:spacing w:val="-3"/>
        </w:rPr>
        <w:t>日将需要买方监造人员现场监造事项通知买方；如买方监造人</w:t>
      </w:r>
      <w:r>
        <w:rPr>
          <w:rFonts w:asciiTheme="minorEastAsia" w:hAnsiTheme="minorEastAsia" w:eastAsiaTheme="minorEastAsia"/>
          <w:spacing w:val="-15"/>
        </w:rPr>
        <w:t>员未按通知出席，不影响合同设备及其关键部件的制造或检验，但买方监造人员有权事后了解、</w:t>
      </w:r>
      <w:r>
        <w:rPr>
          <w:rFonts w:asciiTheme="minorEastAsia" w:hAnsiTheme="minorEastAsia" w:eastAsiaTheme="minorEastAsia"/>
          <w:spacing w:val="-7"/>
        </w:rPr>
        <w:t>查阅、复制相关制造或检验记录。</w:t>
      </w:r>
    </w:p>
    <w:p>
      <w:pPr>
        <w:pStyle w:val="31"/>
        <w:numPr>
          <w:ilvl w:val="2"/>
          <w:numId w:val="5"/>
        </w:numPr>
        <w:tabs>
          <w:tab w:val="left" w:pos="1346"/>
        </w:tabs>
        <w:adjustRightInd w:val="0"/>
        <w:spacing w:line="360" w:lineRule="auto"/>
        <w:ind w:right="691" w:firstLine="396"/>
        <w:rPr>
          <w:rFonts w:asciiTheme="minorEastAsia" w:hAnsiTheme="minorEastAsia" w:eastAsiaTheme="minorEastAsia"/>
        </w:rPr>
      </w:pPr>
      <w:r>
        <w:rPr>
          <w:rFonts w:asciiTheme="minorEastAsia" w:hAnsiTheme="minorEastAsia" w:eastAsiaTheme="minorEastAsia"/>
          <w:spacing w:val="-6"/>
        </w:rPr>
        <w:t>买方监造人员在监造中如发现合同设备及其关键部件不符合合同约定的标准，则有权提出意见和建议。卖方应采取必要措施消除合同设备的不符，由此增加的费用和</w:t>
      </w:r>
      <w:r>
        <w:rPr>
          <w:rFonts w:asciiTheme="minorEastAsia" w:hAnsiTheme="minorEastAsia" w:eastAsiaTheme="minorEastAsia"/>
        </w:rPr>
        <w:t>（或）</w:t>
      </w:r>
      <w:r>
        <w:rPr>
          <w:rFonts w:asciiTheme="minorEastAsia" w:hAnsiTheme="minorEastAsia" w:eastAsiaTheme="minorEastAsia"/>
          <w:spacing w:val="-2"/>
        </w:rPr>
        <w:t>造成的</w:t>
      </w:r>
      <w:r>
        <w:rPr>
          <w:rFonts w:asciiTheme="minorEastAsia" w:hAnsiTheme="minorEastAsia" w:eastAsiaTheme="minorEastAsia"/>
          <w:spacing w:val="-3"/>
        </w:rPr>
        <w:t>延误由卖方负责。</w:t>
      </w:r>
    </w:p>
    <w:p>
      <w:pPr>
        <w:pStyle w:val="31"/>
        <w:numPr>
          <w:ilvl w:val="2"/>
          <w:numId w:val="5"/>
        </w:numPr>
        <w:tabs>
          <w:tab w:val="left" w:pos="1346"/>
        </w:tabs>
        <w:adjustRightInd w:val="0"/>
        <w:spacing w:line="360" w:lineRule="auto"/>
        <w:ind w:right="693" w:firstLine="388"/>
        <w:rPr>
          <w:rFonts w:asciiTheme="minorEastAsia" w:hAnsiTheme="minorEastAsia" w:eastAsiaTheme="minorEastAsia"/>
        </w:rPr>
      </w:pPr>
      <w:r>
        <w:rPr>
          <w:rFonts w:asciiTheme="minorEastAsia" w:hAnsiTheme="minorEastAsia" w:eastAsiaTheme="minorEastAsia"/>
          <w:spacing w:val="-8"/>
        </w:rPr>
        <w:t>买方监造人员对合同设备的监造，不视为对合同设备质量的确认，不影响卖方交货后买方依照合同约定对合同设备提出质量异议和</w:t>
      </w:r>
      <w:r>
        <w:rPr>
          <w:rFonts w:asciiTheme="minorEastAsia" w:hAnsiTheme="minorEastAsia" w:eastAsiaTheme="minorEastAsia"/>
        </w:rPr>
        <w:t>（</w:t>
      </w:r>
      <w:r>
        <w:rPr>
          <w:rFonts w:asciiTheme="minorEastAsia" w:hAnsiTheme="minorEastAsia" w:eastAsiaTheme="minorEastAsia"/>
          <w:spacing w:val="-3"/>
        </w:rPr>
        <w:t>或</w:t>
      </w:r>
      <w:r>
        <w:rPr>
          <w:rFonts w:asciiTheme="minorEastAsia" w:hAnsiTheme="minorEastAsia" w:eastAsiaTheme="minorEastAsia"/>
        </w:rPr>
        <w:t>）</w:t>
      </w:r>
      <w:r>
        <w:rPr>
          <w:rFonts w:asciiTheme="minorEastAsia" w:hAnsiTheme="minorEastAsia" w:eastAsiaTheme="minorEastAsia"/>
          <w:spacing w:val="-3"/>
        </w:rPr>
        <w:t>退货的权利，也不免除卖方依照合同约定对合同设备所应承担的任何义务或责任。</w:t>
      </w:r>
    </w:p>
    <w:p>
      <w:pPr>
        <w:pStyle w:val="6"/>
        <w:adjustRightInd w:val="0"/>
        <w:spacing w:before="9" w:line="360" w:lineRule="auto"/>
        <w:rPr>
          <w:rFonts w:asciiTheme="minorEastAsia" w:hAnsiTheme="minorEastAsia" w:eastAsiaTheme="minorEastAsia"/>
          <w:sz w:val="19"/>
        </w:rPr>
      </w:pPr>
    </w:p>
    <w:p>
      <w:pPr>
        <w:pStyle w:val="3"/>
        <w:numPr>
          <w:ilvl w:val="1"/>
          <w:numId w:val="5"/>
        </w:numPr>
        <w:tabs>
          <w:tab w:val="left" w:pos="1027"/>
        </w:tabs>
        <w:adjustRightInd w:val="0"/>
        <w:spacing w:line="360" w:lineRule="auto"/>
        <w:ind w:hanging="489"/>
        <w:rPr>
          <w:rFonts w:asciiTheme="minorEastAsia" w:hAnsiTheme="minorEastAsia" w:eastAsiaTheme="minorEastAsia"/>
        </w:rPr>
      </w:pPr>
      <w:bookmarkStart w:id="129" w:name="_bookmark120"/>
      <w:bookmarkEnd w:id="129"/>
      <w:r>
        <w:rPr>
          <w:rFonts w:asciiTheme="minorEastAsia" w:hAnsiTheme="minorEastAsia" w:eastAsiaTheme="minorEastAsia"/>
        </w:rPr>
        <w:t>交货前检验</w:t>
      </w:r>
    </w:p>
    <w:p>
      <w:pPr>
        <w:pStyle w:val="6"/>
        <w:adjustRightInd w:val="0"/>
        <w:spacing w:before="266" w:line="360" w:lineRule="auto"/>
        <w:ind w:left="820"/>
        <w:rPr>
          <w:rFonts w:asciiTheme="minorEastAsia" w:hAnsiTheme="minorEastAsia" w:eastAsiaTheme="minorEastAsia"/>
        </w:rPr>
      </w:pPr>
      <w:r>
        <w:rPr>
          <w:rFonts w:asciiTheme="minorEastAsia" w:hAnsiTheme="minorEastAsia" w:eastAsiaTheme="minorEastAsia"/>
        </w:rPr>
        <w:t>专用合同条款约定买方参与交货前检验的，双方应按本款及专用合同条款约定履行。</w:t>
      </w:r>
    </w:p>
    <w:p>
      <w:pPr>
        <w:pStyle w:val="31"/>
        <w:numPr>
          <w:ilvl w:val="2"/>
          <w:numId w:val="5"/>
        </w:numPr>
        <w:tabs>
          <w:tab w:val="left" w:pos="1346"/>
        </w:tabs>
        <w:adjustRightInd w:val="0"/>
        <w:spacing w:before="141" w:line="360" w:lineRule="auto"/>
        <w:ind w:right="691" w:firstLine="380"/>
        <w:rPr>
          <w:rFonts w:asciiTheme="minorEastAsia" w:hAnsiTheme="minorEastAsia" w:eastAsiaTheme="minorEastAsia"/>
        </w:rPr>
      </w:pPr>
      <w:r>
        <w:rPr>
          <w:rFonts w:asciiTheme="minorEastAsia" w:hAnsiTheme="minorEastAsia" w:eastAsiaTheme="minorEastAsia"/>
          <w:spacing w:val="-10"/>
        </w:rPr>
        <w:t>合同设备交货前，卖方应会同买方代表根据合同约定对合同设备进行交货前检验并出</w:t>
      </w:r>
      <w:r>
        <w:rPr>
          <w:rFonts w:asciiTheme="minorEastAsia" w:hAnsiTheme="minorEastAsia" w:eastAsiaTheme="minorEastAsia"/>
          <w:spacing w:val="-9"/>
        </w:rPr>
        <w:t>具交货前检验记录，有关费用由卖方承担。卖方应免费为买方代表提供工作条件及便利，包括</w:t>
      </w:r>
      <w:r>
        <w:rPr>
          <w:rFonts w:asciiTheme="minorEastAsia" w:hAnsiTheme="minorEastAsia" w:eastAsiaTheme="minorEastAsia"/>
          <w:spacing w:val="-8"/>
        </w:rPr>
        <w:t xml:space="preserve">但不限于必要的办公场所、技术资料、检测工具及出入许可等。除专用合同条款另有约定外， </w:t>
      </w:r>
      <w:r>
        <w:rPr>
          <w:rFonts w:asciiTheme="minorEastAsia" w:hAnsiTheme="minorEastAsia" w:eastAsiaTheme="minorEastAsia"/>
          <w:spacing w:val="-5"/>
        </w:rPr>
        <w:t>买方代表的交通、食宿费用由买方承担。</w:t>
      </w:r>
    </w:p>
    <w:p>
      <w:pPr>
        <w:pStyle w:val="31"/>
        <w:numPr>
          <w:ilvl w:val="2"/>
          <w:numId w:val="5"/>
        </w:numPr>
        <w:tabs>
          <w:tab w:val="left" w:pos="1346"/>
        </w:tabs>
        <w:adjustRightInd w:val="0"/>
        <w:spacing w:line="360" w:lineRule="auto"/>
        <w:ind w:right="694" w:firstLine="396"/>
        <w:rPr>
          <w:rFonts w:asciiTheme="minorEastAsia" w:hAnsiTheme="minorEastAsia" w:eastAsiaTheme="minorEastAsia"/>
        </w:rPr>
      </w:pPr>
      <w:r>
        <w:rPr>
          <w:rFonts w:asciiTheme="minorEastAsia" w:hAnsiTheme="minorEastAsia" w:eastAsiaTheme="minorEastAsia"/>
          <w:spacing w:val="-6"/>
        </w:rPr>
        <w:t>除专用合同条款和</w:t>
      </w:r>
      <w:r>
        <w:rPr>
          <w:rFonts w:asciiTheme="minorEastAsia" w:hAnsiTheme="minorEastAsia" w:eastAsiaTheme="minorEastAsia"/>
          <w:spacing w:val="-3"/>
        </w:rPr>
        <w:t>（</w:t>
      </w:r>
      <w:r>
        <w:rPr>
          <w:rFonts w:asciiTheme="minorEastAsia" w:hAnsiTheme="minorEastAsia" w:eastAsiaTheme="minorEastAsia"/>
        </w:rPr>
        <w:t>或</w:t>
      </w:r>
      <w:r>
        <w:rPr>
          <w:rFonts w:asciiTheme="minorEastAsia" w:hAnsiTheme="minorEastAsia" w:eastAsiaTheme="minorEastAsia"/>
          <w:spacing w:val="-27"/>
        </w:rPr>
        <w:t>）</w:t>
      </w:r>
      <w:r>
        <w:rPr>
          <w:rFonts w:asciiTheme="minorEastAsia" w:hAnsiTheme="minorEastAsia" w:eastAsiaTheme="minorEastAsia"/>
          <w:spacing w:val="-7"/>
        </w:rPr>
        <w:t xml:space="preserve">供货要求等合同文件另有约定外，卖方应提前 </w:t>
      </w:r>
      <w:r>
        <w:rPr>
          <w:rFonts w:asciiTheme="minorEastAsia" w:hAnsiTheme="minorEastAsia" w:eastAsiaTheme="minorEastAsia"/>
        </w:rPr>
        <w:t>7</w:t>
      </w:r>
      <w:r>
        <w:rPr>
          <w:rFonts w:asciiTheme="minorEastAsia" w:hAnsiTheme="minorEastAsia" w:eastAsiaTheme="minorEastAsia"/>
          <w:spacing w:val="-3"/>
        </w:rPr>
        <w:t>日将需要买方代表检验事项通知买方；如买方代表未按通知出席，不影响合同设备的检验。若卖方未依照合同约定提前通知买方而自行检验，则买方有权要求卖方暂停发货并重新进行检验，由此增加的费用和（</w:t>
      </w:r>
      <w:r>
        <w:rPr>
          <w:rFonts w:asciiTheme="minorEastAsia" w:hAnsiTheme="minorEastAsia" w:eastAsiaTheme="minorEastAsia"/>
        </w:rPr>
        <w:t>或</w:t>
      </w:r>
      <w:r>
        <w:rPr>
          <w:rFonts w:asciiTheme="minorEastAsia" w:hAnsiTheme="minorEastAsia" w:eastAsiaTheme="minorEastAsia"/>
          <w:spacing w:val="-3"/>
        </w:rPr>
        <w:t>）造成的延误由卖方负责。</w:t>
      </w:r>
    </w:p>
    <w:p>
      <w:pPr>
        <w:pStyle w:val="31"/>
        <w:numPr>
          <w:ilvl w:val="2"/>
          <w:numId w:val="5"/>
        </w:numPr>
        <w:tabs>
          <w:tab w:val="left" w:pos="1346"/>
        </w:tabs>
        <w:adjustRightInd w:val="0"/>
        <w:spacing w:line="360" w:lineRule="auto"/>
        <w:ind w:right="693" w:firstLine="392"/>
        <w:rPr>
          <w:rFonts w:asciiTheme="minorEastAsia" w:hAnsiTheme="minorEastAsia" w:eastAsiaTheme="minorEastAsia"/>
        </w:rPr>
      </w:pPr>
      <w:r>
        <w:rPr>
          <w:rFonts w:asciiTheme="minorEastAsia" w:hAnsiTheme="minorEastAsia" w:eastAsiaTheme="minorEastAsia"/>
          <w:spacing w:val="-7"/>
        </w:rPr>
        <w:t>买方代表在检验中如发现合同设备不符合合同约定的标准，则有权提出异议。卖方应</w:t>
      </w:r>
      <w:r>
        <w:rPr>
          <w:rFonts w:asciiTheme="minorEastAsia" w:hAnsiTheme="minorEastAsia" w:eastAsiaTheme="minorEastAsia"/>
          <w:spacing w:val="-5"/>
        </w:rPr>
        <w:t>采取必要措施消除合同设备的不符，由此增加的费用和</w:t>
      </w:r>
      <w:r>
        <w:rPr>
          <w:rFonts w:asciiTheme="minorEastAsia" w:hAnsiTheme="minorEastAsia" w:eastAsiaTheme="minorEastAsia"/>
          <w:spacing w:val="-3"/>
        </w:rPr>
        <w:t>（</w:t>
      </w:r>
      <w:r>
        <w:rPr>
          <w:rFonts w:asciiTheme="minorEastAsia" w:hAnsiTheme="minorEastAsia" w:eastAsiaTheme="minorEastAsia"/>
        </w:rPr>
        <w:t>或</w:t>
      </w:r>
      <w:r>
        <w:rPr>
          <w:rFonts w:asciiTheme="minorEastAsia" w:hAnsiTheme="minorEastAsia" w:eastAsiaTheme="minorEastAsia"/>
          <w:spacing w:val="-3"/>
        </w:rPr>
        <w:t>）造成的延误由卖方负责。</w:t>
      </w:r>
    </w:p>
    <w:p>
      <w:pPr>
        <w:pStyle w:val="31"/>
        <w:numPr>
          <w:ilvl w:val="2"/>
          <w:numId w:val="5"/>
        </w:numPr>
        <w:tabs>
          <w:tab w:val="left" w:pos="1346"/>
        </w:tabs>
        <w:adjustRightInd w:val="0"/>
        <w:spacing w:line="360" w:lineRule="auto"/>
        <w:ind w:right="691" w:firstLine="396"/>
        <w:rPr>
          <w:rFonts w:asciiTheme="minorEastAsia" w:hAnsiTheme="minorEastAsia" w:eastAsiaTheme="minorEastAsia"/>
        </w:rPr>
      </w:pPr>
      <w:r>
        <w:rPr>
          <w:rFonts w:asciiTheme="minorEastAsia" w:hAnsiTheme="minorEastAsia" w:eastAsiaTheme="minorEastAsia"/>
          <w:spacing w:val="-6"/>
        </w:rPr>
        <w:t>买方代表参与交货前检验及签署交货前检验记录的行为，不视为对合同设备质量的确认，不影响卖方交货后买方依照合同约定对合同设备提出质量异议和</w:t>
      </w:r>
      <w:r>
        <w:rPr>
          <w:rFonts w:asciiTheme="minorEastAsia" w:hAnsiTheme="minorEastAsia" w:eastAsiaTheme="minorEastAsia"/>
        </w:rPr>
        <w:t>（或</w:t>
      </w:r>
      <w:r>
        <w:rPr>
          <w:rFonts w:asciiTheme="minorEastAsia" w:hAnsiTheme="minorEastAsia" w:eastAsiaTheme="minorEastAsia"/>
          <w:spacing w:val="-3"/>
        </w:rPr>
        <w:t>）</w:t>
      </w:r>
      <w:r>
        <w:rPr>
          <w:rFonts w:asciiTheme="minorEastAsia" w:hAnsiTheme="minorEastAsia" w:eastAsiaTheme="minorEastAsia"/>
        </w:rPr>
        <w:t>退货的权利，也不免除卖方依照合同约定对合同设备所应承担的任何义务或责任。</w:t>
      </w:r>
    </w:p>
    <w:p>
      <w:pPr>
        <w:pStyle w:val="6"/>
        <w:adjustRightInd w:val="0"/>
        <w:spacing w:before="11" w:line="360" w:lineRule="auto"/>
        <w:rPr>
          <w:rFonts w:asciiTheme="minorEastAsia" w:hAnsiTheme="minorEastAsia" w:eastAsiaTheme="minorEastAsia"/>
          <w:sz w:val="22"/>
        </w:rPr>
      </w:pPr>
    </w:p>
    <w:p>
      <w:pPr>
        <w:pStyle w:val="2"/>
        <w:adjustRightInd w:val="0"/>
        <w:spacing w:line="360" w:lineRule="auto"/>
        <w:ind w:left="400"/>
        <w:rPr>
          <w:rFonts w:asciiTheme="minorEastAsia" w:hAnsiTheme="minorEastAsia" w:eastAsiaTheme="minorEastAsia"/>
        </w:rPr>
      </w:pPr>
      <w:bookmarkStart w:id="130" w:name="_bookmark121"/>
      <w:bookmarkEnd w:id="130"/>
      <w:r>
        <w:rPr>
          <w:rFonts w:asciiTheme="minorEastAsia" w:hAnsiTheme="minorEastAsia" w:eastAsiaTheme="minorEastAsia"/>
        </w:rPr>
        <w:t>5包装、标记、运输和交付</w:t>
      </w:r>
    </w:p>
    <w:p>
      <w:pPr>
        <w:pStyle w:val="6"/>
        <w:adjustRightInd w:val="0"/>
        <w:spacing w:before="13" w:line="360" w:lineRule="auto"/>
        <w:rPr>
          <w:rFonts w:asciiTheme="minorEastAsia" w:hAnsiTheme="minorEastAsia" w:eastAsiaTheme="minorEastAsia"/>
          <w:b/>
          <w:sz w:val="26"/>
        </w:rPr>
      </w:pPr>
    </w:p>
    <w:p>
      <w:pPr>
        <w:pStyle w:val="3"/>
        <w:numPr>
          <w:ilvl w:val="1"/>
          <w:numId w:val="11"/>
        </w:numPr>
        <w:tabs>
          <w:tab w:val="left" w:pos="1027"/>
        </w:tabs>
        <w:adjustRightInd w:val="0"/>
        <w:spacing w:line="360" w:lineRule="auto"/>
        <w:ind w:hanging="489"/>
        <w:rPr>
          <w:rFonts w:asciiTheme="minorEastAsia" w:hAnsiTheme="minorEastAsia" w:eastAsiaTheme="minorEastAsia"/>
        </w:rPr>
      </w:pPr>
      <w:bookmarkStart w:id="131" w:name="_bookmark122"/>
      <w:bookmarkEnd w:id="131"/>
      <w:r>
        <w:rPr>
          <w:rFonts w:asciiTheme="minorEastAsia" w:hAnsiTheme="minorEastAsia" w:eastAsiaTheme="minorEastAsia"/>
        </w:rPr>
        <w:t>包装</w:t>
      </w:r>
    </w:p>
    <w:p>
      <w:pPr>
        <w:pStyle w:val="31"/>
        <w:numPr>
          <w:ilvl w:val="2"/>
          <w:numId w:val="11"/>
        </w:numPr>
        <w:tabs>
          <w:tab w:val="left" w:pos="1346"/>
        </w:tabs>
        <w:adjustRightInd w:val="0"/>
        <w:spacing w:before="263" w:line="360" w:lineRule="auto"/>
        <w:ind w:right="691" w:firstLine="388"/>
        <w:rPr>
          <w:rFonts w:asciiTheme="minorEastAsia" w:hAnsiTheme="minorEastAsia" w:eastAsiaTheme="minorEastAsia"/>
        </w:rPr>
      </w:pPr>
      <w:r>
        <w:rPr>
          <w:rFonts w:asciiTheme="minorEastAsia" w:hAnsiTheme="minorEastAsia" w:eastAsiaTheme="minorEastAsia"/>
          <w:spacing w:val="-8"/>
        </w:rPr>
        <w:t>卖方应对合同设备进行妥善包装，以满足合同设备运至施工场地及在施工场地保管的需要。包装应采取防潮、防晒、防锈、防腐蚀、防震动及防止其它损坏的必要保护措施，从而</w:t>
      </w:r>
      <w:r>
        <w:rPr>
          <w:rFonts w:asciiTheme="minorEastAsia" w:hAnsiTheme="minorEastAsia" w:eastAsiaTheme="minorEastAsia"/>
          <w:spacing w:val="-5"/>
        </w:rPr>
        <w:t>保护合同设备能够经受多次搬运、装卸、长途运输并适宜保管。</w:t>
      </w:r>
    </w:p>
    <w:p>
      <w:pPr>
        <w:pStyle w:val="31"/>
        <w:numPr>
          <w:ilvl w:val="2"/>
          <w:numId w:val="11"/>
        </w:numPr>
        <w:tabs>
          <w:tab w:val="left" w:pos="1346"/>
        </w:tabs>
        <w:adjustRightInd w:val="0"/>
        <w:spacing w:line="360" w:lineRule="auto"/>
        <w:ind w:firstLine="408"/>
        <w:rPr>
          <w:rFonts w:asciiTheme="minorEastAsia" w:hAnsiTheme="minorEastAsia" w:eastAsiaTheme="minorEastAsia"/>
        </w:rPr>
      </w:pPr>
      <w:r>
        <w:rPr>
          <w:rFonts w:asciiTheme="minorEastAsia" w:hAnsiTheme="minorEastAsia" w:eastAsiaTheme="minorEastAsia"/>
          <w:spacing w:val="-3"/>
        </w:rPr>
        <w:t>每个独立包装箱内应附装箱清单、质量合格证、装配图、说明书、操作指南等资料。</w:t>
      </w:r>
    </w:p>
    <w:p>
      <w:pPr>
        <w:pStyle w:val="31"/>
        <w:numPr>
          <w:ilvl w:val="2"/>
          <w:numId w:val="11"/>
        </w:numPr>
        <w:tabs>
          <w:tab w:val="left" w:pos="1346"/>
        </w:tabs>
        <w:adjustRightInd w:val="0"/>
        <w:spacing w:before="139" w:line="360" w:lineRule="auto"/>
        <w:ind w:firstLine="408"/>
        <w:rPr>
          <w:rFonts w:asciiTheme="minorEastAsia" w:hAnsiTheme="minorEastAsia" w:eastAsiaTheme="minorEastAsia"/>
          <w:sz w:val="31"/>
        </w:rPr>
      </w:pPr>
      <w:r>
        <w:rPr>
          <w:rFonts w:asciiTheme="minorEastAsia" w:hAnsiTheme="minorEastAsia" w:eastAsiaTheme="minorEastAsia"/>
          <w:spacing w:val="-3"/>
        </w:rPr>
        <w:t>除专用合同条款另有约定外，买方无需将包装物退还给卖方。</w:t>
      </w:r>
    </w:p>
    <w:p>
      <w:pPr>
        <w:pStyle w:val="3"/>
        <w:numPr>
          <w:ilvl w:val="1"/>
          <w:numId w:val="11"/>
        </w:numPr>
        <w:tabs>
          <w:tab w:val="left" w:pos="1027"/>
        </w:tabs>
        <w:adjustRightInd w:val="0"/>
        <w:spacing w:line="360" w:lineRule="auto"/>
        <w:ind w:hanging="489"/>
        <w:rPr>
          <w:rFonts w:asciiTheme="minorEastAsia" w:hAnsiTheme="minorEastAsia" w:eastAsiaTheme="minorEastAsia"/>
        </w:rPr>
      </w:pPr>
      <w:bookmarkStart w:id="132" w:name="_bookmark123"/>
      <w:bookmarkEnd w:id="132"/>
      <w:r>
        <w:rPr>
          <w:rFonts w:asciiTheme="minorEastAsia" w:hAnsiTheme="minorEastAsia" w:eastAsiaTheme="minorEastAsia"/>
        </w:rPr>
        <w:t>标记</w:t>
      </w:r>
    </w:p>
    <w:p>
      <w:pPr>
        <w:pStyle w:val="31"/>
        <w:numPr>
          <w:ilvl w:val="2"/>
          <w:numId w:val="11"/>
        </w:numPr>
        <w:tabs>
          <w:tab w:val="left" w:pos="1346"/>
        </w:tabs>
        <w:adjustRightInd w:val="0"/>
        <w:spacing w:before="265" w:line="360" w:lineRule="auto"/>
        <w:ind w:right="694" w:firstLine="392"/>
        <w:rPr>
          <w:rFonts w:asciiTheme="minorEastAsia" w:hAnsiTheme="minorEastAsia" w:eastAsiaTheme="minorEastAsia"/>
        </w:rPr>
      </w:pPr>
      <w:r>
        <w:rPr>
          <w:rFonts w:asciiTheme="minorEastAsia" w:hAnsiTheme="minorEastAsia" w:eastAsiaTheme="minorEastAsia"/>
          <w:spacing w:val="-7"/>
        </w:rPr>
        <w:t>除专用合同条款另有约定外，卖方应在每一包装箱相邻的四个侧面以不可擦除的、明</w:t>
      </w:r>
      <w:r>
        <w:rPr>
          <w:rFonts w:asciiTheme="minorEastAsia" w:hAnsiTheme="minorEastAsia" w:eastAsiaTheme="minorEastAsia"/>
          <w:spacing w:val="-5"/>
        </w:rPr>
        <w:t>显的方式标记必要的装运信息和标记，以满足合同设备运输和保管的需要。</w:t>
      </w:r>
    </w:p>
    <w:p>
      <w:pPr>
        <w:pStyle w:val="31"/>
        <w:numPr>
          <w:ilvl w:val="2"/>
          <w:numId w:val="11"/>
        </w:numPr>
        <w:tabs>
          <w:tab w:val="left" w:pos="1349"/>
        </w:tabs>
        <w:adjustRightInd w:val="0"/>
        <w:spacing w:line="360" w:lineRule="auto"/>
        <w:ind w:right="692" w:firstLine="416"/>
        <w:rPr>
          <w:rFonts w:asciiTheme="minorEastAsia" w:hAnsiTheme="minorEastAsia" w:eastAsiaTheme="minorEastAsia"/>
        </w:rPr>
      </w:pPr>
      <w:r>
        <w:rPr>
          <w:rFonts w:asciiTheme="minorEastAsia" w:hAnsiTheme="minorEastAsia" w:eastAsiaTheme="minorEastAsia"/>
          <w:spacing w:val="-1"/>
        </w:rPr>
        <w:t>根据合同设备的特点和运输、保管的不同要求，卖方应在包装箱上清楚地标注</w:t>
      </w:r>
      <w:r>
        <w:rPr>
          <w:rFonts w:asciiTheme="minorEastAsia" w:hAnsiTheme="minorEastAsia" w:eastAsiaTheme="minorEastAsia"/>
          <w:i/>
        </w:rPr>
        <w:t>“</w:t>
      </w:r>
      <w:r>
        <w:rPr>
          <w:rFonts w:asciiTheme="minorEastAsia" w:hAnsiTheme="minorEastAsia" w:eastAsiaTheme="minorEastAsia"/>
        </w:rPr>
        <w:t>小心</w:t>
      </w:r>
      <w:r>
        <w:rPr>
          <w:rFonts w:asciiTheme="minorEastAsia" w:hAnsiTheme="minorEastAsia" w:eastAsiaTheme="minorEastAsia"/>
          <w:w w:val="95"/>
        </w:rPr>
        <w:t>轻放</w:t>
      </w:r>
      <w:r>
        <w:rPr>
          <w:rFonts w:asciiTheme="minorEastAsia" w:hAnsiTheme="minorEastAsia" w:eastAsiaTheme="minorEastAsia"/>
          <w:i/>
          <w:w w:val="95"/>
        </w:rPr>
        <w:t>”</w:t>
      </w:r>
      <w:r>
        <w:rPr>
          <w:rFonts w:asciiTheme="minorEastAsia" w:hAnsiTheme="minorEastAsia" w:eastAsiaTheme="minorEastAsia"/>
          <w:spacing w:val="-5"/>
          <w:w w:val="95"/>
        </w:rPr>
        <w:t>、</w:t>
      </w:r>
      <w:r>
        <w:rPr>
          <w:rFonts w:asciiTheme="minorEastAsia" w:hAnsiTheme="minorEastAsia" w:eastAsiaTheme="minorEastAsia"/>
          <w:i/>
          <w:spacing w:val="-3"/>
          <w:w w:val="95"/>
        </w:rPr>
        <w:t>“</w:t>
      </w:r>
      <w:r>
        <w:rPr>
          <w:rFonts w:asciiTheme="minorEastAsia" w:hAnsiTheme="minorEastAsia" w:eastAsiaTheme="minorEastAsia"/>
          <w:spacing w:val="-4"/>
          <w:w w:val="95"/>
        </w:rPr>
        <w:t>此端朝上，请勿倒置</w:t>
      </w:r>
      <w:r>
        <w:rPr>
          <w:rFonts w:asciiTheme="minorEastAsia" w:hAnsiTheme="minorEastAsia" w:eastAsiaTheme="minorEastAsia"/>
          <w:i/>
          <w:w w:val="95"/>
        </w:rPr>
        <w:t>”</w:t>
      </w:r>
      <w:r>
        <w:rPr>
          <w:rFonts w:asciiTheme="minorEastAsia" w:hAnsiTheme="minorEastAsia" w:eastAsiaTheme="minorEastAsia"/>
          <w:spacing w:val="-5"/>
          <w:w w:val="95"/>
        </w:rPr>
        <w:t>、</w:t>
      </w:r>
      <w:r>
        <w:rPr>
          <w:rFonts w:asciiTheme="minorEastAsia" w:hAnsiTheme="minorEastAsia" w:eastAsiaTheme="minorEastAsia"/>
          <w:i/>
          <w:spacing w:val="-3"/>
          <w:w w:val="95"/>
        </w:rPr>
        <w:t>“</w:t>
      </w:r>
      <w:r>
        <w:rPr>
          <w:rFonts w:asciiTheme="minorEastAsia" w:hAnsiTheme="minorEastAsia" w:eastAsiaTheme="minorEastAsia"/>
          <w:spacing w:val="-3"/>
          <w:w w:val="95"/>
        </w:rPr>
        <w:t>保持干燥</w:t>
      </w:r>
      <w:r>
        <w:rPr>
          <w:rFonts w:asciiTheme="minorEastAsia" w:hAnsiTheme="minorEastAsia" w:eastAsiaTheme="minorEastAsia"/>
          <w:i/>
          <w:w w:val="95"/>
        </w:rPr>
        <w:t>”</w:t>
      </w:r>
      <w:r>
        <w:rPr>
          <w:rFonts w:asciiTheme="minorEastAsia" w:hAnsiTheme="minorEastAsia" w:eastAsiaTheme="minorEastAsia"/>
          <w:spacing w:val="-4"/>
          <w:w w:val="95"/>
        </w:rPr>
        <w:t>等字样和其他适当标记。对于专用合同条款约定的  超大超重件，卖方应在包装箱两侧标注</w:t>
      </w:r>
      <w:r>
        <w:rPr>
          <w:rFonts w:asciiTheme="minorEastAsia" w:hAnsiTheme="minorEastAsia" w:eastAsiaTheme="minorEastAsia"/>
          <w:i/>
          <w:spacing w:val="-4"/>
          <w:w w:val="95"/>
        </w:rPr>
        <w:t>“</w:t>
      </w:r>
      <w:r>
        <w:rPr>
          <w:rFonts w:asciiTheme="minorEastAsia" w:hAnsiTheme="minorEastAsia" w:eastAsiaTheme="minorEastAsia"/>
          <w:spacing w:val="-4"/>
          <w:w w:val="95"/>
        </w:rPr>
        <w:t>重心</w:t>
      </w:r>
      <w:r>
        <w:rPr>
          <w:rFonts w:asciiTheme="minorEastAsia" w:hAnsiTheme="minorEastAsia" w:eastAsiaTheme="minorEastAsia"/>
          <w:i/>
          <w:spacing w:val="-4"/>
          <w:w w:val="95"/>
        </w:rPr>
        <w:t>”</w:t>
      </w:r>
      <w:r>
        <w:rPr>
          <w:rFonts w:asciiTheme="minorEastAsia" w:hAnsiTheme="minorEastAsia" w:eastAsiaTheme="minorEastAsia"/>
          <w:spacing w:val="-4"/>
          <w:w w:val="95"/>
        </w:rPr>
        <w:t>和</w:t>
      </w:r>
      <w:r>
        <w:rPr>
          <w:rFonts w:asciiTheme="minorEastAsia" w:hAnsiTheme="minorEastAsia" w:eastAsiaTheme="minorEastAsia"/>
          <w:i/>
          <w:spacing w:val="-4"/>
          <w:w w:val="95"/>
        </w:rPr>
        <w:t>“</w:t>
      </w:r>
      <w:r>
        <w:rPr>
          <w:rFonts w:asciiTheme="minorEastAsia" w:hAnsiTheme="minorEastAsia" w:eastAsiaTheme="minorEastAsia"/>
          <w:spacing w:val="-4"/>
          <w:w w:val="95"/>
        </w:rPr>
        <w:t>起吊点</w:t>
      </w:r>
      <w:r>
        <w:rPr>
          <w:rFonts w:asciiTheme="minorEastAsia" w:hAnsiTheme="minorEastAsia" w:eastAsiaTheme="minorEastAsia"/>
          <w:i/>
          <w:spacing w:val="-4"/>
          <w:w w:val="95"/>
        </w:rPr>
        <w:t>”</w:t>
      </w:r>
      <w:r>
        <w:rPr>
          <w:rFonts w:asciiTheme="minorEastAsia" w:hAnsiTheme="minorEastAsia" w:eastAsiaTheme="minorEastAsia"/>
          <w:spacing w:val="-4"/>
          <w:w w:val="95"/>
        </w:rPr>
        <w:t xml:space="preserve">以便装卸和搬运。如果发运合同设备   </w:t>
      </w:r>
      <w:r>
        <w:rPr>
          <w:rFonts w:asciiTheme="minorEastAsia" w:hAnsiTheme="minorEastAsia" w:eastAsiaTheme="minorEastAsia"/>
          <w:spacing w:val="-3"/>
        </w:rPr>
        <w:t>中含有易燃易爆物品、腐蚀物品、放射性物质等危险品，则应在包装箱上标明危险品标志。</w:t>
      </w:r>
    </w:p>
    <w:p>
      <w:pPr>
        <w:pStyle w:val="6"/>
        <w:adjustRightInd w:val="0"/>
        <w:spacing w:before="10" w:line="360" w:lineRule="auto"/>
        <w:rPr>
          <w:rFonts w:asciiTheme="minorEastAsia" w:hAnsiTheme="minorEastAsia" w:eastAsiaTheme="minorEastAsia"/>
          <w:sz w:val="19"/>
        </w:rPr>
      </w:pPr>
    </w:p>
    <w:p>
      <w:pPr>
        <w:pStyle w:val="3"/>
        <w:numPr>
          <w:ilvl w:val="1"/>
          <w:numId w:val="11"/>
        </w:numPr>
        <w:tabs>
          <w:tab w:val="left" w:pos="958"/>
        </w:tabs>
        <w:adjustRightInd w:val="0"/>
        <w:spacing w:line="360" w:lineRule="auto"/>
        <w:ind w:left="957" w:hanging="420"/>
        <w:rPr>
          <w:rFonts w:asciiTheme="minorEastAsia" w:hAnsiTheme="minorEastAsia" w:eastAsiaTheme="minorEastAsia"/>
        </w:rPr>
      </w:pPr>
      <w:bookmarkStart w:id="133" w:name="_bookmark124"/>
      <w:bookmarkEnd w:id="133"/>
      <w:r>
        <w:rPr>
          <w:rFonts w:asciiTheme="minorEastAsia" w:hAnsiTheme="minorEastAsia" w:eastAsiaTheme="minorEastAsia"/>
        </w:rPr>
        <w:t>运输</w:t>
      </w:r>
    </w:p>
    <w:p>
      <w:pPr>
        <w:pStyle w:val="31"/>
        <w:numPr>
          <w:ilvl w:val="2"/>
          <w:numId w:val="11"/>
        </w:numPr>
        <w:tabs>
          <w:tab w:val="left" w:pos="1346"/>
        </w:tabs>
        <w:adjustRightInd w:val="0"/>
        <w:spacing w:before="265" w:line="360" w:lineRule="auto"/>
        <w:ind w:firstLine="408"/>
        <w:rPr>
          <w:rFonts w:asciiTheme="minorEastAsia" w:hAnsiTheme="minorEastAsia" w:eastAsiaTheme="minorEastAsia"/>
        </w:rPr>
      </w:pPr>
      <w:r>
        <w:rPr>
          <w:rFonts w:asciiTheme="minorEastAsia" w:hAnsiTheme="minorEastAsia" w:eastAsiaTheme="minorEastAsia"/>
          <w:spacing w:val="-3"/>
        </w:rPr>
        <w:t>卖方应自行选择适宜的运输工具及线路安排合同设备运输。</w:t>
      </w:r>
    </w:p>
    <w:p>
      <w:pPr>
        <w:pStyle w:val="31"/>
        <w:numPr>
          <w:ilvl w:val="2"/>
          <w:numId w:val="11"/>
        </w:numPr>
        <w:tabs>
          <w:tab w:val="left" w:pos="1346"/>
        </w:tabs>
        <w:adjustRightInd w:val="0"/>
        <w:spacing w:before="140" w:line="360" w:lineRule="auto"/>
        <w:ind w:right="693" w:firstLine="392"/>
        <w:rPr>
          <w:rFonts w:asciiTheme="minorEastAsia" w:hAnsiTheme="minorEastAsia" w:eastAsiaTheme="minorEastAsia"/>
        </w:rPr>
      </w:pPr>
      <w:r>
        <w:rPr>
          <w:rFonts w:asciiTheme="minorEastAsia" w:hAnsiTheme="minorEastAsia" w:eastAsiaTheme="minorEastAsia"/>
          <w:spacing w:val="-7"/>
        </w:rPr>
        <w:t>除专用合同条款另有约定外，每件能够独立运行的设备应整套装运。该设备安装、调</w:t>
      </w:r>
      <w:r>
        <w:rPr>
          <w:rFonts w:asciiTheme="minorEastAsia" w:hAnsiTheme="minorEastAsia" w:eastAsiaTheme="minorEastAsia"/>
          <w:spacing w:val="-5"/>
        </w:rPr>
        <w:t>试、考核和运行所使用的备品、备件、易损易耗件等应随相关的主机一齐装运。</w:t>
      </w:r>
    </w:p>
    <w:p>
      <w:pPr>
        <w:pStyle w:val="31"/>
        <w:numPr>
          <w:ilvl w:val="2"/>
          <w:numId w:val="11"/>
        </w:numPr>
        <w:tabs>
          <w:tab w:val="left" w:pos="1346"/>
        </w:tabs>
        <w:adjustRightInd w:val="0"/>
        <w:spacing w:line="360" w:lineRule="auto"/>
        <w:ind w:right="588" w:firstLine="404"/>
        <w:rPr>
          <w:rFonts w:asciiTheme="minorEastAsia" w:hAnsiTheme="minorEastAsia" w:eastAsiaTheme="minorEastAsia"/>
        </w:rPr>
      </w:pPr>
      <w:r>
        <w:rPr>
          <w:rFonts w:asciiTheme="minorEastAsia" w:hAnsiTheme="minorEastAsia" w:eastAsiaTheme="minorEastAsia"/>
          <w:spacing w:val="-4"/>
        </w:rPr>
        <w:t xml:space="preserve">除专用合同条款另有约定外，卖方应在合同设备预计启运 </w:t>
      </w:r>
      <w:r>
        <w:rPr>
          <w:rFonts w:asciiTheme="minorEastAsia" w:hAnsiTheme="minorEastAsia" w:eastAsiaTheme="minorEastAsia"/>
        </w:rPr>
        <w:t>7</w:t>
      </w:r>
      <w:r>
        <w:rPr>
          <w:rFonts w:asciiTheme="minorEastAsia" w:hAnsiTheme="minorEastAsia" w:eastAsiaTheme="minorEastAsia"/>
          <w:spacing w:val="-3"/>
        </w:rPr>
        <w:t>日前，将合同设备名称、数量、箱数、总毛重、总体积（</w:t>
      </w:r>
      <w:r>
        <w:rPr>
          <w:rFonts w:asciiTheme="minorEastAsia" w:hAnsiTheme="minorEastAsia" w:eastAsiaTheme="minorEastAsia"/>
          <w:spacing w:val="7"/>
        </w:rPr>
        <w:t xml:space="preserve">用 </w:t>
      </w:r>
      <w:r>
        <w:rPr>
          <w:rFonts w:asciiTheme="minorEastAsia" w:hAnsiTheme="minorEastAsia" w:eastAsiaTheme="minorEastAsia"/>
        </w:rPr>
        <w:t>m</w:t>
      </w:r>
      <w:r>
        <w:rPr>
          <w:rFonts w:asciiTheme="minorEastAsia" w:hAnsiTheme="minorEastAsia" w:eastAsiaTheme="minorEastAsia"/>
          <w:position w:val="6"/>
          <w:sz w:val="15"/>
        </w:rPr>
        <w:t>3</w:t>
      </w:r>
      <w:r>
        <w:rPr>
          <w:rFonts w:asciiTheme="minorEastAsia" w:hAnsiTheme="minorEastAsia" w:eastAsiaTheme="minorEastAsia"/>
        </w:rPr>
        <w:t>表示</w:t>
      </w:r>
      <w:r>
        <w:rPr>
          <w:rFonts w:asciiTheme="minorEastAsia" w:hAnsiTheme="minorEastAsia" w:eastAsiaTheme="minorEastAsia"/>
          <w:spacing w:val="-108"/>
        </w:rPr>
        <w:t>）</w:t>
      </w:r>
      <w:r>
        <w:rPr>
          <w:rFonts w:asciiTheme="minorEastAsia" w:hAnsiTheme="minorEastAsia" w:eastAsiaTheme="minorEastAsia"/>
          <w:spacing w:val="-3"/>
        </w:rPr>
        <w:t>、每箱尺寸（</w:t>
      </w:r>
      <w:r>
        <w:rPr>
          <w:rFonts w:asciiTheme="minorEastAsia" w:hAnsiTheme="minorEastAsia" w:eastAsiaTheme="minorEastAsia"/>
        </w:rPr>
        <w:t>长</w:t>
      </w:r>
      <w:r>
        <w:rPr>
          <w:rFonts w:asciiTheme="minorEastAsia" w:hAnsiTheme="minorEastAsia" w:eastAsiaTheme="minorEastAsia"/>
          <w:spacing w:val="-4"/>
        </w:rPr>
        <w:t>×</w:t>
      </w:r>
      <w:r>
        <w:rPr>
          <w:rFonts w:asciiTheme="minorEastAsia" w:hAnsiTheme="minorEastAsia" w:eastAsiaTheme="minorEastAsia"/>
        </w:rPr>
        <w:t>宽</w:t>
      </w:r>
      <w:r>
        <w:rPr>
          <w:rFonts w:asciiTheme="minorEastAsia" w:hAnsiTheme="minorEastAsia" w:eastAsiaTheme="minorEastAsia"/>
          <w:spacing w:val="-4"/>
        </w:rPr>
        <w:t>×</w:t>
      </w:r>
      <w:r>
        <w:rPr>
          <w:rFonts w:asciiTheme="minorEastAsia" w:hAnsiTheme="minorEastAsia" w:eastAsiaTheme="minorEastAsia"/>
        </w:rPr>
        <w:t>高</w:t>
      </w:r>
      <w:r>
        <w:rPr>
          <w:rFonts w:asciiTheme="minorEastAsia" w:hAnsiTheme="minorEastAsia" w:eastAsiaTheme="minorEastAsia"/>
          <w:spacing w:val="-108"/>
        </w:rPr>
        <w:t>）</w:t>
      </w:r>
      <w:r>
        <w:rPr>
          <w:rFonts w:asciiTheme="minorEastAsia" w:hAnsiTheme="minorEastAsia" w:eastAsiaTheme="minorEastAsia"/>
          <w:spacing w:val="-3"/>
        </w:rPr>
        <w:t>、装运合同设备总金额、运输方式、预计交付日期和合同设备在运输、装卸、保管中的注意事项等预通知买方，并在合</w:t>
      </w:r>
      <w:r>
        <w:rPr>
          <w:rFonts w:asciiTheme="minorEastAsia" w:hAnsiTheme="minorEastAsia" w:eastAsiaTheme="minorEastAsia"/>
          <w:spacing w:val="-11"/>
        </w:rPr>
        <w:t xml:space="preserve">同设备启运后 </w:t>
      </w:r>
      <w:r>
        <w:rPr>
          <w:rFonts w:asciiTheme="minorEastAsia" w:hAnsiTheme="minorEastAsia" w:eastAsiaTheme="minorEastAsia"/>
        </w:rPr>
        <w:t xml:space="preserve">24 </w:t>
      </w:r>
      <w:r>
        <w:rPr>
          <w:rFonts w:asciiTheme="minorEastAsia" w:hAnsiTheme="minorEastAsia" w:eastAsiaTheme="minorEastAsia"/>
          <w:spacing w:val="-3"/>
        </w:rPr>
        <w:t>小时之内正式通知买方。</w:t>
      </w:r>
    </w:p>
    <w:p>
      <w:pPr>
        <w:pStyle w:val="31"/>
        <w:numPr>
          <w:ilvl w:val="2"/>
          <w:numId w:val="11"/>
        </w:numPr>
        <w:tabs>
          <w:tab w:val="left" w:pos="1346"/>
        </w:tabs>
        <w:adjustRightInd w:val="0"/>
        <w:spacing w:line="360" w:lineRule="auto"/>
        <w:ind w:right="691" w:firstLine="396"/>
        <w:rPr>
          <w:rFonts w:asciiTheme="minorEastAsia" w:hAnsiTheme="minorEastAsia" w:eastAsiaTheme="minorEastAsia"/>
        </w:rPr>
      </w:pPr>
      <w:r>
        <w:rPr>
          <w:rFonts w:asciiTheme="minorEastAsia" w:hAnsiTheme="minorEastAsia" w:eastAsiaTheme="minorEastAsia"/>
          <w:spacing w:val="-6"/>
        </w:rPr>
        <w:t xml:space="preserve">卖方在根据第 </w:t>
      </w:r>
      <w:r>
        <w:rPr>
          <w:rFonts w:asciiTheme="minorEastAsia" w:hAnsiTheme="minorEastAsia" w:eastAsiaTheme="minorEastAsia"/>
        </w:rPr>
        <w:t>5.3.3</w:t>
      </w:r>
      <w:r>
        <w:rPr>
          <w:rFonts w:asciiTheme="minorEastAsia" w:hAnsiTheme="minorEastAsia" w:eastAsiaTheme="minorEastAsia"/>
          <w:spacing w:val="-3"/>
        </w:rPr>
        <w:t>项进行通知时，如果发运合同设备中包括专用合同条款约定的超大超重包装，则卖方应将超大和</w:t>
      </w:r>
      <w:r>
        <w:rPr>
          <w:rFonts w:asciiTheme="minorEastAsia" w:hAnsiTheme="minorEastAsia" w:eastAsiaTheme="minorEastAsia"/>
        </w:rPr>
        <w:t>（或）</w:t>
      </w:r>
      <w:r>
        <w:rPr>
          <w:rFonts w:asciiTheme="minorEastAsia" w:hAnsiTheme="minorEastAsia" w:eastAsiaTheme="minorEastAsia"/>
          <w:spacing w:val="-3"/>
        </w:rPr>
        <w:t>超重的每个包装箱的重量和尺寸通知买方；如果发运合同设备中包括易燃易爆物品、腐蚀物品、放射性物质等危险品，则危险品的品名、性质、在运输、装卸、保管方面的特殊要求、注意事项和处理意外情况的方法等，也应一并通知买方。</w:t>
      </w:r>
    </w:p>
    <w:p>
      <w:pPr>
        <w:pStyle w:val="3"/>
        <w:numPr>
          <w:ilvl w:val="1"/>
          <w:numId w:val="11"/>
        </w:numPr>
        <w:tabs>
          <w:tab w:val="left" w:pos="1027"/>
        </w:tabs>
        <w:adjustRightInd w:val="0"/>
        <w:spacing w:before="41" w:line="360" w:lineRule="auto"/>
        <w:ind w:hanging="489"/>
        <w:rPr>
          <w:rFonts w:asciiTheme="minorEastAsia" w:hAnsiTheme="minorEastAsia" w:eastAsiaTheme="minorEastAsia"/>
        </w:rPr>
      </w:pPr>
      <w:bookmarkStart w:id="134" w:name="_bookmark125"/>
      <w:bookmarkEnd w:id="134"/>
      <w:r>
        <w:rPr>
          <w:rFonts w:asciiTheme="minorEastAsia" w:hAnsiTheme="minorEastAsia" w:eastAsiaTheme="minorEastAsia"/>
        </w:rPr>
        <w:t>交付</w:t>
      </w:r>
    </w:p>
    <w:p>
      <w:pPr>
        <w:pStyle w:val="31"/>
        <w:numPr>
          <w:ilvl w:val="2"/>
          <w:numId w:val="11"/>
        </w:numPr>
        <w:tabs>
          <w:tab w:val="left" w:pos="1346"/>
        </w:tabs>
        <w:adjustRightInd w:val="0"/>
        <w:spacing w:before="266" w:line="360" w:lineRule="auto"/>
        <w:ind w:right="691" w:firstLine="384"/>
        <w:rPr>
          <w:rFonts w:asciiTheme="minorEastAsia" w:hAnsiTheme="minorEastAsia" w:eastAsiaTheme="minorEastAsia"/>
        </w:rPr>
      </w:pPr>
      <w:r>
        <w:rPr>
          <w:rFonts w:asciiTheme="minorEastAsia" w:hAnsiTheme="minorEastAsia" w:eastAsiaTheme="minorEastAsia"/>
          <w:spacing w:val="-9"/>
        </w:rPr>
        <w:t>除专用合同条款另有约定外，卖方应根据合同约定的交付时间和批次在施工场地车面</w:t>
      </w:r>
      <w:r>
        <w:rPr>
          <w:rFonts w:asciiTheme="minorEastAsia" w:hAnsiTheme="minorEastAsia" w:eastAsiaTheme="minorEastAsia"/>
          <w:spacing w:val="-8"/>
        </w:rPr>
        <w:t>上将合同设备交付给买方。买方对卖方交付的包装的合同设备的外观及件数进行清点核验后应签发收货清单</w:t>
      </w:r>
      <w:r>
        <w:rPr>
          <w:rFonts w:asciiTheme="minorEastAsia" w:hAnsiTheme="minorEastAsia" w:eastAsiaTheme="minorEastAsia"/>
          <w:spacing w:val="-8"/>
          <w:sz w:val="20"/>
        </w:rPr>
        <w:t>，</w:t>
      </w:r>
      <w:r>
        <w:rPr>
          <w:rFonts w:asciiTheme="minorEastAsia" w:hAnsiTheme="minorEastAsia" w:eastAsiaTheme="minorEastAsia"/>
          <w:spacing w:val="-8"/>
        </w:rPr>
        <w:t>并自负风险和费用进行卸货。买方签发收货清单不代表对合同设备的接受，双</w:t>
      </w:r>
      <w:r>
        <w:rPr>
          <w:rFonts w:asciiTheme="minorEastAsia" w:hAnsiTheme="minorEastAsia" w:eastAsiaTheme="minorEastAsia"/>
          <w:spacing w:val="-5"/>
        </w:rPr>
        <w:t>方还应按合同约定进行后续的检验和验收。</w:t>
      </w:r>
    </w:p>
    <w:p>
      <w:pPr>
        <w:pStyle w:val="31"/>
        <w:numPr>
          <w:ilvl w:val="2"/>
          <w:numId w:val="11"/>
        </w:numPr>
        <w:tabs>
          <w:tab w:val="left" w:pos="1346"/>
        </w:tabs>
        <w:adjustRightInd w:val="0"/>
        <w:spacing w:line="360" w:lineRule="auto"/>
        <w:ind w:right="691" w:firstLine="396"/>
        <w:rPr>
          <w:rFonts w:asciiTheme="minorEastAsia" w:hAnsiTheme="minorEastAsia" w:eastAsiaTheme="minorEastAsia"/>
        </w:rPr>
      </w:pPr>
      <w:r>
        <w:rPr>
          <w:rFonts w:asciiTheme="minorEastAsia" w:hAnsiTheme="minorEastAsia" w:eastAsiaTheme="minorEastAsia"/>
          <w:spacing w:val="-6"/>
        </w:rPr>
        <w:t>合同设备的所有权和风险自交付时起由卖方转移至买方，合同设备交付给买方之前包</w:t>
      </w:r>
      <w:r>
        <w:rPr>
          <w:rFonts w:asciiTheme="minorEastAsia" w:hAnsiTheme="minorEastAsia" w:eastAsiaTheme="minorEastAsia"/>
          <w:spacing w:val="-4"/>
        </w:rPr>
        <w:t>括运输在内的所有风险均由卖方承担。</w:t>
      </w:r>
    </w:p>
    <w:p>
      <w:pPr>
        <w:pStyle w:val="31"/>
        <w:numPr>
          <w:ilvl w:val="2"/>
          <w:numId w:val="11"/>
        </w:numPr>
        <w:tabs>
          <w:tab w:val="left" w:pos="1346"/>
        </w:tabs>
        <w:adjustRightInd w:val="0"/>
        <w:spacing w:line="360" w:lineRule="auto"/>
        <w:ind w:right="588" w:firstLine="396"/>
        <w:rPr>
          <w:rFonts w:asciiTheme="minorEastAsia" w:hAnsiTheme="minorEastAsia" w:eastAsiaTheme="minorEastAsia"/>
        </w:rPr>
      </w:pPr>
      <w:r>
        <w:rPr>
          <w:rFonts w:asciiTheme="minorEastAsia" w:hAnsiTheme="minorEastAsia" w:eastAsiaTheme="minorEastAsia"/>
          <w:spacing w:val="-6"/>
        </w:rPr>
        <w:t>除专用合同条款另有约定外，买方如果发现技术资料存在短缺和</w:t>
      </w:r>
      <w:r>
        <w:rPr>
          <w:rFonts w:asciiTheme="minorEastAsia" w:hAnsiTheme="minorEastAsia" w:eastAsiaTheme="minorEastAsia"/>
          <w:spacing w:val="-3"/>
        </w:rPr>
        <w:t>（</w:t>
      </w:r>
      <w:r>
        <w:rPr>
          <w:rFonts w:asciiTheme="minorEastAsia" w:hAnsiTheme="minorEastAsia" w:eastAsiaTheme="minorEastAsia"/>
        </w:rPr>
        <w:t>或</w:t>
      </w:r>
      <w:r>
        <w:rPr>
          <w:rFonts w:asciiTheme="minorEastAsia" w:hAnsiTheme="minorEastAsia" w:eastAsiaTheme="minorEastAsia"/>
          <w:spacing w:val="-22"/>
        </w:rPr>
        <w:t>）</w:t>
      </w:r>
      <w:r>
        <w:rPr>
          <w:rFonts w:asciiTheme="minorEastAsia" w:hAnsiTheme="minorEastAsia" w:eastAsiaTheme="minorEastAsia"/>
          <w:spacing w:val="-5"/>
        </w:rPr>
        <w:t>损坏，卖方应</w:t>
      </w:r>
      <w:r>
        <w:rPr>
          <w:rFonts w:asciiTheme="minorEastAsia" w:hAnsiTheme="minorEastAsia" w:eastAsiaTheme="minorEastAsia"/>
          <w:spacing w:val="-7"/>
        </w:rPr>
        <w:t xml:space="preserve">在收到买方的通知后 </w:t>
      </w:r>
      <w:r>
        <w:rPr>
          <w:rFonts w:asciiTheme="minorEastAsia" w:hAnsiTheme="minorEastAsia" w:eastAsiaTheme="minorEastAsia"/>
        </w:rPr>
        <w:t>7</w:t>
      </w:r>
      <w:r>
        <w:rPr>
          <w:rFonts w:asciiTheme="minorEastAsia" w:hAnsiTheme="minorEastAsia" w:eastAsiaTheme="minorEastAsia"/>
          <w:spacing w:val="-3"/>
        </w:rPr>
        <w:t>日内免费补齐短缺和（</w:t>
      </w:r>
      <w:r>
        <w:rPr>
          <w:rFonts w:asciiTheme="minorEastAsia" w:hAnsiTheme="minorEastAsia" w:eastAsiaTheme="minorEastAsia"/>
        </w:rPr>
        <w:t>或</w:t>
      </w:r>
      <w:r>
        <w:rPr>
          <w:rFonts w:asciiTheme="minorEastAsia" w:hAnsiTheme="minorEastAsia" w:eastAsiaTheme="minorEastAsia"/>
          <w:spacing w:val="-3"/>
        </w:rPr>
        <w:t>）损坏的部分。如果买方发现卖方提供的技术</w:t>
      </w:r>
      <w:r>
        <w:rPr>
          <w:rFonts w:asciiTheme="minorEastAsia" w:hAnsiTheme="minorEastAsia" w:eastAsiaTheme="minorEastAsia"/>
          <w:spacing w:val="-14"/>
        </w:rPr>
        <w:t xml:space="preserve">资料有误，卖方应在收到买方通知后 </w:t>
      </w:r>
      <w:r>
        <w:rPr>
          <w:rFonts w:asciiTheme="minorEastAsia" w:hAnsiTheme="minorEastAsia" w:eastAsiaTheme="minorEastAsia"/>
        </w:rPr>
        <w:t>7</w:t>
      </w:r>
      <w:r>
        <w:rPr>
          <w:rFonts w:asciiTheme="minorEastAsia" w:hAnsiTheme="minorEastAsia" w:eastAsiaTheme="minorEastAsia"/>
          <w:spacing w:val="-16"/>
        </w:rPr>
        <w:t>日内免费替换。如由于买方原因导致技术资料丢失和</w:t>
      </w:r>
      <w:r>
        <w:rPr>
          <w:rFonts w:asciiTheme="minorEastAsia" w:hAnsiTheme="minorEastAsia" w:eastAsiaTheme="minorEastAsia"/>
        </w:rPr>
        <w:t xml:space="preserve">（或） </w:t>
      </w:r>
      <w:r>
        <w:rPr>
          <w:rFonts w:asciiTheme="minorEastAsia" w:hAnsiTheme="minorEastAsia" w:eastAsiaTheme="minorEastAsia"/>
          <w:spacing w:val="-5"/>
        </w:rPr>
        <w:t xml:space="preserve">损坏，卖方应在收到买方的通知后 </w:t>
      </w:r>
      <w:r>
        <w:rPr>
          <w:rFonts w:asciiTheme="minorEastAsia" w:hAnsiTheme="minorEastAsia" w:eastAsiaTheme="minorEastAsia"/>
        </w:rPr>
        <w:t>7</w:t>
      </w:r>
      <w:r>
        <w:rPr>
          <w:rFonts w:asciiTheme="minorEastAsia" w:hAnsiTheme="minorEastAsia" w:eastAsiaTheme="minorEastAsia"/>
          <w:spacing w:val="-3"/>
        </w:rPr>
        <w:t>日内补齐丢失和</w:t>
      </w:r>
      <w:r>
        <w:rPr>
          <w:rFonts w:asciiTheme="minorEastAsia" w:hAnsiTheme="minorEastAsia" w:eastAsiaTheme="minorEastAsia"/>
        </w:rPr>
        <w:t>（</w:t>
      </w:r>
      <w:r>
        <w:rPr>
          <w:rFonts w:asciiTheme="minorEastAsia" w:hAnsiTheme="minorEastAsia" w:eastAsiaTheme="minorEastAsia"/>
          <w:spacing w:val="-3"/>
        </w:rPr>
        <w:t>或</w:t>
      </w:r>
      <w:r>
        <w:rPr>
          <w:rFonts w:asciiTheme="minorEastAsia" w:hAnsiTheme="minorEastAsia" w:eastAsiaTheme="minorEastAsia"/>
        </w:rPr>
        <w:t>）</w:t>
      </w:r>
      <w:r>
        <w:rPr>
          <w:rFonts w:asciiTheme="minorEastAsia" w:hAnsiTheme="minorEastAsia" w:eastAsiaTheme="minorEastAsia"/>
          <w:spacing w:val="-3"/>
        </w:rPr>
        <w:t>损坏的部分，但买方应向卖方支付合理的复制、邮寄费用。</w:t>
      </w:r>
    </w:p>
    <w:p>
      <w:pPr>
        <w:pStyle w:val="2"/>
        <w:numPr>
          <w:ilvl w:val="0"/>
          <w:numId w:val="12"/>
        </w:numPr>
        <w:tabs>
          <w:tab w:val="left" w:pos="802"/>
        </w:tabs>
        <w:adjustRightInd w:val="0"/>
        <w:spacing w:before="143" w:line="360" w:lineRule="auto"/>
        <w:rPr>
          <w:rFonts w:asciiTheme="minorEastAsia" w:hAnsiTheme="minorEastAsia" w:eastAsiaTheme="minorEastAsia"/>
          <w:sz w:val="26"/>
        </w:rPr>
      </w:pPr>
      <w:bookmarkStart w:id="135" w:name="_bookmark126"/>
      <w:bookmarkEnd w:id="135"/>
      <w:r>
        <w:rPr>
          <w:rFonts w:asciiTheme="minorEastAsia" w:hAnsiTheme="minorEastAsia" w:eastAsiaTheme="minorEastAsia"/>
        </w:rPr>
        <w:t>开箱检验、安装、调试、考核、验收</w:t>
      </w:r>
    </w:p>
    <w:p>
      <w:pPr>
        <w:pStyle w:val="3"/>
        <w:numPr>
          <w:ilvl w:val="1"/>
          <w:numId w:val="12"/>
        </w:numPr>
        <w:tabs>
          <w:tab w:val="left" w:pos="1027"/>
        </w:tabs>
        <w:adjustRightInd w:val="0"/>
        <w:spacing w:line="360" w:lineRule="auto"/>
        <w:ind w:left="1026" w:hanging="489"/>
        <w:rPr>
          <w:rFonts w:asciiTheme="minorEastAsia" w:hAnsiTheme="minorEastAsia" w:eastAsiaTheme="minorEastAsia"/>
        </w:rPr>
      </w:pPr>
      <w:bookmarkStart w:id="136" w:name="_bookmark127"/>
      <w:bookmarkEnd w:id="136"/>
      <w:r>
        <w:rPr>
          <w:rFonts w:asciiTheme="minorEastAsia" w:hAnsiTheme="minorEastAsia" w:eastAsiaTheme="minorEastAsia"/>
        </w:rPr>
        <w:t>开箱检验</w:t>
      </w:r>
    </w:p>
    <w:p>
      <w:pPr>
        <w:pStyle w:val="31"/>
        <w:numPr>
          <w:ilvl w:val="2"/>
          <w:numId w:val="12"/>
        </w:numPr>
        <w:tabs>
          <w:tab w:val="left" w:pos="1346"/>
        </w:tabs>
        <w:adjustRightInd w:val="0"/>
        <w:spacing w:before="263" w:line="360" w:lineRule="auto"/>
        <w:ind w:right="693" w:firstLine="388"/>
        <w:rPr>
          <w:rFonts w:asciiTheme="minorEastAsia" w:hAnsiTheme="minorEastAsia" w:eastAsiaTheme="minorEastAsia"/>
        </w:rPr>
      </w:pPr>
      <w:r>
        <w:rPr>
          <w:rFonts w:asciiTheme="minorEastAsia" w:hAnsiTheme="minorEastAsia" w:eastAsiaTheme="minorEastAsia"/>
          <w:spacing w:val="-8"/>
        </w:rPr>
        <w:t>合同设备交付后应进行开箱检验，即合同设备数量及外观检验。开箱检验在专用合同</w:t>
      </w:r>
      <w:r>
        <w:rPr>
          <w:rFonts w:asciiTheme="minorEastAsia" w:hAnsiTheme="minorEastAsia" w:eastAsiaTheme="minorEastAsia"/>
          <w:spacing w:val="-5"/>
        </w:rPr>
        <w:t>条款约定的下列任一种时间进行：</w:t>
      </w:r>
    </w:p>
    <w:p>
      <w:pPr>
        <w:pStyle w:val="6"/>
        <w:adjustRightInd w:val="0"/>
        <w:spacing w:before="1" w:line="360" w:lineRule="auto"/>
        <w:ind w:left="820"/>
        <w:rPr>
          <w:rFonts w:asciiTheme="minorEastAsia" w:hAnsiTheme="minorEastAsia" w:eastAsiaTheme="minorEastAsia"/>
        </w:rPr>
      </w:pPr>
      <w:r>
        <w:rPr>
          <w:rFonts w:asciiTheme="minorEastAsia" w:hAnsiTheme="minorEastAsia" w:eastAsiaTheme="minorEastAsia"/>
        </w:rPr>
        <w:t>（1）合同设备交付时；</w:t>
      </w:r>
    </w:p>
    <w:p>
      <w:pPr>
        <w:pStyle w:val="6"/>
        <w:adjustRightInd w:val="0"/>
        <w:spacing w:before="139" w:line="360" w:lineRule="auto"/>
        <w:ind w:left="820"/>
        <w:rPr>
          <w:rFonts w:asciiTheme="minorEastAsia" w:hAnsiTheme="minorEastAsia" w:eastAsiaTheme="minorEastAsia"/>
        </w:rPr>
      </w:pPr>
      <w:r>
        <w:rPr>
          <w:rFonts w:asciiTheme="minorEastAsia" w:hAnsiTheme="minorEastAsia" w:eastAsiaTheme="minorEastAsia"/>
        </w:rPr>
        <w:t>（2）合同设备交付后的一定期限内。</w:t>
      </w:r>
    </w:p>
    <w:p>
      <w:pPr>
        <w:pStyle w:val="6"/>
        <w:adjustRightInd w:val="0"/>
        <w:spacing w:before="138" w:line="360" w:lineRule="auto"/>
        <w:ind w:left="400" w:right="643" w:firstLine="419"/>
        <w:rPr>
          <w:rFonts w:asciiTheme="minorEastAsia" w:hAnsiTheme="minorEastAsia" w:eastAsiaTheme="minorEastAsia"/>
        </w:rPr>
      </w:pPr>
      <w:r>
        <w:rPr>
          <w:rFonts w:asciiTheme="minorEastAsia" w:hAnsiTheme="minorEastAsia" w:eastAsiaTheme="minorEastAsia"/>
        </w:rPr>
        <w:t>如开箱检验不在合同设备交付时进行，买方应在开箱检验 3 日前将开箱检验的时间和地点通知卖方。</w:t>
      </w:r>
    </w:p>
    <w:p>
      <w:pPr>
        <w:pStyle w:val="31"/>
        <w:numPr>
          <w:ilvl w:val="2"/>
          <w:numId w:val="12"/>
        </w:numPr>
        <w:tabs>
          <w:tab w:val="left" w:pos="1346"/>
        </w:tabs>
        <w:adjustRightInd w:val="0"/>
        <w:spacing w:line="360" w:lineRule="auto"/>
        <w:ind w:firstLine="408"/>
        <w:rPr>
          <w:rFonts w:asciiTheme="minorEastAsia" w:hAnsiTheme="minorEastAsia" w:eastAsiaTheme="minorEastAsia"/>
        </w:rPr>
      </w:pPr>
      <w:r>
        <w:rPr>
          <w:rFonts w:asciiTheme="minorEastAsia" w:hAnsiTheme="minorEastAsia" w:eastAsiaTheme="minorEastAsia"/>
          <w:spacing w:val="-3"/>
        </w:rPr>
        <w:t>除专用合同条款另有约定外，合同设备的开箱检验应在施工场地进行。</w:t>
      </w:r>
    </w:p>
    <w:p>
      <w:pPr>
        <w:pStyle w:val="31"/>
        <w:numPr>
          <w:ilvl w:val="2"/>
          <w:numId w:val="12"/>
        </w:numPr>
        <w:tabs>
          <w:tab w:val="left" w:pos="1346"/>
        </w:tabs>
        <w:adjustRightInd w:val="0"/>
        <w:spacing w:before="142" w:line="360" w:lineRule="auto"/>
        <w:ind w:firstLine="408"/>
        <w:rPr>
          <w:rFonts w:asciiTheme="minorEastAsia" w:hAnsiTheme="minorEastAsia" w:eastAsiaTheme="minorEastAsia"/>
        </w:rPr>
      </w:pPr>
      <w:r>
        <w:rPr>
          <w:rFonts w:asciiTheme="minorEastAsia" w:hAnsiTheme="minorEastAsia" w:eastAsiaTheme="minorEastAsia"/>
          <w:spacing w:val="-3"/>
        </w:rPr>
        <w:t>开箱检验由买卖双方共同进行，卖方应自负费用派遣代表到场参加开箱检验。</w:t>
      </w:r>
    </w:p>
    <w:p>
      <w:pPr>
        <w:pStyle w:val="31"/>
        <w:numPr>
          <w:ilvl w:val="2"/>
          <w:numId w:val="12"/>
        </w:numPr>
        <w:tabs>
          <w:tab w:val="left" w:pos="1349"/>
        </w:tabs>
        <w:adjustRightInd w:val="0"/>
        <w:spacing w:before="139" w:line="360" w:lineRule="auto"/>
        <w:ind w:right="589" w:firstLine="408"/>
        <w:rPr>
          <w:rFonts w:asciiTheme="minorEastAsia" w:hAnsiTheme="minorEastAsia" w:eastAsiaTheme="minorEastAsia"/>
        </w:rPr>
      </w:pPr>
      <w:r>
        <w:rPr>
          <w:rFonts w:asciiTheme="minorEastAsia" w:hAnsiTheme="minorEastAsia" w:eastAsiaTheme="minorEastAsia"/>
          <w:spacing w:val="-3"/>
        </w:rPr>
        <w:t>在开箱检验中，买方和卖方应共同签署数量、外观检验报告，报告应列明检验结果， 包括检验合格或发现的任何短缺、损坏或其它与合同约定不符的情形。</w:t>
      </w:r>
    </w:p>
    <w:p>
      <w:pPr>
        <w:pStyle w:val="31"/>
        <w:numPr>
          <w:ilvl w:val="2"/>
          <w:numId w:val="12"/>
        </w:numPr>
        <w:tabs>
          <w:tab w:val="left" w:pos="1346"/>
        </w:tabs>
        <w:adjustRightInd w:val="0"/>
        <w:spacing w:line="360" w:lineRule="auto"/>
        <w:ind w:right="691" w:firstLine="396"/>
        <w:rPr>
          <w:rFonts w:asciiTheme="minorEastAsia" w:hAnsiTheme="minorEastAsia" w:eastAsiaTheme="minorEastAsia"/>
        </w:rPr>
      </w:pPr>
      <w:r>
        <w:rPr>
          <w:rFonts w:asciiTheme="minorEastAsia" w:hAnsiTheme="minorEastAsia" w:eastAsiaTheme="minorEastAsia"/>
          <w:spacing w:val="-6"/>
        </w:rPr>
        <w:t>如果卖方代表未能依约或按买方通知到场参加开箱检验，买方有权在卖方代表未在场的情况下进行开箱检验，并签署数量、外观检验报告，对于该检验报告和检验结果，视为卖方</w:t>
      </w:r>
      <w:r>
        <w:rPr>
          <w:rFonts w:asciiTheme="minorEastAsia" w:hAnsiTheme="minorEastAsia" w:eastAsiaTheme="minorEastAsia"/>
          <w:spacing w:val="-4"/>
        </w:rPr>
        <w:t>已接受，但卖方确有合理理由且事先与买方协商推迟开箱检验时间的除外。</w:t>
      </w:r>
    </w:p>
    <w:p>
      <w:pPr>
        <w:pStyle w:val="31"/>
        <w:numPr>
          <w:ilvl w:val="2"/>
          <w:numId w:val="12"/>
        </w:numPr>
        <w:tabs>
          <w:tab w:val="left" w:pos="1346"/>
        </w:tabs>
        <w:adjustRightInd w:val="0"/>
        <w:spacing w:line="360" w:lineRule="auto"/>
        <w:ind w:firstLine="388"/>
        <w:rPr>
          <w:rFonts w:asciiTheme="minorEastAsia" w:hAnsiTheme="minorEastAsia" w:eastAsiaTheme="minorEastAsia"/>
        </w:rPr>
      </w:pPr>
      <w:r>
        <w:rPr>
          <w:rFonts w:asciiTheme="minorEastAsia" w:hAnsiTheme="minorEastAsia" w:eastAsiaTheme="minorEastAsia"/>
          <w:spacing w:val="-8"/>
        </w:rPr>
        <w:t>如开箱检验不在合同设备交付时进行，则合同设备交付以后到开箱检验之前，应由买</w:t>
      </w:r>
    </w:p>
    <w:p>
      <w:pPr>
        <w:pStyle w:val="6"/>
        <w:adjustRightInd w:val="0"/>
        <w:spacing w:before="41" w:line="360" w:lineRule="auto"/>
        <w:ind w:left="400" w:right="693"/>
        <w:rPr>
          <w:rFonts w:asciiTheme="minorEastAsia" w:hAnsiTheme="minorEastAsia" w:eastAsiaTheme="minorEastAsia"/>
        </w:rPr>
      </w:pPr>
      <w:r>
        <w:rPr>
          <w:rFonts w:asciiTheme="minorEastAsia" w:hAnsiTheme="minorEastAsia" w:eastAsiaTheme="minorEastAsia"/>
        </w:rPr>
        <w:t>方负责按交货时外包装原样对合同设备进行妥善保管。除专用合同条款另有约定外，在开箱检验时如果合同设备外包装与交货时一致，则开箱检验中发现的合同设备的短缺、损坏或其它与合同约定不符的情形，由卖方负责，卖方应补齐、更换及采取其他补救措施。如果在开箱检验时合同设备外包装不是交货时的包装或虽是交货时的包装但与交货时不一致且出现很可能导致合同设备短缺或损坏的包装破损，则开箱检验中发现合同设备短缺、损坏或其它与合同约定不符的情形的风险，由买方承担，但买方能够证明是由于卖方原因或合同设备交付前非买方原因导致的除外。</w:t>
      </w:r>
    </w:p>
    <w:p>
      <w:pPr>
        <w:pStyle w:val="31"/>
        <w:numPr>
          <w:ilvl w:val="2"/>
          <w:numId w:val="12"/>
        </w:numPr>
        <w:tabs>
          <w:tab w:val="left" w:pos="1346"/>
        </w:tabs>
        <w:adjustRightInd w:val="0"/>
        <w:spacing w:line="360" w:lineRule="auto"/>
        <w:ind w:right="691" w:firstLine="392"/>
        <w:rPr>
          <w:rFonts w:asciiTheme="minorEastAsia" w:hAnsiTheme="minorEastAsia" w:eastAsiaTheme="minorEastAsia"/>
        </w:rPr>
      </w:pPr>
      <w:r>
        <w:rPr>
          <w:rFonts w:asciiTheme="minorEastAsia" w:hAnsiTheme="minorEastAsia" w:eastAsiaTheme="minorEastAsia"/>
          <w:spacing w:val="-7"/>
        </w:rPr>
        <w:t>如双方在专用合同条款和</w:t>
      </w:r>
      <w:r>
        <w:rPr>
          <w:rFonts w:asciiTheme="minorEastAsia" w:hAnsiTheme="minorEastAsia" w:eastAsiaTheme="minorEastAsia"/>
          <w:spacing w:val="-3"/>
        </w:rPr>
        <w:t>（</w:t>
      </w:r>
      <w:r>
        <w:rPr>
          <w:rFonts w:asciiTheme="minorEastAsia" w:hAnsiTheme="minorEastAsia" w:eastAsiaTheme="minorEastAsia"/>
        </w:rPr>
        <w:t>或</w:t>
      </w:r>
      <w:r>
        <w:rPr>
          <w:rFonts w:asciiTheme="minorEastAsia" w:hAnsiTheme="minorEastAsia" w:eastAsiaTheme="minorEastAsia"/>
          <w:spacing w:val="-39"/>
        </w:rPr>
        <w:t>）</w:t>
      </w:r>
      <w:r>
        <w:rPr>
          <w:rFonts w:asciiTheme="minorEastAsia" w:hAnsiTheme="minorEastAsia" w:eastAsiaTheme="minorEastAsia"/>
          <w:spacing w:val="-3"/>
        </w:rPr>
        <w:t>供货要求等合同文件中约定由第三方检测机构对合同设备进行开箱检验或在开箱检验过程中另行约定由第三方检验的，则第三方检测机构的检验结果对双方均具有约束力。</w:t>
      </w:r>
    </w:p>
    <w:p>
      <w:pPr>
        <w:pStyle w:val="31"/>
        <w:numPr>
          <w:ilvl w:val="2"/>
          <w:numId w:val="12"/>
        </w:numPr>
        <w:tabs>
          <w:tab w:val="left" w:pos="1346"/>
        </w:tabs>
        <w:adjustRightInd w:val="0"/>
        <w:spacing w:line="360" w:lineRule="auto"/>
        <w:ind w:right="691" w:firstLine="392"/>
        <w:rPr>
          <w:rFonts w:asciiTheme="minorEastAsia" w:hAnsiTheme="minorEastAsia" w:eastAsiaTheme="minorEastAsia"/>
        </w:rPr>
      </w:pPr>
      <w:r>
        <w:rPr>
          <w:rFonts w:asciiTheme="minorEastAsia" w:hAnsiTheme="minorEastAsia" w:eastAsiaTheme="minorEastAsia"/>
          <w:spacing w:val="-7"/>
        </w:rPr>
        <w:t>开箱检验的检验结果不能对抗在合同设备的安装、调试、考核、验收中及质量保证期内发现的合同设备质量问题，也不能免除或影响卖方依照合同约定对买方负有的包括合同设备</w:t>
      </w:r>
      <w:r>
        <w:rPr>
          <w:rFonts w:asciiTheme="minorEastAsia" w:hAnsiTheme="minorEastAsia" w:eastAsiaTheme="minorEastAsia"/>
          <w:spacing w:val="-5"/>
        </w:rPr>
        <w:t>质量在内的任何义务或责任。</w:t>
      </w:r>
    </w:p>
    <w:p>
      <w:pPr>
        <w:pStyle w:val="6"/>
        <w:adjustRightInd w:val="0"/>
        <w:spacing w:before="11" w:line="360" w:lineRule="auto"/>
        <w:rPr>
          <w:rFonts w:asciiTheme="minorEastAsia" w:hAnsiTheme="minorEastAsia" w:eastAsiaTheme="minorEastAsia"/>
          <w:sz w:val="19"/>
        </w:rPr>
      </w:pPr>
    </w:p>
    <w:p>
      <w:pPr>
        <w:pStyle w:val="3"/>
        <w:numPr>
          <w:ilvl w:val="1"/>
          <w:numId w:val="12"/>
        </w:numPr>
        <w:tabs>
          <w:tab w:val="left" w:pos="1027"/>
        </w:tabs>
        <w:adjustRightInd w:val="0"/>
        <w:spacing w:line="360" w:lineRule="auto"/>
        <w:ind w:left="1026" w:hanging="489"/>
        <w:rPr>
          <w:rFonts w:asciiTheme="minorEastAsia" w:hAnsiTheme="minorEastAsia" w:eastAsiaTheme="minorEastAsia"/>
        </w:rPr>
      </w:pPr>
      <w:bookmarkStart w:id="137" w:name="_bookmark128"/>
      <w:bookmarkEnd w:id="137"/>
      <w:r>
        <w:rPr>
          <w:rFonts w:asciiTheme="minorEastAsia" w:hAnsiTheme="minorEastAsia" w:eastAsiaTheme="minorEastAsia"/>
        </w:rPr>
        <w:t>安装、调试</w:t>
      </w:r>
    </w:p>
    <w:p>
      <w:pPr>
        <w:pStyle w:val="31"/>
        <w:numPr>
          <w:ilvl w:val="2"/>
          <w:numId w:val="12"/>
        </w:numPr>
        <w:tabs>
          <w:tab w:val="left" w:pos="1346"/>
        </w:tabs>
        <w:adjustRightInd w:val="0"/>
        <w:spacing w:before="266" w:line="360" w:lineRule="auto"/>
        <w:ind w:right="693" w:firstLine="344"/>
        <w:rPr>
          <w:rFonts w:asciiTheme="minorEastAsia" w:hAnsiTheme="minorEastAsia" w:eastAsiaTheme="minorEastAsia"/>
        </w:rPr>
      </w:pPr>
      <w:r>
        <w:rPr>
          <w:rFonts w:asciiTheme="minorEastAsia" w:hAnsiTheme="minorEastAsia" w:eastAsiaTheme="minorEastAsia"/>
          <w:spacing w:val="-19"/>
        </w:rPr>
        <w:t>开箱检验完成后，双方应对合同设备进行安装、调试，以使其具备考核的状态。安装、</w:t>
      </w:r>
      <w:r>
        <w:rPr>
          <w:rFonts w:asciiTheme="minorEastAsia" w:hAnsiTheme="minorEastAsia" w:eastAsiaTheme="minorEastAsia"/>
          <w:spacing w:val="-8"/>
        </w:rPr>
        <w:t>调试应按照专用合同条款约定的下列任一种方式进行：</w:t>
      </w:r>
    </w:p>
    <w:p>
      <w:pPr>
        <w:pStyle w:val="6"/>
        <w:adjustRightInd w:val="0"/>
        <w:spacing w:line="360" w:lineRule="auto"/>
        <w:ind w:left="820"/>
        <w:rPr>
          <w:rFonts w:asciiTheme="minorEastAsia" w:hAnsiTheme="minorEastAsia" w:eastAsiaTheme="minorEastAsia"/>
        </w:rPr>
      </w:pPr>
      <w:r>
        <w:rPr>
          <w:rFonts w:asciiTheme="minorEastAsia" w:hAnsiTheme="minorEastAsia" w:eastAsiaTheme="minorEastAsia"/>
        </w:rPr>
        <w:t>（1）卖方按照合同约定完成合同设备的安装、调试工作；</w:t>
      </w:r>
    </w:p>
    <w:p>
      <w:pPr>
        <w:pStyle w:val="6"/>
        <w:adjustRightInd w:val="0"/>
        <w:spacing w:before="139" w:line="360" w:lineRule="auto"/>
        <w:ind w:left="820"/>
        <w:rPr>
          <w:rFonts w:asciiTheme="minorEastAsia" w:hAnsiTheme="minorEastAsia" w:eastAsiaTheme="minorEastAsia"/>
        </w:rPr>
      </w:pPr>
      <w:r>
        <w:rPr>
          <w:rFonts w:asciiTheme="minorEastAsia" w:hAnsiTheme="minorEastAsia" w:eastAsiaTheme="minorEastAsia"/>
        </w:rPr>
        <w:t>（2）买方或买方安排第三方负责合同设备的安装、调试工作，卖方提供技术服务。</w:t>
      </w:r>
    </w:p>
    <w:p>
      <w:pPr>
        <w:pStyle w:val="6"/>
        <w:adjustRightInd w:val="0"/>
        <w:spacing w:before="141" w:line="360" w:lineRule="auto"/>
        <w:ind w:left="400" w:right="693" w:firstLine="419"/>
        <w:rPr>
          <w:rFonts w:asciiTheme="minorEastAsia" w:hAnsiTheme="minorEastAsia" w:eastAsiaTheme="minorEastAsia"/>
        </w:rPr>
      </w:pPr>
      <w:r>
        <w:rPr>
          <w:rFonts w:asciiTheme="minorEastAsia" w:hAnsiTheme="minorEastAsia" w:eastAsiaTheme="minorEastAsia"/>
        </w:rPr>
        <w:t>除专用合同条款另有约定外，在安装、调试过程中，如由于买方或买方安排的第三方未按照卖方现场服务人员的指导导致安装、调试不成功和（或）出现合同设备损坏，买方应自行承担责任。如在买方或买方安排的第三方按照卖方现场服务人员的指导进行安装、调试的情况下出现安装、调试不成功和（或）造成合同设备损坏的情况，卖方应承担责任。</w:t>
      </w:r>
    </w:p>
    <w:p>
      <w:pPr>
        <w:pStyle w:val="31"/>
        <w:numPr>
          <w:ilvl w:val="2"/>
          <w:numId w:val="12"/>
        </w:numPr>
        <w:tabs>
          <w:tab w:val="left" w:pos="1346"/>
        </w:tabs>
        <w:adjustRightInd w:val="0"/>
        <w:spacing w:line="360" w:lineRule="auto"/>
        <w:ind w:right="694" w:firstLine="384"/>
        <w:rPr>
          <w:rFonts w:asciiTheme="minorEastAsia" w:hAnsiTheme="minorEastAsia" w:eastAsiaTheme="minorEastAsia"/>
        </w:rPr>
      </w:pPr>
      <w:r>
        <w:rPr>
          <w:rFonts w:asciiTheme="minorEastAsia" w:hAnsiTheme="minorEastAsia" w:eastAsiaTheme="minorEastAsia"/>
          <w:spacing w:val="-9"/>
        </w:rPr>
        <w:t>除专用合同条款另有约定外，安装、调试中合同设备运行需要的用水、用电、其他动</w:t>
      </w:r>
      <w:r>
        <w:rPr>
          <w:rFonts w:asciiTheme="minorEastAsia" w:hAnsiTheme="minorEastAsia" w:eastAsiaTheme="minorEastAsia"/>
          <w:spacing w:val="-6"/>
        </w:rPr>
        <w:t>力和原材料</w:t>
      </w:r>
      <w:r>
        <w:rPr>
          <w:rFonts w:asciiTheme="minorEastAsia" w:hAnsiTheme="minorEastAsia" w:eastAsiaTheme="minorEastAsia"/>
        </w:rPr>
        <w:t>（</w:t>
      </w:r>
      <w:r>
        <w:rPr>
          <w:rFonts w:asciiTheme="minorEastAsia" w:hAnsiTheme="minorEastAsia" w:eastAsiaTheme="minorEastAsia"/>
          <w:spacing w:val="-3"/>
        </w:rPr>
        <w:t>如需要</w:t>
      </w:r>
      <w:r>
        <w:rPr>
          <w:rFonts w:asciiTheme="minorEastAsia" w:hAnsiTheme="minorEastAsia" w:eastAsiaTheme="minorEastAsia"/>
        </w:rPr>
        <w:t>）</w:t>
      </w:r>
      <w:r>
        <w:rPr>
          <w:rFonts w:asciiTheme="minorEastAsia" w:hAnsiTheme="minorEastAsia" w:eastAsiaTheme="minorEastAsia"/>
          <w:spacing w:val="-3"/>
        </w:rPr>
        <w:t>等均由买方承担。</w:t>
      </w:r>
    </w:p>
    <w:p>
      <w:pPr>
        <w:pStyle w:val="31"/>
        <w:numPr>
          <w:ilvl w:val="2"/>
          <w:numId w:val="12"/>
        </w:numPr>
        <w:tabs>
          <w:tab w:val="left" w:pos="1346"/>
        </w:tabs>
        <w:adjustRightInd w:val="0"/>
        <w:spacing w:line="360" w:lineRule="auto"/>
        <w:ind w:firstLine="408"/>
        <w:rPr>
          <w:rFonts w:asciiTheme="minorEastAsia" w:hAnsiTheme="minorEastAsia" w:eastAsiaTheme="minorEastAsia"/>
        </w:rPr>
      </w:pPr>
      <w:r>
        <w:rPr>
          <w:rFonts w:asciiTheme="minorEastAsia" w:hAnsiTheme="minorEastAsia" w:eastAsiaTheme="minorEastAsia"/>
          <w:spacing w:val="-3"/>
        </w:rPr>
        <w:t>双方应对合同设备的安装、调试情况共同及时进行记录。</w:t>
      </w:r>
    </w:p>
    <w:p>
      <w:pPr>
        <w:pStyle w:val="6"/>
        <w:adjustRightInd w:val="0"/>
        <w:spacing w:before="10" w:line="360" w:lineRule="auto"/>
        <w:rPr>
          <w:rFonts w:asciiTheme="minorEastAsia" w:hAnsiTheme="minorEastAsia" w:eastAsiaTheme="minorEastAsia"/>
          <w:sz w:val="30"/>
        </w:rPr>
      </w:pPr>
    </w:p>
    <w:p>
      <w:pPr>
        <w:pStyle w:val="3"/>
        <w:numPr>
          <w:ilvl w:val="1"/>
          <w:numId w:val="12"/>
        </w:numPr>
        <w:tabs>
          <w:tab w:val="left" w:pos="1027"/>
        </w:tabs>
        <w:adjustRightInd w:val="0"/>
        <w:spacing w:line="360" w:lineRule="auto"/>
        <w:ind w:left="1026" w:hanging="489"/>
        <w:rPr>
          <w:rFonts w:asciiTheme="minorEastAsia" w:hAnsiTheme="minorEastAsia" w:eastAsiaTheme="minorEastAsia"/>
        </w:rPr>
      </w:pPr>
      <w:bookmarkStart w:id="138" w:name="_bookmark129"/>
      <w:bookmarkEnd w:id="138"/>
      <w:r>
        <w:rPr>
          <w:rFonts w:asciiTheme="minorEastAsia" w:hAnsiTheme="minorEastAsia" w:eastAsiaTheme="minorEastAsia"/>
        </w:rPr>
        <w:t>考核</w:t>
      </w:r>
    </w:p>
    <w:p>
      <w:pPr>
        <w:pStyle w:val="31"/>
        <w:numPr>
          <w:ilvl w:val="2"/>
          <w:numId w:val="12"/>
        </w:numPr>
        <w:tabs>
          <w:tab w:val="left" w:pos="1346"/>
        </w:tabs>
        <w:adjustRightInd w:val="0"/>
        <w:spacing w:before="266" w:line="360" w:lineRule="auto"/>
        <w:ind w:right="693" w:firstLine="380"/>
        <w:rPr>
          <w:rFonts w:asciiTheme="minorEastAsia" w:hAnsiTheme="minorEastAsia" w:eastAsiaTheme="minorEastAsia"/>
        </w:rPr>
      </w:pPr>
      <w:r>
        <w:rPr>
          <w:rFonts w:asciiTheme="minorEastAsia" w:hAnsiTheme="minorEastAsia" w:eastAsiaTheme="minorEastAsia"/>
          <w:spacing w:val="-10"/>
        </w:rPr>
        <w:t>安装、调试完成后，双方应对合同设备进行考核，以确定合同设备是否达到合同约定</w:t>
      </w:r>
      <w:r>
        <w:rPr>
          <w:rFonts w:asciiTheme="minorEastAsia" w:hAnsiTheme="minorEastAsia" w:eastAsiaTheme="minorEastAsia"/>
          <w:spacing w:val="-9"/>
        </w:rPr>
        <w:t>的技术性能考核指标。除专用合同条款另有约定外，考核中合同设备运行需要的用水、用电、</w:t>
      </w:r>
      <w:r>
        <w:rPr>
          <w:rFonts w:asciiTheme="minorEastAsia" w:hAnsiTheme="minorEastAsia" w:eastAsiaTheme="minorEastAsia"/>
          <w:spacing w:val="-5"/>
        </w:rPr>
        <w:t>其他动力和原材料</w:t>
      </w:r>
      <w:r>
        <w:rPr>
          <w:rFonts w:asciiTheme="minorEastAsia" w:hAnsiTheme="minorEastAsia" w:eastAsiaTheme="minorEastAsia"/>
          <w:spacing w:val="-3"/>
        </w:rPr>
        <w:t>（</w:t>
      </w:r>
      <w:r>
        <w:rPr>
          <w:rFonts w:asciiTheme="minorEastAsia" w:hAnsiTheme="minorEastAsia" w:eastAsiaTheme="minorEastAsia"/>
          <w:spacing w:val="-2"/>
        </w:rPr>
        <w:t>如需要</w:t>
      </w:r>
      <w:r>
        <w:rPr>
          <w:rFonts w:asciiTheme="minorEastAsia" w:hAnsiTheme="minorEastAsia" w:eastAsiaTheme="minorEastAsia"/>
        </w:rPr>
        <w:t>）</w:t>
      </w:r>
      <w:r>
        <w:rPr>
          <w:rFonts w:asciiTheme="minorEastAsia" w:hAnsiTheme="minorEastAsia" w:eastAsiaTheme="minorEastAsia"/>
          <w:spacing w:val="-3"/>
        </w:rPr>
        <w:t>等均由买方承担。</w:t>
      </w:r>
    </w:p>
    <w:p>
      <w:pPr>
        <w:pStyle w:val="31"/>
        <w:numPr>
          <w:ilvl w:val="2"/>
          <w:numId w:val="12"/>
        </w:numPr>
        <w:tabs>
          <w:tab w:val="left" w:pos="1346"/>
        </w:tabs>
        <w:adjustRightInd w:val="0"/>
        <w:spacing w:before="61" w:line="360" w:lineRule="auto"/>
        <w:ind w:right="691" w:firstLine="396"/>
        <w:rPr>
          <w:rFonts w:asciiTheme="minorEastAsia" w:hAnsiTheme="minorEastAsia" w:eastAsiaTheme="minorEastAsia"/>
        </w:rPr>
      </w:pPr>
      <w:r>
        <w:rPr>
          <w:rFonts w:asciiTheme="minorEastAsia" w:hAnsiTheme="minorEastAsia" w:eastAsiaTheme="minorEastAsia"/>
          <w:spacing w:val="-6"/>
        </w:rPr>
        <w:t>如由于卖方原因合同设备在考核中未能达到合同约定的技术性能考核指标，则卖方应在双方同意的期限内采取措施消除合同设备中存在的缺陷，并在缺陷消除以后，尽快进行再次考核。</w:t>
      </w:r>
    </w:p>
    <w:p>
      <w:pPr>
        <w:pStyle w:val="31"/>
        <w:numPr>
          <w:ilvl w:val="2"/>
          <w:numId w:val="12"/>
        </w:numPr>
        <w:tabs>
          <w:tab w:val="left" w:pos="1294"/>
        </w:tabs>
        <w:adjustRightInd w:val="0"/>
        <w:spacing w:line="360" w:lineRule="auto"/>
        <w:ind w:right="693" w:firstLine="400"/>
        <w:rPr>
          <w:rFonts w:asciiTheme="minorEastAsia" w:hAnsiTheme="minorEastAsia" w:eastAsiaTheme="minorEastAsia"/>
        </w:rPr>
      </w:pPr>
      <w:r>
        <w:rPr>
          <w:rFonts w:asciiTheme="minorEastAsia" w:hAnsiTheme="minorEastAsia" w:eastAsiaTheme="minorEastAsia"/>
          <w:spacing w:val="-5"/>
        </w:rPr>
        <w:t>由于卖方原因未能达到技术性能考核指标时，为卖方进行考核的机会不超过三次。如果由于卖方原因，三次考核均未能达到合同约定的技术性能考核指标，则买卖双方应就合同的后续履行进行协商，协商不成的，买方有权解除合同。但如合同中约定了或双方在考核中另行达成了合同设备的最低技术性能考核指标，且合同设备达到了最低技术性能考核指标的，视为合同设备已达到技术性能考核指标，买方无权解除合同，且应接受合同设备，但卖方应按专用</w:t>
      </w:r>
      <w:r>
        <w:rPr>
          <w:rFonts w:asciiTheme="minorEastAsia" w:hAnsiTheme="minorEastAsia" w:eastAsiaTheme="minorEastAsia"/>
          <w:spacing w:val="-4"/>
        </w:rPr>
        <w:t>合同条款的约定进行减价或向买方支付补偿金。</w:t>
      </w:r>
    </w:p>
    <w:p>
      <w:pPr>
        <w:pStyle w:val="31"/>
        <w:numPr>
          <w:ilvl w:val="2"/>
          <w:numId w:val="12"/>
        </w:numPr>
        <w:tabs>
          <w:tab w:val="left" w:pos="1346"/>
        </w:tabs>
        <w:adjustRightInd w:val="0"/>
        <w:spacing w:line="360" w:lineRule="auto"/>
        <w:ind w:right="691" w:firstLine="396"/>
        <w:rPr>
          <w:rFonts w:asciiTheme="minorEastAsia" w:hAnsiTheme="minorEastAsia" w:eastAsiaTheme="minorEastAsia"/>
        </w:rPr>
      </w:pPr>
      <w:r>
        <w:rPr>
          <w:rFonts w:asciiTheme="minorEastAsia" w:hAnsiTheme="minorEastAsia" w:eastAsiaTheme="minorEastAsia"/>
          <w:spacing w:val="-6"/>
        </w:rPr>
        <w:t>如由于买方原因合同设备在考核中未能达到合同约定的技术性能考核指标，则卖方应协助买方安排再次考核。由于买方原因未能达到技术性能考核指标时，为买方进行考核的机会</w:t>
      </w:r>
      <w:r>
        <w:rPr>
          <w:rFonts w:asciiTheme="minorEastAsia" w:hAnsiTheme="minorEastAsia" w:eastAsiaTheme="minorEastAsia"/>
          <w:spacing w:val="-4"/>
        </w:rPr>
        <w:t>不超过三次。</w:t>
      </w:r>
    </w:p>
    <w:p>
      <w:pPr>
        <w:pStyle w:val="31"/>
        <w:numPr>
          <w:ilvl w:val="2"/>
          <w:numId w:val="12"/>
        </w:numPr>
        <w:tabs>
          <w:tab w:val="left" w:pos="1349"/>
        </w:tabs>
        <w:adjustRightInd w:val="0"/>
        <w:spacing w:line="360" w:lineRule="auto"/>
        <w:ind w:right="589" w:firstLine="408"/>
        <w:rPr>
          <w:rFonts w:asciiTheme="minorEastAsia" w:hAnsiTheme="minorEastAsia" w:eastAsiaTheme="minorEastAsia"/>
        </w:rPr>
      </w:pPr>
      <w:r>
        <w:rPr>
          <w:rFonts w:asciiTheme="minorEastAsia" w:hAnsiTheme="minorEastAsia" w:eastAsiaTheme="minorEastAsia"/>
          <w:spacing w:val="-3"/>
        </w:rPr>
        <w:t>考核期间，双方应及时共同记录合同设备的用水、用电、其他动力和原材料</w:t>
      </w:r>
      <w:r>
        <w:rPr>
          <w:rFonts w:asciiTheme="minorEastAsia" w:hAnsiTheme="minorEastAsia" w:eastAsiaTheme="minorEastAsia"/>
        </w:rPr>
        <w:t xml:space="preserve">（如有） </w:t>
      </w:r>
      <w:r>
        <w:rPr>
          <w:rFonts w:asciiTheme="minorEastAsia" w:hAnsiTheme="minorEastAsia" w:eastAsiaTheme="minorEastAsia"/>
          <w:spacing w:val="-3"/>
        </w:rPr>
        <w:t>的使用及设备考核情况。对于未达到技术性能考核指标的，应如实记录设备表现、可能原因及处理情况等。</w:t>
      </w:r>
    </w:p>
    <w:p>
      <w:pPr>
        <w:pStyle w:val="6"/>
        <w:adjustRightInd w:val="0"/>
        <w:spacing w:before="9" w:line="360" w:lineRule="auto"/>
        <w:rPr>
          <w:rFonts w:asciiTheme="minorEastAsia" w:hAnsiTheme="minorEastAsia" w:eastAsiaTheme="minorEastAsia"/>
          <w:sz w:val="19"/>
        </w:rPr>
      </w:pPr>
    </w:p>
    <w:p>
      <w:pPr>
        <w:pStyle w:val="3"/>
        <w:numPr>
          <w:ilvl w:val="1"/>
          <w:numId w:val="12"/>
        </w:numPr>
        <w:tabs>
          <w:tab w:val="left" w:pos="1027"/>
        </w:tabs>
        <w:adjustRightInd w:val="0"/>
        <w:spacing w:line="360" w:lineRule="auto"/>
        <w:ind w:left="1026" w:hanging="489"/>
        <w:rPr>
          <w:rFonts w:asciiTheme="minorEastAsia" w:hAnsiTheme="minorEastAsia" w:eastAsiaTheme="minorEastAsia"/>
        </w:rPr>
      </w:pPr>
      <w:bookmarkStart w:id="139" w:name="_bookmark130"/>
      <w:bookmarkEnd w:id="139"/>
      <w:r>
        <w:rPr>
          <w:rFonts w:asciiTheme="minorEastAsia" w:hAnsiTheme="minorEastAsia" w:eastAsiaTheme="minorEastAsia"/>
        </w:rPr>
        <w:t>验收</w:t>
      </w:r>
    </w:p>
    <w:p>
      <w:pPr>
        <w:pStyle w:val="31"/>
        <w:numPr>
          <w:ilvl w:val="2"/>
          <w:numId w:val="12"/>
        </w:numPr>
        <w:tabs>
          <w:tab w:val="left" w:pos="1346"/>
        </w:tabs>
        <w:adjustRightInd w:val="0"/>
        <w:spacing w:before="266" w:line="360" w:lineRule="auto"/>
        <w:ind w:firstLine="396"/>
        <w:rPr>
          <w:rFonts w:asciiTheme="minorEastAsia" w:hAnsiTheme="minorEastAsia" w:eastAsiaTheme="minorEastAsia"/>
        </w:rPr>
      </w:pPr>
      <w:r>
        <w:rPr>
          <w:rFonts w:asciiTheme="minorEastAsia" w:hAnsiTheme="minorEastAsia" w:eastAsiaTheme="minorEastAsia"/>
          <w:spacing w:val="-6"/>
        </w:rPr>
        <w:t>如合同设备在考核中达到或视为达到技术性能考核指标，则买卖双方应在考核完成后</w:t>
      </w:r>
    </w:p>
    <w:p>
      <w:pPr>
        <w:pStyle w:val="31"/>
        <w:numPr>
          <w:ilvl w:val="0"/>
          <w:numId w:val="13"/>
        </w:numPr>
        <w:tabs>
          <w:tab w:val="left" w:pos="612"/>
        </w:tabs>
        <w:adjustRightInd w:val="0"/>
        <w:spacing w:before="139" w:line="360" w:lineRule="auto"/>
        <w:ind w:right="694" w:firstLine="408"/>
        <w:jc w:val="left"/>
        <w:rPr>
          <w:rFonts w:asciiTheme="minorEastAsia" w:hAnsiTheme="minorEastAsia" w:eastAsiaTheme="minorEastAsia"/>
        </w:rPr>
      </w:pPr>
      <w:r>
        <w:rPr>
          <w:rFonts w:asciiTheme="minorEastAsia" w:hAnsiTheme="minorEastAsia" w:eastAsiaTheme="minorEastAsia"/>
          <w:spacing w:val="-3"/>
        </w:rPr>
        <w:t>日内或专用合同条款另行约定的时间内签署合同设备验收证书一式二份，双方各持一份。验收日期应为合同设备达到或视为达到技术性能考核指标的日期。</w:t>
      </w:r>
    </w:p>
    <w:p>
      <w:pPr>
        <w:pStyle w:val="31"/>
        <w:numPr>
          <w:ilvl w:val="2"/>
          <w:numId w:val="12"/>
        </w:numPr>
        <w:tabs>
          <w:tab w:val="left" w:pos="1346"/>
        </w:tabs>
        <w:adjustRightInd w:val="0"/>
        <w:spacing w:line="360" w:lineRule="auto"/>
        <w:ind w:right="691" w:firstLine="396"/>
        <w:rPr>
          <w:rFonts w:asciiTheme="minorEastAsia" w:hAnsiTheme="minorEastAsia" w:eastAsiaTheme="minorEastAsia"/>
        </w:rPr>
      </w:pPr>
      <w:r>
        <w:rPr>
          <w:rFonts w:asciiTheme="minorEastAsia" w:hAnsiTheme="minorEastAsia" w:eastAsiaTheme="minorEastAsia"/>
          <w:spacing w:val="-6"/>
        </w:rPr>
        <w:t>如由于买方原因合同设备在三次考核中均未能达到技术性能考核指标，买卖双方应在</w:t>
      </w:r>
      <w:r>
        <w:rPr>
          <w:rFonts w:asciiTheme="minorEastAsia" w:hAnsiTheme="minorEastAsia" w:eastAsiaTheme="minorEastAsia"/>
          <w:spacing w:val="-13"/>
        </w:rPr>
        <w:t xml:space="preserve">考核结束后 </w:t>
      </w:r>
      <w:r>
        <w:rPr>
          <w:rFonts w:asciiTheme="minorEastAsia" w:hAnsiTheme="minorEastAsia" w:eastAsiaTheme="minorEastAsia"/>
        </w:rPr>
        <w:t xml:space="preserve">7 </w:t>
      </w:r>
      <w:r>
        <w:rPr>
          <w:rFonts w:asciiTheme="minorEastAsia" w:hAnsiTheme="minorEastAsia" w:eastAsiaTheme="minorEastAsia"/>
          <w:spacing w:val="-3"/>
        </w:rPr>
        <w:t>日内或专用合同条款另行约定的时间内签署验收款支付函。</w:t>
      </w:r>
    </w:p>
    <w:p>
      <w:pPr>
        <w:pStyle w:val="6"/>
        <w:adjustRightInd w:val="0"/>
        <w:spacing w:line="360" w:lineRule="auto"/>
        <w:ind w:left="400" w:right="691" w:firstLine="419"/>
        <w:rPr>
          <w:rFonts w:asciiTheme="minorEastAsia" w:hAnsiTheme="minorEastAsia" w:eastAsiaTheme="minorEastAsia"/>
        </w:rPr>
      </w:pPr>
      <w:r>
        <w:rPr>
          <w:rFonts w:asciiTheme="minorEastAsia" w:hAnsiTheme="minorEastAsia" w:eastAsiaTheme="minorEastAsia"/>
          <w:spacing w:val="-10"/>
        </w:rPr>
        <w:t xml:space="preserve">除专用合同条款另有约定外，卖方有义务在验收款支付函签署后 </w:t>
      </w:r>
      <w:r>
        <w:rPr>
          <w:rFonts w:asciiTheme="minorEastAsia" w:hAnsiTheme="minorEastAsia" w:eastAsiaTheme="minorEastAsia"/>
        </w:rPr>
        <w:t xml:space="preserve">12 </w:t>
      </w:r>
      <w:r>
        <w:rPr>
          <w:rFonts w:asciiTheme="minorEastAsia" w:hAnsiTheme="minorEastAsia" w:eastAsiaTheme="minorEastAsia"/>
          <w:spacing w:val="-3"/>
        </w:rPr>
        <w:t>个月内应买方要求提供相关技术服务，协助买方采取一切必要措施使合同设备达到技术性能考核指标。买方应承担卖方因此产生的全部费用。</w:t>
      </w:r>
    </w:p>
    <w:p>
      <w:pPr>
        <w:pStyle w:val="6"/>
        <w:adjustRightInd w:val="0"/>
        <w:spacing w:line="360" w:lineRule="auto"/>
        <w:ind w:left="820"/>
        <w:rPr>
          <w:rFonts w:asciiTheme="minorEastAsia" w:hAnsiTheme="minorEastAsia" w:eastAsiaTheme="minorEastAsia"/>
        </w:rPr>
      </w:pPr>
      <w:r>
        <w:rPr>
          <w:rFonts w:asciiTheme="minorEastAsia" w:hAnsiTheme="minorEastAsia" w:eastAsiaTheme="minorEastAsia"/>
        </w:rPr>
        <w:t>在上述 12 个月的期限内，如合同设备经过考核达到或视为达到技术性能考核指标，则买卖</w:t>
      </w:r>
    </w:p>
    <w:p>
      <w:pPr>
        <w:pStyle w:val="6"/>
        <w:adjustRightInd w:val="0"/>
        <w:spacing w:before="132" w:line="360" w:lineRule="auto"/>
        <w:ind w:left="400"/>
        <w:rPr>
          <w:rFonts w:asciiTheme="minorEastAsia" w:hAnsiTheme="minorEastAsia" w:eastAsiaTheme="minorEastAsia"/>
        </w:rPr>
      </w:pPr>
      <w:r>
        <w:rPr>
          <w:rFonts w:asciiTheme="minorEastAsia" w:hAnsiTheme="minorEastAsia" w:eastAsiaTheme="minorEastAsia"/>
        </w:rPr>
        <w:t>双方应按照第 6.4.1 项的约定签署合同设备验收证书。</w:t>
      </w:r>
    </w:p>
    <w:p>
      <w:pPr>
        <w:pStyle w:val="31"/>
        <w:numPr>
          <w:ilvl w:val="2"/>
          <w:numId w:val="12"/>
        </w:numPr>
        <w:tabs>
          <w:tab w:val="left" w:pos="1346"/>
        </w:tabs>
        <w:adjustRightInd w:val="0"/>
        <w:spacing w:before="139" w:line="360" w:lineRule="auto"/>
        <w:ind w:right="691" w:firstLine="380"/>
        <w:rPr>
          <w:rFonts w:asciiTheme="minorEastAsia" w:hAnsiTheme="minorEastAsia" w:eastAsiaTheme="minorEastAsia"/>
        </w:rPr>
      </w:pPr>
      <w:r>
        <w:rPr>
          <w:rFonts w:asciiTheme="minorEastAsia" w:hAnsiTheme="minorEastAsia" w:eastAsiaTheme="minorEastAsia"/>
          <w:spacing w:val="-10"/>
        </w:rPr>
        <w:t xml:space="preserve">除专用合同条款另有约定外，如由于买方原因在最后一批合同设备交货后 </w:t>
      </w:r>
      <w:r>
        <w:rPr>
          <w:rFonts w:asciiTheme="minorEastAsia" w:hAnsiTheme="minorEastAsia" w:eastAsiaTheme="minorEastAsia"/>
        </w:rPr>
        <w:t>6</w:t>
      </w:r>
      <w:r>
        <w:rPr>
          <w:rFonts w:asciiTheme="minorEastAsia" w:hAnsiTheme="minorEastAsia" w:eastAsiaTheme="minorEastAsia"/>
          <w:spacing w:val="-2"/>
        </w:rPr>
        <w:t>个月内未</w:t>
      </w:r>
      <w:r>
        <w:rPr>
          <w:rFonts w:asciiTheme="minorEastAsia" w:hAnsiTheme="minorEastAsia" w:eastAsiaTheme="minorEastAsia"/>
          <w:spacing w:val="-4"/>
        </w:rPr>
        <w:t xml:space="preserve">能开始考核，则买卖双方应在上述期限届满后 </w:t>
      </w:r>
      <w:r>
        <w:rPr>
          <w:rFonts w:asciiTheme="minorEastAsia" w:hAnsiTheme="minorEastAsia" w:eastAsiaTheme="minorEastAsia"/>
        </w:rPr>
        <w:t>7</w:t>
      </w:r>
      <w:r>
        <w:rPr>
          <w:rFonts w:asciiTheme="minorEastAsia" w:hAnsiTheme="minorEastAsia" w:eastAsiaTheme="minorEastAsia"/>
          <w:spacing w:val="-3"/>
        </w:rPr>
        <w:t>日内或专用合同条款另行约定的时间内签署验收款支付函。</w:t>
      </w:r>
    </w:p>
    <w:p>
      <w:pPr>
        <w:pStyle w:val="6"/>
        <w:adjustRightInd w:val="0"/>
        <w:spacing w:line="360" w:lineRule="auto"/>
        <w:ind w:left="820"/>
        <w:rPr>
          <w:rFonts w:asciiTheme="minorEastAsia" w:hAnsiTheme="minorEastAsia" w:eastAsiaTheme="minorEastAsia"/>
        </w:rPr>
      </w:pPr>
      <w:r>
        <w:rPr>
          <w:rFonts w:asciiTheme="minorEastAsia" w:hAnsiTheme="minorEastAsia" w:eastAsiaTheme="minorEastAsia"/>
        </w:rPr>
        <w:t>除专用合同条款另有约定外，卖方有义务在验收款支付函签署后 6 个月内应买方要求提供</w:t>
      </w:r>
    </w:p>
    <w:p>
      <w:pPr>
        <w:adjustRightInd w:val="0"/>
        <w:spacing w:line="360" w:lineRule="auto"/>
        <w:rPr>
          <w:rFonts w:asciiTheme="minorEastAsia" w:hAnsiTheme="minorEastAsia" w:eastAsiaTheme="minorEastAsia"/>
        </w:rPr>
        <w:sectPr>
          <w:pgSz w:w="12240" w:h="15840"/>
          <w:pgMar w:top="1380" w:right="1100" w:bottom="1120" w:left="1400" w:header="0" w:footer="841" w:gutter="0"/>
          <w:cols w:space="720" w:num="1"/>
        </w:sectPr>
      </w:pPr>
    </w:p>
    <w:p>
      <w:pPr>
        <w:pStyle w:val="6"/>
        <w:adjustRightInd w:val="0"/>
        <w:spacing w:before="41" w:line="360" w:lineRule="auto"/>
        <w:ind w:left="400" w:right="694"/>
        <w:rPr>
          <w:rFonts w:asciiTheme="minorEastAsia" w:hAnsiTheme="minorEastAsia" w:eastAsiaTheme="minorEastAsia"/>
        </w:rPr>
      </w:pPr>
      <w:r>
        <w:rPr>
          <w:rFonts w:asciiTheme="minorEastAsia" w:hAnsiTheme="minorEastAsia" w:eastAsiaTheme="minorEastAsia"/>
        </w:rPr>
        <w:t>不超出合同范围的技术服务，协助买方采取一切必要措施使合同设备达到技术性能考核指标， 且买方无需因此向卖方支付费用。</w:t>
      </w:r>
    </w:p>
    <w:p>
      <w:pPr>
        <w:pStyle w:val="6"/>
        <w:adjustRightInd w:val="0"/>
        <w:spacing w:line="360" w:lineRule="auto"/>
        <w:ind w:left="820"/>
        <w:rPr>
          <w:rFonts w:asciiTheme="minorEastAsia" w:hAnsiTheme="minorEastAsia" w:eastAsiaTheme="minorEastAsia"/>
        </w:rPr>
      </w:pPr>
      <w:r>
        <w:rPr>
          <w:rFonts w:asciiTheme="minorEastAsia" w:hAnsiTheme="minorEastAsia" w:eastAsiaTheme="minorEastAsia"/>
        </w:rPr>
        <w:t>在上述 6 个月的期限内，如合同设备经过考核达到或视为达到技术性能考核指标，则买卖</w:t>
      </w:r>
    </w:p>
    <w:p>
      <w:pPr>
        <w:pStyle w:val="6"/>
        <w:adjustRightInd w:val="0"/>
        <w:spacing w:before="142" w:line="360" w:lineRule="auto"/>
        <w:ind w:left="400"/>
        <w:rPr>
          <w:rFonts w:asciiTheme="minorEastAsia" w:hAnsiTheme="minorEastAsia" w:eastAsiaTheme="minorEastAsia"/>
        </w:rPr>
      </w:pPr>
      <w:r>
        <w:rPr>
          <w:rFonts w:asciiTheme="minorEastAsia" w:hAnsiTheme="minorEastAsia" w:eastAsiaTheme="minorEastAsia"/>
        </w:rPr>
        <w:t>双方应按照第 6.4.1 项的约定签署合同设备验收证书。</w:t>
      </w:r>
    </w:p>
    <w:p>
      <w:pPr>
        <w:pStyle w:val="31"/>
        <w:numPr>
          <w:ilvl w:val="2"/>
          <w:numId w:val="12"/>
        </w:numPr>
        <w:tabs>
          <w:tab w:val="left" w:pos="1346"/>
        </w:tabs>
        <w:adjustRightInd w:val="0"/>
        <w:spacing w:before="139" w:line="360" w:lineRule="auto"/>
        <w:ind w:right="691" w:firstLine="356"/>
        <w:rPr>
          <w:rFonts w:asciiTheme="minorEastAsia" w:hAnsiTheme="minorEastAsia" w:eastAsiaTheme="minorEastAsia"/>
        </w:rPr>
      </w:pPr>
      <w:r>
        <w:rPr>
          <w:rFonts w:asciiTheme="minorEastAsia" w:hAnsiTheme="minorEastAsia" w:eastAsiaTheme="minorEastAsia"/>
          <w:spacing w:val="-16"/>
        </w:rPr>
        <w:t xml:space="preserve">在第 </w:t>
      </w:r>
      <w:r>
        <w:rPr>
          <w:rFonts w:asciiTheme="minorEastAsia" w:hAnsiTheme="minorEastAsia" w:eastAsiaTheme="minorEastAsia"/>
        </w:rPr>
        <w:t>6.4.2</w:t>
      </w:r>
      <w:r>
        <w:rPr>
          <w:rFonts w:asciiTheme="minorEastAsia" w:hAnsiTheme="minorEastAsia" w:eastAsiaTheme="minorEastAsia"/>
          <w:spacing w:val="-13"/>
        </w:rPr>
        <w:t xml:space="preserve">项和第 </w:t>
      </w:r>
      <w:r>
        <w:rPr>
          <w:rFonts w:asciiTheme="minorEastAsia" w:hAnsiTheme="minorEastAsia" w:eastAsiaTheme="minorEastAsia"/>
        </w:rPr>
        <w:t>6.4.3</w:t>
      </w:r>
      <w:r>
        <w:rPr>
          <w:rFonts w:asciiTheme="minorEastAsia" w:hAnsiTheme="minorEastAsia" w:eastAsiaTheme="minorEastAsia"/>
          <w:spacing w:val="-10"/>
        </w:rPr>
        <w:t>项情形下，卖方也可单方签署验收款支付函提交买方，如果买</w:t>
      </w:r>
      <w:r>
        <w:rPr>
          <w:rFonts w:asciiTheme="minorEastAsia" w:hAnsiTheme="minorEastAsia" w:eastAsiaTheme="minorEastAsia"/>
          <w:spacing w:val="-7"/>
        </w:rPr>
        <w:t xml:space="preserve">方在收到卖方签署的验收款支付函后 </w:t>
      </w:r>
      <w:r>
        <w:rPr>
          <w:rFonts w:asciiTheme="minorEastAsia" w:hAnsiTheme="minorEastAsia" w:eastAsiaTheme="minorEastAsia"/>
        </w:rPr>
        <w:t>14</w:t>
      </w:r>
      <w:r>
        <w:rPr>
          <w:rFonts w:asciiTheme="minorEastAsia" w:hAnsiTheme="minorEastAsia" w:eastAsiaTheme="minorEastAsia"/>
          <w:spacing w:val="-9"/>
        </w:rPr>
        <w:t>日内未向卖方提出书面异议，则验收款支付函自签署之</w:t>
      </w:r>
      <w:r>
        <w:rPr>
          <w:rFonts w:asciiTheme="minorEastAsia" w:hAnsiTheme="minorEastAsia" w:eastAsiaTheme="minorEastAsia"/>
          <w:spacing w:val="-5"/>
        </w:rPr>
        <w:t>日起生效。</w:t>
      </w:r>
    </w:p>
    <w:p>
      <w:pPr>
        <w:pStyle w:val="31"/>
        <w:numPr>
          <w:ilvl w:val="2"/>
          <w:numId w:val="12"/>
        </w:numPr>
        <w:tabs>
          <w:tab w:val="left" w:pos="1272"/>
        </w:tabs>
        <w:adjustRightInd w:val="0"/>
        <w:spacing w:line="360" w:lineRule="auto"/>
        <w:ind w:left="1271" w:firstLine="408"/>
        <w:rPr>
          <w:rFonts w:asciiTheme="minorEastAsia" w:hAnsiTheme="minorEastAsia" w:eastAsiaTheme="minorEastAsia"/>
        </w:rPr>
      </w:pPr>
      <w:r>
        <w:rPr>
          <w:rFonts w:asciiTheme="minorEastAsia" w:hAnsiTheme="minorEastAsia" w:eastAsiaTheme="minorEastAsia"/>
          <w:spacing w:val="-3"/>
        </w:rPr>
        <w:t>合同设备验收证书的签署不能免除卖方在质量保证期内对合同设备应承担的保证责任。</w:t>
      </w:r>
    </w:p>
    <w:p>
      <w:pPr>
        <w:pStyle w:val="6"/>
        <w:adjustRightInd w:val="0"/>
        <w:spacing w:before="10" w:line="360" w:lineRule="auto"/>
        <w:rPr>
          <w:rFonts w:asciiTheme="minorEastAsia" w:hAnsiTheme="minorEastAsia" w:eastAsiaTheme="minorEastAsia"/>
          <w:sz w:val="22"/>
        </w:rPr>
      </w:pPr>
    </w:p>
    <w:p>
      <w:pPr>
        <w:pStyle w:val="2"/>
        <w:numPr>
          <w:ilvl w:val="0"/>
          <w:numId w:val="12"/>
        </w:numPr>
        <w:tabs>
          <w:tab w:val="left" w:pos="802"/>
        </w:tabs>
        <w:adjustRightInd w:val="0"/>
        <w:spacing w:before="1" w:line="360" w:lineRule="auto"/>
        <w:rPr>
          <w:rFonts w:asciiTheme="minorEastAsia" w:hAnsiTheme="minorEastAsia" w:eastAsiaTheme="minorEastAsia"/>
        </w:rPr>
      </w:pPr>
      <w:bookmarkStart w:id="140" w:name="_bookmark131"/>
      <w:bookmarkEnd w:id="140"/>
      <w:r>
        <w:rPr>
          <w:rFonts w:asciiTheme="minorEastAsia" w:hAnsiTheme="minorEastAsia" w:eastAsiaTheme="minorEastAsia"/>
        </w:rPr>
        <w:t>技术服务</w:t>
      </w:r>
    </w:p>
    <w:p>
      <w:pPr>
        <w:pStyle w:val="6"/>
        <w:adjustRightInd w:val="0"/>
        <w:spacing w:before="10" w:line="360" w:lineRule="auto"/>
        <w:rPr>
          <w:rFonts w:asciiTheme="minorEastAsia" w:hAnsiTheme="minorEastAsia" w:eastAsiaTheme="minorEastAsia"/>
          <w:b/>
          <w:sz w:val="26"/>
        </w:rPr>
      </w:pPr>
    </w:p>
    <w:p>
      <w:pPr>
        <w:pStyle w:val="31"/>
        <w:numPr>
          <w:ilvl w:val="1"/>
          <w:numId w:val="12"/>
        </w:numPr>
        <w:tabs>
          <w:tab w:val="left" w:pos="1193"/>
        </w:tabs>
        <w:adjustRightInd w:val="0"/>
        <w:spacing w:line="360" w:lineRule="auto"/>
        <w:ind w:right="697" w:firstLine="420"/>
        <w:rPr>
          <w:rFonts w:asciiTheme="minorEastAsia" w:hAnsiTheme="minorEastAsia" w:eastAsiaTheme="minorEastAsia"/>
        </w:rPr>
      </w:pPr>
      <w:r>
        <w:rPr>
          <w:rFonts w:asciiTheme="minorEastAsia" w:hAnsiTheme="minorEastAsia" w:eastAsiaTheme="minorEastAsia"/>
        </w:rPr>
        <w:t>卖方应派遣技术熟练、称职的技术人员到施工场地为买方提供技术服务。卖方的技术</w:t>
      </w:r>
      <w:r>
        <w:rPr>
          <w:rFonts w:asciiTheme="minorEastAsia" w:hAnsiTheme="minorEastAsia" w:eastAsiaTheme="minorEastAsia"/>
          <w:spacing w:val="-3"/>
        </w:rPr>
        <w:t>服务应符合合同的约定。</w:t>
      </w:r>
    </w:p>
    <w:p>
      <w:pPr>
        <w:pStyle w:val="31"/>
        <w:numPr>
          <w:ilvl w:val="1"/>
          <w:numId w:val="12"/>
        </w:numPr>
        <w:tabs>
          <w:tab w:val="left" w:pos="1193"/>
        </w:tabs>
        <w:adjustRightInd w:val="0"/>
        <w:spacing w:before="1" w:line="360" w:lineRule="auto"/>
        <w:ind w:right="694" w:firstLine="420"/>
        <w:rPr>
          <w:rFonts w:asciiTheme="minorEastAsia" w:hAnsiTheme="minorEastAsia" w:eastAsiaTheme="minorEastAsia"/>
        </w:rPr>
      </w:pPr>
      <w:r>
        <w:rPr>
          <w:rFonts w:asciiTheme="minorEastAsia" w:hAnsiTheme="minorEastAsia" w:eastAsiaTheme="minorEastAsia"/>
        </w:rPr>
        <w:t>买方应免费为卖方技术人员提供工作条件及便利，包括但不限于必要的办公场所、技</w:t>
      </w:r>
      <w:r>
        <w:rPr>
          <w:rFonts w:asciiTheme="minorEastAsia" w:hAnsiTheme="minorEastAsia" w:eastAsiaTheme="minorEastAsia"/>
          <w:spacing w:val="-3"/>
        </w:rPr>
        <w:t>术资料及出入许可等。除专用合同条款另有约定外，卖方技术人员的交通、食宿费用由卖方承担。</w:t>
      </w:r>
    </w:p>
    <w:p>
      <w:pPr>
        <w:pStyle w:val="31"/>
        <w:numPr>
          <w:ilvl w:val="1"/>
          <w:numId w:val="12"/>
        </w:numPr>
        <w:tabs>
          <w:tab w:val="left" w:pos="1193"/>
        </w:tabs>
        <w:adjustRightInd w:val="0"/>
        <w:spacing w:line="360" w:lineRule="auto"/>
        <w:ind w:right="697" w:firstLine="420"/>
        <w:rPr>
          <w:rFonts w:asciiTheme="minorEastAsia" w:hAnsiTheme="minorEastAsia" w:eastAsiaTheme="minorEastAsia"/>
        </w:rPr>
      </w:pPr>
      <w:r>
        <w:rPr>
          <w:rFonts w:asciiTheme="minorEastAsia" w:hAnsiTheme="minorEastAsia" w:eastAsiaTheme="minorEastAsia"/>
        </w:rPr>
        <w:t>卖方技术人员应遵守买方施工现场的各项规章制度和安全操作规程，并服从买方的现</w:t>
      </w:r>
      <w:r>
        <w:rPr>
          <w:rFonts w:asciiTheme="minorEastAsia" w:hAnsiTheme="minorEastAsia" w:eastAsiaTheme="minorEastAsia"/>
          <w:spacing w:val="-1"/>
        </w:rPr>
        <w:t>场管理。</w:t>
      </w:r>
    </w:p>
    <w:p>
      <w:pPr>
        <w:pStyle w:val="31"/>
        <w:numPr>
          <w:ilvl w:val="1"/>
          <w:numId w:val="12"/>
        </w:numPr>
        <w:tabs>
          <w:tab w:val="left" w:pos="1193"/>
        </w:tabs>
        <w:adjustRightInd w:val="0"/>
        <w:spacing w:line="360" w:lineRule="auto"/>
        <w:ind w:right="697" w:firstLine="420"/>
        <w:rPr>
          <w:rFonts w:asciiTheme="minorEastAsia" w:hAnsiTheme="minorEastAsia" w:eastAsiaTheme="minorEastAsia"/>
        </w:rPr>
      </w:pPr>
      <w:r>
        <w:rPr>
          <w:rFonts w:asciiTheme="minorEastAsia" w:hAnsiTheme="minorEastAsia" w:eastAsiaTheme="minorEastAsia"/>
        </w:rPr>
        <w:t>如果任何技术人员不合格，买方有权要求卖方撤换，因撤换而产生的费用应由卖方承</w:t>
      </w:r>
      <w:r>
        <w:rPr>
          <w:rFonts w:asciiTheme="minorEastAsia" w:hAnsiTheme="minorEastAsia" w:eastAsiaTheme="minorEastAsia"/>
          <w:spacing w:val="-3"/>
        </w:rPr>
        <w:t>担。在不影响技术服务并且征得买方同意的条件下，卖方也可自负费用更换其技术人员。</w:t>
      </w:r>
    </w:p>
    <w:p>
      <w:pPr>
        <w:pStyle w:val="2"/>
        <w:numPr>
          <w:ilvl w:val="0"/>
          <w:numId w:val="12"/>
        </w:numPr>
        <w:tabs>
          <w:tab w:val="left" w:pos="802"/>
        </w:tabs>
        <w:adjustRightInd w:val="0"/>
        <w:spacing w:before="144" w:line="360" w:lineRule="auto"/>
        <w:rPr>
          <w:rFonts w:asciiTheme="minorEastAsia" w:hAnsiTheme="minorEastAsia" w:eastAsiaTheme="minorEastAsia"/>
        </w:rPr>
      </w:pPr>
      <w:bookmarkStart w:id="141" w:name="_bookmark132"/>
      <w:bookmarkEnd w:id="141"/>
      <w:r>
        <w:rPr>
          <w:rFonts w:asciiTheme="minorEastAsia" w:hAnsiTheme="minorEastAsia" w:eastAsiaTheme="minorEastAsia"/>
        </w:rPr>
        <w:t>质量保证期</w:t>
      </w:r>
    </w:p>
    <w:p>
      <w:pPr>
        <w:pStyle w:val="6"/>
        <w:adjustRightInd w:val="0"/>
        <w:spacing w:before="14" w:line="360" w:lineRule="auto"/>
        <w:rPr>
          <w:rFonts w:asciiTheme="minorEastAsia" w:hAnsiTheme="minorEastAsia" w:eastAsiaTheme="minorEastAsia"/>
          <w:b/>
          <w:sz w:val="26"/>
        </w:rPr>
      </w:pPr>
    </w:p>
    <w:p>
      <w:pPr>
        <w:pStyle w:val="31"/>
        <w:numPr>
          <w:ilvl w:val="1"/>
          <w:numId w:val="12"/>
        </w:numPr>
        <w:tabs>
          <w:tab w:val="left" w:pos="1193"/>
        </w:tabs>
        <w:adjustRightInd w:val="0"/>
        <w:spacing w:line="360" w:lineRule="auto"/>
        <w:ind w:right="691" w:firstLine="420"/>
        <w:rPr>
          <w:rFonts w:asciiTheme="minorEastAsia" w:hAnsiTheme="minorEastAsia" w:eastAsiaTheme="minorEastAsia"/>
        </w:rPr>
      </w:pPr>
      <w:r>
        <w:rPr>
          <w:rFonts w:asciiTheme="minorEastAsia" w:hAnsiTheme="minorEastAsia" w:eastAsiaTheme="minorEastAsia"/>
        </w:rPr>
        <w:t>除专用合同条款和（或）供货要求等合同文件另有约定外，合同设备整体质量保证期</w:t>
      </w:r>
      <w:r>
        <w:rPr>
          <w:rFonts w:asciiTheme="minorEastAsia" w:hAnsiTheme="minorEastAsia" w:eastAsiaTheme="minorEastAsia"/>
          <w:spacing w:val="-7"/>
        </w:rPr>
        <w:t xml:space="preserve">为验收之日起 </w:t>
      </w:r>
      <w:r>
        <w:rPr>
          <w:rFonts w:asciiTheme="minorEastAsia" w:hAnsiTheme="minorEastAsia" w:eastAsiaTheme="minorEastAsia"/>
        </w:rPr>
        <w:t>12</w:t>
      </w:r>
      <w:r>
        <w:rPr>
          <w:rFonts w:asciiTheme="minorEastAsia" w:hAnsiTheme="minorEastAsia" w:eastAsiaTheme="minorEastAsia"/>
          <w:spacing w:val="-10"/>
        </w:rPr>
        <w:t xml:space="preserve">个月。如对合同设备中关键部件的质量保证期有特殊要求的，买卖双方可在专用合同条款中约定。在合同第 </w:t>
      </w:r>
      <w:r>
        <w:rPr>
          <w:rFonts w:asciiTheme="minorEastAsia" w:hAnsiTheme="minorEastAsia" w:eastAsiaTheme="minorEastAsia"/>
        </w:rPr>
        <w:t>6.4.2</w:t>
      </w:r>
      <w:r>
        <w:rPr>
          <w:rFonts w:asciiTheme="minorEastAsia" w:hAnsiTheme="minorEastAsia" w:eastAsiaTheme="minorEastAsia"/>
          <w:spacing w:val="-9"/>
        </w:rPr>
        <w:t xml:space="preserve">项情形下，无论合同设备何时验收，其质量保证期最长为签署验收款支付函后 </w:t>
      </w:r>
      <w:r>
        <w:rPr>
          <w:rFonts w:asciiTheme="minorEastAsia" w:hAnsiTheme="minorEastAsia" w:eastAsiaTheme="minorEastAsia"/>
        </w:rPr>
        <w:t>12</w:t>
      </w:r>
      <w:r>
        <w:rPr>
          <w:rFonts w:asciiTheme="minorEastAsia" w:hAnsiTheme="minorEastAsia" w:eastAsiaTheme="minorEastAsia"/>
          <w:spacing w:val="-8"/>
        </w:rPr>
        <w:t xml:space="preserve">个月。在合同第 </w:t>
      </w:r>
      <w:r>
        <w:rPr>
          <w:rFonts w:asciiTheme="minorEastAsia" w:hAnsiTheme="minorEastAsia" w:eastAsiaTheme="minorEastAsia"/>
        </w:rPr>
        <w:t>6.4.3</w:t>
      </w:r>
      <w:r>
        <w:rPr>
          <w:rFonts w:asciiTheme="minorEastAsia" w:hAnsiTheme="minorEastAsia" w:eastAsiaTheme="minorEastAsia"/>
          <w:spacing w:val="-3"/>
        </w:rPr>
        <w:t>项情形下，无论合同设备何时验收，其质量保证期</w:t>
      </w:r>
      <w:r>
        <w:rPr>
          <w:rFonts w:asciiTheme="minorEastAsia" w:hAnsiTheme="minorEastAsia" w:eastAsiaTheme="minorEastAsia"/>
          <w:spacing w:val="-7"/>
        </w:rPr>
        <w:t xml:space="preserve">最长为签署验收款支付函后 </w:t>
      </w:r>
      <w:r>
        <w:rPr>
          <w:rFonts w:asciiTheme="minorEastAsia" w:hAnsiTheme="minorEastAsia" w:eastAsiaTheme="minorEastAsia"/>
        </w:rPr>
        <w:t xml:space="preserve">6 </w:t>
      </w:r>
      <w:r>
        <w:rPr>
          <w:rFonts w:asciiTheme="minorEastAsia" w:hAnsiTheme="minorEastAsia" w:eastAsiaTheme="minorEastAsia"/>
          <w:spacing w:val="-2"/>
        </w:rPr>
        <w:t>个月。</w:t>
      </w:r>
    </w:p>
    <w:p>
      <w:pPr>
        <w:pStyle w:val="31"/>
        <w:numPr>
          <w:ilvl w:val="1"/>
          <w:numId w:val="12"/>
        </w:numPr>
        <w:tabs>
          <w:tab w:val="left" w:pos="1193"/>
        </w:tabs>
        <w:adjustRightInd w:val="0"/>
        <w:spacing w:line="360" w:lineRule="auto"/>
        <w:ind w:right="694" w:firstLine="420"/>
        <w:rPr>
          <w:rFonts w:asciiTheme="minorEastAsia" w:hAnsiTheme="minorEastAsia" w:eastAsiaTheme="minorEastAsia"/>
        </w:rPr>
      </w:pPr>
      <w:r>
        <w:rPr>
          <w:rFonts w:asciiTheme="minorEastAsia" w:hAnsiTheme="minorEastAsia" w:eastAsiaTheme="minorEastAsia"/>
        </w:rPr>
        <w:t>在质量保证期内如果合同设备出现故障，卖方应自负费用提供质保期服务，对相关合</w:t>
      </w:r>
      <w:r>
        <w:rPr>
          <w:rFonts w:asciiTheme="minorEastAsia" w:hAnsiTheme="minorEastAsia" w:eastAsiaTheme="minorEastAsia"/>
          <w:spacing w:val="-3"/>
        </w:rPr>
        <w:t>同设备进行修理或更换以消除故障。更换的合同设备和</w:t>
      </w:r>
      <w:r>
        <w:rPr>
          <w:rFonts w:asciiTheme="minorEastAsia" w:hAnsiTheme="minorEastAsia" w:eastAsiaTheme="minorEastAsia"/>
        </w:rPr>
        <w:t>（或）</w:t>
      </w:r>
      <w:r>
        <w:rPr>
          <w:rFonts w:asciiTheme="minorEastAsia" w:hAnsiTheme="minorEastAsia" w:eastAsiaTheme="minorEastAsia"/>
          <w:spacing w:val="-3"/>
        </w:rPr>
        <w:t>关键部件的质量保证期应重新计算。但如果合同设备的故障是由于买方原因造成的，则对合同设备进行修理和更换的费用应由买方承担。</w:t>
      </w:r>
    </w:p>
    <w:p>
      <w:pPr>
        <w:pStyle w:val="31"/>
        <w:numPr>
          <w:ilvl w:val="1"/>
          <w:numId w:val="12"/>
        </w:numPr>
        <w:tabs>
          <w:tab w:val="left" w:pos="1190"/>
        </w:tabs>
        <w:adjustRightInd w:val="0"/>
        <w:spacing w:before="61" w:line="360" w:lineRule="auto"/>
        <w:ind w:right="691" w:firstLine="408"/>
        <w:rPr>
          <w:rFonts w:asciiTheme="minorEastAsia" w:hAnsiTheme="minorEastAsia" w:eastAsiaTheme="minorEastAsia"/>
        </w:rPr>
      </w:pPr>
      <w:r>
        <w:rPr>
          <w:rFonts w:asciiTheme="minorEastAsia" w:hAnsiTheme="minorEastAsia" w:eastAsiaTheme="minorEastAsia"/>
          <w:spacing w:val="-3"/>
        </w:rPr>
        <w:t xml:space="preserve">质量保证期届满后，买方应在 </w:t>
      </w:r>
      <w:r>
        <w:rPr>
          <w:rFonts w:asciiTheme="minorEastAsia" w:hAnsiTheme="minorEastAsia" w:eastAsiaTheme="minorEastAsia"/>
        </w:rPr>
        <w:t>7</w:t>
      </w:r>
      <w:r>
        <w:rPr>
          <w:rFonts w:asciiTheme="minorEastAsia" w:hAnsiTheme="minorEastAsia" w:eastAsiaTheme="minorEastAsia"/>
          <w:spacing w:val="-3"/>
        </w:rPr>
        <w:t>日内或专用合同条款另行约定的时间内向卖方出具合同设备的质量保证期届满证书。</w:t>
      </w:r>
    </w:p>
    <w:p>
      <w:pPr>
        <w:pStyle w:val="31"/>
        <w:numPr>
          <w:ilvl w:val="1"/>
          <w:numId w:val="12"/>
        </w:numPr>
        <w:tabs>
          <w:tab w:val="left" w:pos="1190"/>
        </w:tabs>
        <w:adjustRightInd w:val="0"/>
        <w:spacing w:line="360" w:lineRule="auto"/>
        <w:ind w:right="691" w:firstLine="392"/>
        <w:rPr>
          <w:rFonts w:asciiTheme="minorEastAsia" w:hAnsiTheme="minorEastAsia" w:eastAsiaTheme="minorEastAsia"/>
        </w:rPr>
      </w:pPr>
      <w:r>
        <w:rPr>
          <w:rFonts w:asciiTheme="minorEastAsia" w:hAnsiTheme="minorEastAsia" w:eastAsiaTheme="minorEastAsia"/>
          <w:spacing w:val="-7"/>
        </w:rPr>
        <w:t xml:space="preserve">在合同第 </w:t>
      </w:r>
      <w:r>
        <w:rPr>
          <w:rFonts w:asciiTheme="minorEastAsia" w:hAnsiTheme="minorEastAsia" w:eastAsiaTheme="minorEastAsia"/>
        </w:rPr>
        <w:t>6.4.2</w:t>
      </w:r>
      <w:r>
        <w:rPr>
          <w:rFonts w:asciiTheme="minorEastAsia" w:hAnsiTheme="minorEastAsia" w:eastAsiaTheme="minorEastAsia"/>
          <w:spacing w:val="-5"/>
        </w:rPr>
        <w:t xml:space="preserve">项情形下，如在验收款支付函签署后 </w:t>
      </w:r>
      <w:r>
        <w:rPr>
          <w:rFonts w:asciiTheme="minorEastAsia" w:hAnsiTheme="minorEastAsia" w:eastAsiaTheme="minorEastAsia"/>
        </w:rPr>
        <w:t>12</w:t>
      </w:r>
      <w:r>
        <w:rPr>
          <w:rFonts w:asciiTheme="minorEastAsia" w:hAnsiTheme="minorEastAsia" w:eastAsiaTheme="minorEastAsia"/>
          <w:spacing w:val="-3"/>
        </w:rPr>
        <w:t>个月内由于买方原因合同设备</w:t>
      </w:r>
      <w:r>
        <w:rPr>
          <w:rFonts w:asciiTheme="minorEastAsia" w:hAnsiTheme="minorEastAsia" w:eastAsiaTheme="minorEastAsia"/>
          <w:spacing w:val="-11"/>
        </w:rPr>
        <w:t xml:space="preserve">仍未能达到技术性能考核指标，则买卖双方应在该 </w:t>
      </w:r>
      <w:r>
        <w:rPr>
          <w:rFonts w:asciiTheme="minorEastAsia" w:hAnsiTheme="minorEastAsia" w:eastAsiaTheme="minorEastAsia"/>
        </w:rPr>
        <w:t>12</w:t>
      </w:r>
      <w:r>
        <w:rPr>
          <w:rFonts w:asciiTheme="minorEastAsia" w:hAnsiTheme="minorEastAsia" w:eastAsiaTheme="minorEastAsia"/>
          <w:spacing w:val="-10"/>
        </w:rPr>
        <w:t xml:space="preserve">个月届满后 </w:t>
      </w:r>
      <w:r>
        <w:rPr>
          <w:rFonts w:asciiTheme="minorEastAsia" w:hAnsiTheme="minorEastAsia" w:eastAsiaTheme="minorEastAsia"/>
        </w:rPr>
        <w:t>7</w:t>
      </w:r>
      <w:r>
        <w:rPr>
          <w:rFonts w:asciiTheme="minorEastAsia" w:hAnsiTheme="minorEastAsia" w:eastAsiaTheme="minorEastAsia"/>
          <w:spacing w:val="-3"/>
        </w:rPr>
        <w:t>日内或专用合同条款另行约定的时间内签署结清款支付函。</w:t>
      </w:r>
    </w:p>
    <w:p>
      <w:pPr>
        <w:pStyle w:val="31"/>
        <w:numPr>
          <w:ilvl w:val="1"/>
          <w:numId w:val="12"/>
        </w:numPr>
        <w:tabs>
          <w:tab w:val="left" w:pos="1190"/>
        </w:tabs>
        <w:adjustRightInd w:val="0"/>
        <w:spacing w:line="360" w:lineRule="auto"/>
        <w:ind w:right="691" w:firstLine="372"/>
        <w:rPr>
          <w:rFonts w:asciiTheme="minorEastAsia" w:hAnsiTheme="minorEastAsia" w:eastAsiaTheme="minorEastAsia"/>
        </w:rPr>
      </w:pPr>
      <w:r>
        <w:rPr>
          <w:rFonts w:asciiTheme="minorEastAsia" w:hAnsiTheme="minorEastAsia" w:eastAsiaTheme="minorEastAsia"/>
          <w:spacing w:val="-12"/>
        </w:rPr>
        <w:t xml:space="preserve">在合同第 </w:t>
      </w:r>
      <w:r>
        <w:rPr>
          <w:rFonts w:asciiTheme="minorEastAsia" w:hAnsiTheme="minorEastAsia" w:eastAsiaTheme="minorEastAsia"/>
        </w:rPr>
        <w:t>6.4.3</w:t>
      </w:r>
      <w:r>
        <w:rPr>
          <w:rFonts w:asciiTheme="minorEastAsia" w:hAnsiTheme="minorEastAsia" w:eastAsiaTheme="minorEastAsia"/>
          <w:spacing w:val="-9"/>
        </w:rPr>
        <w:t xml:space="preserve">项情形下，如在验收款支付函签署后 </w:t>
      </w:r>
      <w:r>
        <w:rPr>
          <w:rFonts w:asciiTheme="minorEastAsia" w:hAnsiTheme="minorEastAsia" w:eastAsiaTheme="minorEastAsia"/>
        </w:rPr>
        <w:t>6</w:t>
      </w:r>
      <w:r>
        <w:rPr>
          <w:rFonts w:asciiTheme="minorEastAsia" w:hAnsiTheme="minorEastAsia" w:eastAsiaTheme="minorEastAsia"/>
          <w:spacing w:val="-3"/>
        </w:rPr>
        <w:t>个月内由于买方原因合同设备仍</w:t>
      </w:r>
      <w:r>
        <w:rPr>
          <w:rFonts w:asciiTheme="minorEastAsia" w:hAnsiTheme="minorEastAsia" w:eastAsiaTheme="minorEastAsia"/>
          <w:spacing w:val="-5"/>
        </w:rPr>
        <w:t xml:space="preserve">未进行考核或仍未达到技术性能考核指标，则买卖双方应在该 </w:t>
      </w:r>
      <w:r>
        <w:rPr>
          <w:rFonts w:asciiTheme="minorEastAsia" w:hAnsiTheme="minorEastAsia" w:eastAsiaTheme="minorEastAsia"/>
        </w:rPr>
        <w:t>6</w:t>
      </w:r>
      <w:r>
        <w:rPr>
          <w:rFonts w:asciiTheme="minorEastAsia" w:hAnsiTheme="minorEastAsia" w:eastAsiaTheme="minorEastAsia"/>
          <w:spacing w:val="-9"/>
        </w:rPr>
        <w:t xml:space="preserve">个月届满后 </w:t>
      </w:r>
      <w:r>
        <w:rPr>
          <w:rFonts w:asciiTheme="minorEastAsia" w:hAnsiTheme="minorEastAsia" w:eastAsiaTheme="minorEastAsia"/>
        </w:rPr>
        <w:t>7</w:t>
      </w:r>
      <w:r>
        <w:rPr>
          <w:rFonts w:asciiTheme="minorEastAsia" w:hAnsiTheme="minorEastAsia" w:eastAsiaTheme="minorEastAsia"/>
          <w:spacing w:val="-3"/>
        </w:rPr>
        <w:t>日内或专用合同条款另行约定的时间内签署结清款支付函。</w:t>
      </w:r>
    </w:p>
    <w:p>
      <w:pPr>
        <w:pStyle w:val="31"/>
        <w:numPr>
          <w:ilvl w:val="1"/>
          <w:numId w:val="12"/>
        </w:numPr>
        <w:tabs>
          <w:tab w:val="left" w:pos="1190"/>
        </w:tabs>
        <w:adjustRightInd w:val="0"/>
        <w:spacing w:line="360" w:lineRule="auto"/>
        <w:ind w:right="691" w:firstLine="356"/>
        <w:rPr>
          <w:rFonts w:asciiTheme="minorEastAsia" w:hAnsiTheme="minorEastAsia" w:eastAsiaTheme="minorEastAsia"/>
        </w:rPr>
      </w:pPr>
      <w:r>
        <w:rPr>
          <w:rFonts w:asciiTheme="minorEastAsia" w:hAnsiTheme="minorEastAsia" w:eastAsiaTheme="minorEastAsia"/>
          <w:spacing w:val="-16"/>
        </w:rPr>
        <w:t xml:space="preserve">在第 </w:t>
      </w:r>
      <w:r>
        <w:rPr>
          <w:rFonts w:asciiTheme="minorEastAsia" w:hAnsiTheme="minorEastAsia" w:eastAsiaTheme="minorEastAsia"/>
        </w:rPr>
        <w:t>8.4</w:t>
      </w:r>
      <w:r>
        <w:rPr>
          <w:rFonts w:asciiTheme="minorEastAsia" w:hAnsiTheme="minorEastAsia" w:eastAsiaTheme="minorEastAsia"/>
          <w:spacing w:val="-14"/>
        </w:rPr>
        <w:t xml:space="preserve">款和第 </w:t>
      </w:r>
      <w:r>
        <w:rPr>
          <w:rFonts w:asciiTheme="minorEastAsia" w:hAnsiTheme="minorEastAsia" w:eastAsiaTheme="minorEastAsia"/>
        </w:rPr>
        <w:t>8.5</w:t>
      </w:r>
      <w:r>
        <w:rPr>
          <w:rFonts w:asciiTheme="minorEastAsia" w:hAnsiTheme="minorEastAsia" w:eastAsiaTheme="minorEastAsia"/>
          <w:spacing w:val="-6"/>
        </w:rPr>
        <w:t xml:space="preserve">款情形下，卖方也可单方签署结清款支付函提交买方，如果买方在收到卖方签署的结清款支付函后 </w:t>
      </w:r>
      <w:r>
        <w:rPr>
          <w:rFonts w:asciiTheme="minorEastAsia" w:hAnsiTheme="minorEastAsia" w:eastAsiaTheme="minorEastAsia"/>
        </w:rPr>
        <w:t>14</w:t>
      </w:r>
      <w:r>
        <w:rPr>
          <w:rFonts w:asciiTheme="minorEastAsia" w:hAnsiTheme="minorEastAsia" w:eastAsiaTheme="minorEastAsia"/>
          <w:spacing w:val="-9"/>
        </w:rPr>
        <w:t>日内未向卖方提出书面异议，则结清款支付函自签署之日起生效。</w:t>
      </w:r>
    </w:p>
    <w:p>
      <w:pPr>
        <w:pStyle w:val="2"/>
        <w:numPr>
          <w:ilvl w:val="0"/>
          <w:numId w:val="12"/>
        </w:numPr>
        <w:tabs>
          <w:tab w:val="left" w:pos="802"/>
        </w:tabs>
        <w:adjustRightInd w:val="0"/>
        <w:spacing w:before="149" w:line="360" w:lineRule="auto"/>
        <w:rPr>
          <w:rFonts w:asciiTheme="minorEastAsia" w:hAnsiTheme="minorEastAsia" w:eastAsiaTheme="minorEastAsia"/>
        </w:rPr>
      </w:pPr>
      <w:bookmarkStart w:id="142" w:name="_bookmark133"/>
      <w:bookmarkEnd w:id="142"/>
      <w:r>
        <w:rPr>
          <w:rFonts w:asciiTheme="minorEastAsia" w:hAnsiTheme="minorEastAsia" w:eastAsiaTheme="minorEastAsia"/>
        </w:rPr>
        <w:t>质保期服务</w:t>
      </w:r>
    </w:p>
    <w:p>
      <w:pPr>
        <w:pStyle w:val="6"/>
        <w:adjustRightInd w:val="0"/>
        <w:spacing w:before="13" w:line="360" w:lineRule="auto"/>
        <w:rPr>
          <w:rFonts w:asciiTheme="minorEastAsia" w:hAnsiTheme="minorEastAsia" w:eastAsiaTheme="minorEastAsia"/>
          <w:b/>
          <w:sz w:val="26"/>
        </w:rPr>
      </w:pPr>
    </w:p>
    <w:p>
      <w:pPr>
        <w:pStyle w:val="31"/>
        <w:numPr>
          <w:ilvl w:val="1"/>
          <w:numId w:val="12"/>
        </w:numPr>
        <w:tabs>
          <w:tab w:val="left" w:pos="1193"/>
        </w:tabs>
        <w:adjustRightInd w:val="0"/>
        <w:spacing w:line="360" w:lineRule="auto"/>
        <w:ind w:right="691" w:firstLine="420"/>
        <w:rPr>
          <w:rFonts w:asciiTheme="minorEastAsia" w:hAnsiTheme="minorEastAsia" w:eastAsiaTheme="minorEastAsia"/>
        </w:rPr>
      </w:pPr>
      <w:r>
        <w:rPr>
          <w:rFonts w:asciiTheme="minorEastAsia" w:hAnsiTheme="minorEastAsia" w:eastAsiaTheme="minorEastAsia"/>
        </w:rPr>
        <w:t>卖方应为质保期服务配备充足的技术人员、工具和备件并保证提供的联系方式畅通。</w:t>
      </w:r>
      <w:r>
        <w:rPr>
          <w:rFonts w:asciiTheme="minorEastAsia" w:hAnsiTheme="minorEastAsia" w:eastAsiaTheme="minorEastAsia"/>
          <w:spacing w:val="-6"/>
        </w:rPr>
        <w:t>除专用合同条款和</w:t>
      </w:r>
      <w:r>
        <w:rPr>
          <w:rFonts w:asciiTheme="minorEastAsia" w:hAnsiTheme="minorEastAsia" w:eastAsiaTheme="minorEastAsia"/>
        </w:rPr>
        <w:t>（</w:t>
      </w:r>
      <w:r>
        <w:rPr>
          <w:rFonts w:asciiTheme="minorEastAsia" w:hAnsiTheme="minorEastAsia" w:eastAsiaTheme="minorEastAsia"/>
          <w:spacing w:val="-3"/>
        </w:rPr>
        <w:t>或</w:t>
      </w:r>
      <w:r>
        <w:rPr>
          <w:rFonts w:asciiTheme="minorEastAsia" w:hAnsiTheme="minorEastAsia" w:eastAsiaTheme="minorEastAsia"/>
          <w:spacing w:val="-27"/>
        </w:rPr>
        <w:t>）</w:t>
      </w:r>
      <w:r>
        <w:rPr>
          <w:rFonts w:asciiTheme="minorEastAsia" w:hAnsiTheme="minorEastAsia" w:eastAsiaTheme="minorEastAsia"/>
          <w:spacing w:val="-7"/>
        </w:rPr>
        <w:t xml:space="preserve">供货要求等合同文件另有约定外，卖方应在收到买方通知后 </w:t>
      </w:r>
      <w:r>
        <w:rPr>
          <w:rFonts w:asciiTheme="minorEastAsia" w:hAnsiTheme="minorEastAsia" w:eastAsiaTheme="minorEastAsia"/>
        </w:rPr>
        <w:t>24</w:t>
      </w:r>
      <w:r>
        <w:rPr>
          <w:rFonts w:asciiTheme="minorEastAsia" w:hAnsiTheme="minorEastAsia" w:eastAsiaTheme="minorEastAsia"/>
          <w:spacing w:val="-2"/>
        </w:rPr>
        <w:t>小时内</w:t>
      </w:r>
      <w:r>
        <w:rPr>
          <w:rFonts w:asciiTheme="minorEastAsia" w:hAnsiTheme="minorEastAsia" w:eastAsiaTheme="minorEastAsia"/>
          <w:spacing w:val="-7"/>
        </w:rPr>
        <w:t xml:space="preserve">做出响应，如需卖方到合同设备现场，卖方应在收到买方通知后 </w:t>
      </w:r>
      <w:r>
        <w:rPr>
          <w:rFonts w:asciiTheme="minorEastAsia" w:hAnsiTheme="minorEastAsia" w:eastAsiaTheme="minorEastAsia"/>
        </w:rPr>
        <w:t>48</w:t>
      </w:r>
      <w:r>
        <w:rPr>
          <w:rFonts w:asciiTheme="minorEastAsia" w:hAnsiTheme="minorEastAsia" w:eastAsiaTheme="minorEastAsia"/>
          <w:spacing w:val="-8"/>
        </w:rPr>
        <w:t xml:space="preserve">小时内到达，并在到达后 </w:t>
      </w:r>
      <w:r>
        <w:rPr>
          <w:rFonts w:asciiTheme="minorEastAsia" w:hAnsiTheme="minorEastAsia" w:eastAsiaTheme="minorEastAsia"/>
        </w:rPr>
        <w:t xml:space="preserve">7 </w:t>
      </w:r>
      <w:r>
        <w:rPr>
          <w:rFonts w:asciiTheme="minorEastAsia" w:hAnsiTheme="minorEastAsia" w:eastAsiaTheme="minorEastAsia"/>
          <w:spacing w:val="-6"/>
        </w:rPr>
        <w:t>日内解决合同设备的故障</w:t>
      </w:r>
      <w:r>
        <w:rPr>
          <w:rFonts w:asciiTheme="minorEastAsia" w:hAnsiTheme="minorEastAsia" w:eastAsiaTheme="minorEastAsia"/>
        </w:rPr>
        <w:t>（</w:t>
      </w:r>
      <w:r>
        <w:rPr>
          <w:rFonts w:asciiTheme="minorEastAsia" w:hAnsiTheme="minorEastAsia" w:eastAsiaTheme="minorEastAsia"/>
          <w:spacing w:val="-3"/>
        </w:rPr>
        <w:t>重大故障除外</w:t>
      </w:r>
      <w:r>
        <w:rPr>
          <w:rFonts w:asciiTheme="minorEastAsia" w:hAnsiTheme="minorEastAsia" w:eastAsiaTheme="minorEastAsia"/>
          <w:spacing w:val="-108"/>
        </w:rPr>
        <w:t>）</w:t>
      </w:r>
      <w:r>
        <w:rPr>
          <w:rFonts w:asciiTheme="minorEastAsia" w:hAnsiTheme="minorEastAsia" w:eastAsiaTheme="minorEastAsia"/>
          <w:spacing w:val="-9"/>
        </w:rPr>
        <w:t>。如果卖方未在上述时间内作出响应，则买方有权自</w:t>
      </w:r>
      <w:r>
        <w:rPr>
          <w:rFonts w:asciiTheme="minorEastAsia" w:hAnsiTheme="minorEastAsia" w:eastAsiaTheme="minorEastAsia"/>
          <w:spacing w:val="-5"/>
        </w:rPr>
        <w:t>行或委托他人解决相关问题或查找和解决合同设备的故障，卖方应承担由此发生的全部费用。</w:t>
      </w:r>
    </w:p>
    <w:p>
      <w:pPr>
        <w:pStyle w:val="31"/>
        <w:numPr>
          <w:ilvl w:val="1"/>
          <w:numId w:val="12"/>
        </w:numPr>
        <w:tabs>
          <w:tab w:val="left" w:pos="1193"/>
        </w:tabs>
        <w:adjustRightInd w:val="0"/>
        <w:spacing w:line="360" w:lineRule="auto"/>
        <w:ind w:right="694" w:firstLine="420"/>
        <w:rPr>
          <w:rFonts w:asciiTheme="minorEastAsia" w:hAnsiTheme="minorEastAsia" w:eastAsiaTheme="minorEastAsia"/>
        </w:rPr>
      </w:pPr>
      <w:r>
        <w:rPr>
          <w:rFonts w:asciiTheme="minorEastAsia" w:hAnsiTheme="minorEastAsia" w:eastAsiaTheme="minorEastAsia"/>
        </w:rPr>
        <w:t>如卖方技术人员需到合同设备现场进行质保期服务，则买方应免费为卖方技术人员提</w:t>
      </w:r>
      <w:r>
        <w:rPr>
          <w:rFonts w:asciiTheme="minorEastAsia" w:hAnsiTheme="minorEastAsia" w:eastAsiaTheme="minorEastAsia"/>
          <w:spacing w:val="-3"/>
        </w:rPr>
        <w:t>供工作条件及便利，包括但不限于必要的办公场所、技术资料及出入许可等。除专用合同条款另有约定外，卖方技术人员的交通、食宿费用由卖方承担。卖方技术人员应遵守买方施工现场的各项规章制度和安全操作规程，并服从买方的现场管理。</w:t>
      </w:r>
    </w:p>
    <w:p>
      <w:pPr>
        <w:pStyle w:val="31"/>
        <w:numPr>
          <w:ilvl w:val="1"/>
          <w:numId w:val="12"/>
        </w:numPr>
        <w:tabs>
          <w:tab w:val="left" w:pos="1193"/>
        </w:tabs>
        <w:adjustRightInd w:val="0"/>
        <w:spacing w:line="360" w:lineRule="auto"/>
        <w:ind w:right="697" w:firstLine="420"/>
        <w:rPr>
          <w:rFonts w:asciiTheme="minorEastAsia" w:hAnsiTheme="minorEastAsia" w:eastAsiaTheme="minorEastAsia"/>
        </w:rPr>
      </w:pPr>
      <w:r>
        <w:rPr>
          <w:rFonts w:asciiTheme="minorEastAsia" w:hAnsiTheme="minorEastAsia" w:eastAsiaTheme="minorEastAsia"/>
        </w:rPr>
        <w:t>如果任何技术人员不合格，买方有权要求卖方撤换，因撤换而产生的费用应由卖方承</w:t>
      </w:r>
      <w:r>
        <w:rPr>
          <w:rFonts w:asciiTheme="minorEastAsia" w:hAnsiTheme="minorEastAsia" w:eastAsiaTheme="minorEastAsia"/>
          <w:spacing w:val="-3"/>
        </w:rPr>
        <w:t>担。在不影响质保期服务并且征得买方同意的条件下，卖方也可自负费用更换其技术人员。</w:t>
      </w:r>
    </w:p>
    <w:p>
      <w:pPr>
        <w:pStyle w:val="31"/>
        <w:numPr>
          <w:ilvl w:val="1"/>
          <w:numId w:val="12"/>
        </w:numPr>
        <w:tabs>
          <w:tab w:val="left" w:pos="1193"/>
        </w:tabs>
        <w:adjustRightInd w:val="0"/>
        <w:spacing w:line="360" w:lineRule="auto"/>
        <w:ind w:right="694" w:firstLine="420"/>
        <w:rPr>
          <w:rFonts w:asciiTheme="minorEastAsia" w:hAnsiTheme="minorEastAsia" w:eastAsiaTheme="minorEastAsia"/>
        </w:rPr>
      </w:pPr>
      <w:r>
        <w:rPr>
          <w:rFonts w:asciiTheme="minorEastAsia" w:hAnsiTheme="minorEastAsia" w:eastAsiaTheme="minorEastAsia"/>
        </w:rPr>
        <w:t xml:space="preserve">除专用合同条款另有约定外，卖方应就在施工现场进行质保期服务的情况进行记录， </w:t>
      </w:r>
      <w:r>
        <w:rPr>
          <w:rFonts w:asciiTheme="minorEastAsia" w:hAnsiTheme="minorEastAsia" w:eastAsiaTheme="minorEastAsia"/>
          <w:spacing w:val="-3"/>
        </w:rPr>
        <w:t>记载合同设备故障发生的时间、原因及解决情况等，由买方签字确认，并在质量保证期结束后提交给买方。</w:t>
      </w:r>
    </w:p>
    <w:p>
      <w:pPr>
        <w:pStyle w:val="2"/>
        <w:numPr>
          <w:ilvl w:val="0"/>
          <w:numId w:val="12"/>
        </w:numPr>
        <w:tabs>
          <w:tab w:val="left" w:pos="960"/>
        </w:tabs>
        <w:adjustRightInd w:val="0"/>
        <w:spacing w:before="149" w:line="360" w:lineRule="auto"/>
        <w:ind w:left="959" w:hanging="559"/>
        <w:rPr>
          <w:rFonts w:asciiTheme="minorEastAsia" w:hAnsiTheme="minorEastAsia" w:eastAsiaTheme="minorEastAsia"/>
        </w:rPr>
      </w:pPr>
      <w:bookmarkStart w:id="143" w:name="_bookmark134"/>
      <w:bookmarkEnd w:id="143"/>
      <w:r>
        <w:rPr>
          <w:rFonts w:asciiTheme="minorEastAsia" w:hAnsiTheme="minorEastAsia" w:eastAsiaTheme="minorEastAsia"/>
        </w:rPr>
        <w:t>履约保证金</w:t>
      </w:r>
    </w:p>
    <w:p>
      <w:pPr>
        <w:pStyle w:val="6"/>
        <w:adjustRightInd w:val="0"/>
        <w:spacing w:before="10" w:line="360" w:lineRule="auto"/>
        <w:rPr>
          <w:rFonts w:asciiTheme="minorEastAsia" w:hAnsiTheme="minorEastAsia" w:eastAsiaTheme="minorEastAsia"/>
          <w:b/>
          <w:sz w:val="26"/>
        </w:rPr>
      </w:pPr>
    </w:p>
    <w:p>
      <w:pPr>
        <w:pStyle w:val="6"/>
        <w:adjustRightInd w:val="0"/>
        <w:spacing w:before="1" w:line="360" w:lineRule="auto"/>
        <w:ind w:left="820"/>
        <w:rPr>
          <w:rFonts w:asciiTheme="minorEastAsia" w:hAnsiTheme="minorEastAsia" w:eastAsiaTheme="minorEastAsia"/>
        </w:rPr>
      </w:pPr>
      <w:r>
        <w:rPr>
          <w:rFonts w:asciiTheme="minorEastAsia" w:hAnsiTheme="minorEastAsia" w:eastAsiaTheme="minorEastAsia"/>
        </w:rPr>
        <w:t>除专用合同条款另有约定外，履约保证金自合同生效之日起生效，在合同设备验收证书或</w:t>
      </w:r>
    </w:p>
    <w:p>
      <w:pPr>
        <w:pStyle w:val="6"/>
        <w:adjustRightInd w:val="0"/>
        <w:spacing w:before="61" w:line="360" w:lineRule="auto"/>
        <w:ind w:left="400" w:right="693"/>
        <w:rPr>
          <w:rFonts w:asciiTheme="minorEastAsia" w:hAnsiTheme="minorEastAsia" w:eastAsiaTheme="minorEastAsia"/>
        </w:rPr>
      </w:pPr>
      <w:r>
        <w:rPr>
          <w:rFonts w:asciiTheme="minorEastAsia" w:hAnsiTheme="minorEastAsia" w:eastAsiaTheme="minorEastAsia"/>
          <w:spacing w:val="-6"/>
        </w:rPr>
        <w:t xml:space="preserve">验收款支付函签署之日起 </w:t>
      </w:r>
      <w:r>
        <w:rPr>
          <w:rFonts w:asciiTheme="minorEastAsia" w:hAnsiTheme="minorEastAsia" w:eastAsiaTheme="minorEastAsia"/>
        </w:rPr>
        <w:t xml:space="preserve">28 </w:t>
      </w:r>
      <w:r>
        <w:rPr>
          <w:rFonts w:asciiTheme="minorEastAsia" w:hAnsiTheme="minorEastAsia" w:eastAsiaTheme="minorEastAsia"/>
          <w:spacing w:val="-11"/>
        </w:rPr>
        <w:t>日后失效。如果卖方不履行合同约定的义务或其履行不符合合同的</w:t>
      </w:r>
      <w:r>
        <w:rPr>
          <w:rFonts w:asciiTheme="minorEastAsia" w:hAnsiTheme="minorEastAsia" w:eastAsiaTheme="minorEastAsia"/>
          <w:spacing w:val="-6"/>
        </w:rPr>
        <w:t>约定，买方有权扣划相应金额的履约保证金。</w:t>
      </w:r>
    </w:p>
    <w:p>
      <w:pPr>
        <w:pStyle w:val="2"/>
        <w:numPr>
          <w:ilvl w:val="0"/>
          <w:numId w:val="12"/>
        </w:numPr>
        <w:tabs>
          <w:tab w:val="left" w:pos="943"/>
        </w:tabs>
        <w:adjustRightInd w:val="0"/>
        <w:spacing w:before="152" w:line="360" w:lineRule="auto"/>
        <w:ind w:left="942" w:hanging="542"/>
        <w:rPr>
          <w:rFonts w:asciiTheme="minorEastAsia" w:hAnsiTheme="minorEastAsia" w:eastAsiaTheme="minorEastAsia"/>
          <w:sz w:val="26"/>
        </w:rPr>
      </w:pPr>
      <w:bookmarkStart w:id="144" w:name="_bookmark135"/>
      <w:bookmarkEnd w:id="144"/>
      <w:r>
        <w:rPr>
          <w:rFonts w:asciiTheme="minorEastAsia" w:hAnsiTheme="minorEastAsia" w:eastAsiaTheme="minorEastAsia"/>
        </w:rPr>
        <w:t>保证</w:t>
      </w:r>
    </w:p>
    <w:p>
      <w:pPr>
        <w:pStyle w:val="31"/>
        <w:numPr>
          <w:ilvl w:val="1"/>
          <w:numId w:val="12"/>
        </w:numPr>
        <w:tabs>
          <w:tab w:val="left" w:pos="1286"/>
        </w:tabs>
        <w:adjustRightInd w:val="0"/>
        <w:spacing w:line="360" w:lineRule="auto"/>
        <w:ind w:firstLine="408"/>
        <w:rPr>
          <w:rFonts w:asciiTheme="minorEastAsia" w:hAnsiTheme="minorEastAsia" w:eastAsiaTheme="minorEastAsia"/>
        </w:rPr>
      </w:pPr>
      <w:r>
        <w:rPr>
          <w:rFonts w:asciiTheme="minorEastAsia" w:hAnsiTheme="minorEastAsia" w:eastAsiaTheme="minorEastAsia"/>
          <w:spacing w:val="-3"/>
        </w:rPr>
        <w:t>卖方保证其具有完全的能力履行本合同项下的全部义务。</w:t>
      </w:r>
    </w:p>
    <w:p>
      <w:pPr>
        <w:pStyle w:val="31"/>
        <w:numPr>
          <w:ilvl w:val="1"/>
          <w:numId w:val="12"/>
        </w:numPr>
        <w:tabs>
          <w:tab w:val="left" w:pos="1272"/>
        </w:tabs>
        <w:adjustRightInd w:val="0"/>
        <w:spacing w:before="139" w:line="360" w:lineRule="auto"/>
        <w:ind w:right="691" w:firstLine="408"/>
        <w:rPr>
          <w:rFonts w:asciiTheme="minorEastAsia" w:hAnsiTheme="minorEastAsia" w:eastAsiaTheme="minorEastAsia"/>
        </w:rPr>
      </w:pPr>
      <w:r>
        <w:rPr>
          <w:rFonts w:asciiTheme="minorEastAsia" w:hAnsiTheme="minorEastAsia" w:eastAsiaTheme="minorEastAsia"/>
          <w:spacing w:val="-3"/>
        </w:rPr>
        <w:t>卖方保证其所提供的合同设备及对合同的履行符合所有应适用的法律、行政法规、地方性法规、自治条例和单行条例、规章及其他规范性文件的强制性规定。</w:t>
      </w:r>
    </w:p>
    <w:p>
      <w:pPr>
        <w:pStyle w:val="31"/>
        <w:numPr>
          <w:ilvl w:val="1"/>
          <w:numId w:val="12"/>
        </w:numPr>
        <w:tabs>
          <w:tab w:val="left" w:pos="1286"/>
        </w:tabs>
        <w:adjustRightInd w:val="0"/>
        <w:spacing w:before="1" w:line="360" w:lineRule="auto"/>
        <w:ind w:right="691" w:firstLine="404"/>
        <w:rPr>
          <w:rFonts w:asciiTheme="minorEastAsia" w:hAnsiTheme="minorEastAsia" w:eastAsiaTheme="minorEastAsia"/>
        </w:rPr>
      </w:pPr>
      <w:r>
        <w:rPr>
          <w:rFonts w:asciiTheme="minorEastAsia" w:hAnsiTheme="minorEastAsia" w:eastAsiaTheme="minorEastAsia"/>
          <w:spacing w:val="-4"/>
        </w:rPr>
        <w:t>卖方保证其对合同设备的销售不损害任何第三方的合法权益和社会公众利益。任何第三方不会因卖方原因而基于所有权、抵押权、留置权或其他任何权利或事由对合同设备主张权利。</w:t>
      </w:r>
    </w:p>
    <w:p>
      <w:pPr>
        <w:pStyle w:val="31"/>
        <w:numPr>
          <w:ilvl w:val="1"/>
          <w:numId w:val="12"/>
        </w:numPr>
        <w:tabs>
          <w:tab w:val="left" w:pos="1286"/>
        </w:tabs>
        <w:adjustRightInd w:val="0"/>
        <w:spacing w:line="360" w:lineRule="auto"/>
        <w:ind w:right="693" w:firstLine="396"/>
        <w:rPr>
          <w:rFonts w:asciiTheme="minorEastAsia" w:hAnsiTheme="minorEastAsia" w:eastAsiaTheme="minorEastAsia"/>
        </w:rPr>
      </w:pPr>
      <w:r>
        <w:rPr>
          <w:rFonts w:asciiTheme="minorEastAsia" w:hAnsiTheme="minorEastAsia" w:eastAsiaTheme="minorEastAsia"/>
          <w:spacing w:val="-6"/>
        </w:rPr>
        <w:t>卖方保证合同设备符合合同约定的规格、标准、技术性能考核指标等，能够安全和稳定地运行，且合同设备</w:t>
      </w:r>
      <w:r>
        <w:rPr>
          <w:rFonts w:asciiTheme="minorEastAsia" w:hAnsiTheme="minorEastAsia" w:eastAsiaTheme="minorEastAsia"/>
          <w:spacing w:val="-3"/>
        </w:rPr>
        <w:t>（</w:t>
      </w:r>
      <w:r>
        <w:rPr>
          <w:rFonts w:asciiTheme="minorEastAsia" w:hAnsiTheme="minorEastAsia" w:eastAsiaTheme="minorEastAsia"/>
        </w:rPr>
        <w:t>包括全部部件）</w:t>
      </w:r>
      <w:r>
        <w:rPr>
          <w:rFonts w:asciiTheme="minorEastAsia" w:hAnsiTheme="minorEastAsia" w:eastAsiaTheme="minorEastAsia"/>
          <w:spacing w:val="-3"/>
        </w:rPr>
        <w:t>全新、完整、未使用过，除非专用合同条款和</w:t>
      </w:r>
      <w:r>
        <w:rPr>
          <w:rFonts w:asciiTheme="minorEastAsia" w:hAnsiTheme="minorEastAsia" w:eastAsiaTheme="minorEastAsia"/>
        </w:rPr>
        <w:t>（</w:t>
      </w:r>
      <w:r>
        <w:rPr>
          <w:rFonts w:asciiTheme="minorEastAsia" w:hAnsiTheme="minorEastAsia" w:eastAsiaTheme="minorEastAsia"/>
          <w:spacing w:val="-3"/>
        </w:rPr>
        <w:t>或</w:t>
      </w:r>
      <w:r>
        <w:rPr>
          <w:rFonts w:asciiTheme="minorEastAsia" w:hAnsiTheme="minorEastAsia" w:eastAsiaTheme="minorEastAsia"/>
        </w:rPr>
        <w:t xml:space="preserve">） </w:t>
      </w:r>
      <w:r>
        <w:rPr>
          <w:rFonts w:asciiTheme="minorEastAsia" w:hAnsiTheme="minorEastAsia" w:eastAsiaTheme="minorEastAsia"/>
          <w:spacing w:val="-3"/>
        </w:rPr>
        <w:t>供货要求等合同文件另有约定。</w:t>
      </w:r>
    </w:p>
    <w:p>
      <w:pPr>
        <w:pStyle w:val="31"/>
        <w:numPr>
          <w:ilvl w:val="1"/>
          <w:numId w:val="12"/>
        </w:numPr>
        <w:tabs>
          <w:tab w:val="left" w:pos="1286"/>
        </w:tabs>
        <w:adjustRightInd w:val="0"/>
        <w:spacing w:line="360" w:lineRule="auto"/>
        <w:ind w:right="691" w:firstLine="396"/>
        <w:rPr>
          <w:rFonts w:asciiTheme="minorEastAsia" w:hAnsiTheme="minorEastAsia" w:eastAsiaTheme="minorEastAsia"/>
        </w:rPr>
      </w:pPr>
      <w:r>
        <w:rPr>
          <w:rFonts w:asciiTheme="minorEastAsia" w:hAnsiTheme="minorEastAsia" w:eastAsiaTheme="minorEastAsia"/>
          <w:spacing w:val="-6"/>
        </w:rPr>
        <w:t>卖方保证，卖方所提供的技术资料完整、清晰、准确，符合合同约定并且能够满足合</w:t>
      </w:r>
      <w:r>
        <w:rPr>
          <w:rFonts w:asciiTheme="minorEastAsia" w:hAnsiTheme="minorEastAsia" w:eastAsiaTheme="minorEastAsia"/>
          <w:spacing w:val="-4"/>
        </w:rPr>
        <w:t>同设备的安装、调试、考核、操作以及维修和保养的需要。</w:t>
      </w:r>
    </w:p>
    <w:p>
      <w:pPr>
        <w:pStyle w:val="31"/>
        <w:numPr>
          <w:ilvl w:val="1"/>
          <w:numId w:val="12"/>
        </w:numPr>
        <w:tabs>
          <w:tab w:val="left" w:pos="1294"/>
        </w:tabs>
        <w:adjustRightInd w:val="0"/>
        <w:spacing w:line="360" w:lineRule="auto"/>
        <w:ind w:right="694" w:firstLine="420"/>
        <w:rPr>
          <w:rFonts w:asciiTheme="minorEastAsia" w:hAnsiTheme="minorEastAsia" w:eastAsiaTheme="minorEastAsia"/>
        </w:rPr>
      </w:pPr>
      <w:r>
        <w:rPr>
          <w:rFonts w:asciiTheme="minorEastAsia" w:hAnsiTheme="minorEastAsia" w:eastAsiaTheme="minorEastAsia"/>
        </w:rPr>
        <w:t>卖方保证合同范围内提供的备品备件能够满足合同设备在质量保证期结束前正常运</w:t>
      </w:r>
      <w:r>
        <w:rPr>
          <w:rFonts w:asciiTheme="minorEastAsia" w:hAnsiTheme="minorEastAsia" w:eastAsiaTheme="minorEastAsia"/>
          <w:spacing w:val="-3"/>
        </w:rPr>
        <w:t>行及维修的需要，如在质量保证期结束前因卖方原因出现备品备件短缺影响合同设备正常运行的，卖方应免费提供。</w:t>
      </w:r>
    </w:p>
    <w:p>
      <w:pPr>
        <w:pStyle w:val="31"/>
        <w:numPr>
          <w:ilvl w:val="1"/>
          <w:numId w:val="12"/>
        </w:numPr>
        <w:tabs>
          <w:tab w:val="left" w:pos="1286"/>
        </w:tabs>
        <w:adjustRightInd w:val="0"/>
        <w:spacing w:line="360" w:lineRule="auto"/>
        <w:ind w:right="691" w:firstLine="404"/>
        <w:rPr>
          <w:rFonts w:asciiTheme="minorEastAsia" w:hAnsiTheme="minorEastAsia" w:eastAsiaTheme="minorEastAsia"/>
        </w:rPr>
      </w:pPr>
      <w:r>
        <w:rPr>
          <w:rFonts w:asciiTheme="minorEastAsia" w:hAnsiTheme="minorEastAsia" w:eastAsiaTheme="minorEastAsia"/>
          <w:spacing w:val="-4"/>
        </w:rPr>
        <w:t>除专用合同条款和</w:t>
      </w:r>
      <w:r>
        <w:rPr>
          <w:rFonts w:asciiTheme="minorEastAsia" w:hAnsiTheme="minorEastAsia" w:eastAsiaTheme="minorEastAsia"/>
          <w:spacing w:val="-3"/>
        </w:rPr>
        <w:t>（</w:t>
      </w:r>
      <w:r>
        <w:rPr>
          <w:rFonts w:asciiTheme="minorEastAsia" w:hAnsiTheme="minorEastAsia" w:eastAsiaTheme="minorEastAsia"/>
        </w:rPr>
        <w:t>或</w:t>
      </w:r>
      <w:r>
        <w:rPr>
          <w:rFonts w:asciiTheme="minorEastAsia" w:hAnsiTheme="minorEastAsia" w:eastAsiaTheme="minorEastAsia"/>
          <w:spacing w:val="-8"/>
        </w:rPr>
        <w:t>）</w:t>
      </w:r>
      <w:r>
        <w:rPr>
          <w:rFonts w:asciiTheme="minorEastAsia" w:hAnsiTheme="minorEastAsia" w:eastAsiaTheme="minorEastAsia"/>
          <w:spacing w:val="-4"/>
        </w:rPr>
        <w:t xml:space="preserve">供货要求等合同文件另有约定外，如果在合同设备设计使用寿命期内发生合同项下备品备件停止生产的情况，卖方应事先将拟停止生产的计划通知买方， </w:t>
      </w:r>
      <w:r>
        <w:rPr>
          <w:rFonts w:asciiTheme="minorEastAsia" w:hAnsiTheme="minorEastAsia" w:eastAsiaTheme="minorEastAsia"/>
          <w:spacing w:val="-3"/>
        </w:rPr>
        <w:t>使买方有足够的时间考虑备品备件的需求量。根据买方要求，卖方应：</w:t>
      </w:r>
    </w:p>
    <w:p>
      <w:pPr>
        <w:pStyle w:val="6"/>
        <w:adjustRightInd w:val="0"/>
        <w:spacing w:line="360" w:lineRule="auto"/>
        <w:ind w:left="400" w:right="691" w:firstLine="419"/>
        <w:rPr>
          <w:rFonts w:asciiTheme="minorEastAsia" w:hAnsiTheme="minorEastAsia" w:eastAsiaTheme="minorEastAsia"/>
        </w:rPr>
      </w:pPr>
      <w:r>
        <w:rPr>
          <w:rFonts w:asciiTheme="minorEastAsia" w:hAnsiTheme="minorEastAsia" w:eastAsiaTheme="minorEastAsia"/>
          <w:spacing w:val="-26"/>
        </w:rPr>
        <w:t>（1）</w:t>
      </w:r>
      <w:r>
        <w:rPr>
          <w:rFonts w:asciiTheme="minorEastAsia" w:hAnsiTheme="minorEastAsia" w:eastAsiaTheme="minorEastAsia"/>
          <w:spacing w:val="-3"/>
        </w:rPr>
        <w:t>以不高于同期市场价格或其向任何第三方销售同类产品的价格提供合同设备正常运行所需的全部备品备件。或</w:t>
      </w:r>
    </w:p>
    <w:p>
      <w:pPr>
        <w:pStyle w:val="6"/>
        <w:adjustRightInd w:val="0"/>
        <w:spacing w:line="360" w:lineRule="auto"/>
        <w:ind w:left="400" w:right="691" w:firstLine="419"/>
        <w:rPr>
          <w:rFonts w:asciiTheme="minorEastAsia" w:hAnsiTheme="minorEastAsia" w:eastAsiaTheme="minorEastAsia"/>
        </w:rPr>
      </w:pPr>
      <w:r>
        <w:rPr>
          <w:rFonts w:asciiTheme="minorEastAsia" w:hAnsiTheme="minorEastAsia" w:eastAsiaTheme="minorEastAsia"/>
          <w:spacing w:val="-13"/>
        </w:rPr>
        <w:t>（2）</w:t>
      </w:r>
      <w:r>
        <w:rPr>
          <w:rFonts w:asciiTheme="minorEastAsia" w:hAnsiTheme="minorEastAsia" w:eastAsiaTheme="minorEastAsia"/>
          <w:spacing w:val="-5"/>
        </w:rPr>
        <w:t>免费提供可供买方或第三方制造停产备品备件所需的全部技术资料，以便买方持续获得上述备品备件以满足合同设备在寿命期内正常运行的需要。卖方保证买方或买方委托的第三</w:t>
      </w:r>
      <w:r>
        <w:rPr>
          <w:rFonts w:asciiTheme="minorEastAsia" w:hAnsiTheme="minorEastAsia" w:eastAsiaTheme="minorEastAsia"/>
          <w:spacing w:val="-4"/>
        </w:rPr>
        <w:t>方制造及买方使用这些备品备件不侵犯任何人的知识产权。</w:t>
      </w:r>
    </w:p>
    <w:p>
      <w:pPr>
        <w:pStyle w:val="31"/>
        <w:numPr>
          <w:ilvl w:val="1"/>
          <w:numId w:val="12"/>
        </w:numPr>
        <w:tabs>
          <w:tab w:val="left" w:pos="1289"/>
        </w:tabs>
        <w:adjustRightInd w:val="0"/>
        <w:spacing w:line="360" w:lineRule="auto"/>
        <w:ind w:right="595" w:firstLine="420"/>
        <w:rPr>
          <w:rFonts w:asciiTheme="minorEastAsia" w:hAnsiTheme="minorEastAsia" w:eastAsiaTheme="minorEastAsia"/>
        </w:rPr>
      </w:pPr>
      <w:r>
        <w:rPr>
          <w:rFonts w:asciiTheme="minorEastAsia" w:hAnsiTheme="minorEastAsia" w:eastAsiaTheme="minorEastAsia"/>
        </w:rPr>
        <w:t>卖方保证，在合同设备设计使用寿命期内，如果卖方发现合同设备由于设计、制造、</w:t>
      </w:r>
      <w:r>
        <w:rPr>
          <w:rFonts w:asciiTheme="minorEastAsia" w:hAnsiTheme="minorEastAsia" w:eastAsiaTheme="minorEastAsia"/>
          <w:spacing w:val="-3"/>
        </w:rPr>
        <w:t>标识等原因存在足以危及人身、财产安全的缺陷，卖方将及时通知买方并及时采取修正或者补充标识、修理、更换等措施消除缺陷。</w:t>
      </w:r>
    </w:p>
    <w:p>
      <w:pPr>
        <w:pStyle w:val="2"/>
        <w:numPr>
          <w:ilvl w:val="0"/>
          <w:numId w:val="12"/>
        </w:numPr>
        <w:tabs>
          <w:tab w:val="left" w:pos="960"/>
        </w:tabs>
        <w:adjustRightInd w:val="0"/>
        <w:spacing w:line="360" w:lineRule="auto"/>
        <w:ind w:left="959" w:hanging="559"/>
        <w:rPr>
          <w:rFonts w:asciiTheme="minorEastAsia" w:hAnsiTheme="minorEastAsia" w:eastAsiaTheme="minorEastAsia"/>
        </w:rPr>
      </w:pPr>
      <w:bookmarkStart w:id="145" w:name="_bookmark136"/>
      <w:bookmarkEnd w:id="145"/>
      <w:r>
        <w:rPr>
          <w:rFonts w:asciiTheme="minorEastAsia" w:hAnsiTheme="minorEastAsia" w:eastAsiaTheme="minorEastAsia"/>
        </w:rPr>
        <w:t>知识产权</w:t>
      </w:r>
    </w:p>
    <w:p>
      <w:pPr>
        <w:pStyle w:val="6"/>
        <w:adjustRightInd w:val="0"/>
        <w:spacing w:before="10" w:line="360" w:lineRule="auto"/>
        <w:rPr>
          <w:rFonts w:asciiTheme="minorEastAsia" w:hAnsiTheme="minorEastAsia" w:eastAsiaTheme="minorEastAsia"/>
          <w:b/>
          <w:sz w:val="26"/>
        </w:rPr>
      </w:pPr>
    </w:p>
    <w:p>
      <w:pPr>
        <w:pStyle w:val="31"/>
        <w:numPr>
          <w:ilvl w:val="1"/>
          <w:numId w:val="12"/>
        </w:numPr>
        <w:tabs>
          <w:tab w:val="left" w:pos="1296"/>
        </w:tabs>
        <w:adjustRightInd w:val="0"/>
        <w:spacing w:line="360" w:lineRule="auto"/>
        <w:ind w:right="592" w:firstLine="420"/>
        <w:rPr>
          <w:rFonts w:asciiTheme="minorEastAsia" w:hAnsiTheme="minorEastAsia" w:eastAsiaTheme="minorEastAsia"/>
        </w:rPr>
      </w:pPr>
      <w:r>
        <w:rPr>
          <w:rFonts w:asciiTheme="minorEastAsia" w:hAnsiTheme="minorEastAsia" w:eastAsiaTheme="minorEastAsia"/>
        </w:rPr>
        <w:t xml:space="preserve">买方在履行合同过程中提供给卖方的全部图纸、文件和其他含有数据和信息的资料， </w:t>
      </w:r>
      <w:r>
        <w:rPr>
          <w:rFonts w:asciiTheme="minorEastAsia" w:hAnsiTheme="minorEastAsia" w:eastAsiaTheme="minorEastAsia"/>
          <w:spacing w:val="-3"/>
        </w:rPr>
        <w:t>其知识产权属于买方。</w:t>
      </w:r>
    </w:p>
    <w:p>
      <w:pPr>
        <w:pStyle w:val="31"/>
        <w:numPr>
          <w:ilvl w:val="1"/>
          <w:numId w:val="12"/>
        </w:numPr>
        <w:tabs>
          <w:tab w:val="left" w:pos="1294"/>
        </w:tabs>
        <w:adjustRightInd w:val="0"/>
        <w:spacing w:before="1" w:line="360" w:lineRule="auto"/>
        <w:ind w:right="693" w:firstLine="400"/>
        <w:rPr>
          <w:rFonts w:asciiTheme="minorEastAsia" w:hAnsiTheme="minorEastAsia" w:eastAsiaTheme="minorEastAsia"/>
        </w:rPr>
      </w:pPr>
      <w:r>
        <w:rPr>
          <w:rFonts w:asciiTheme="minorEastAsia" w:hAnsiTheme="minorEastAsia" w:eastAsiaTheme="minorEastAsia"/>
          <w:spacing w:val="-5"/>
        </w:rPr>
        <w:t>除专用合同条款另有约定外，买方不因签署和履行合同而享有卖方在履行合同过程中</w:t>
      </w:r>
      <w:r>
        <w:rPr>
          <w:rFonts w:asciiTheme="minorEastAsia" w:hAnsiTheme="minorEastAsia" w:eastAsiaTheme="minorEastAsia"/>
          <w:spacing w:val="-16"/>
        </w:rPr>
        <w:t>提供给买方的图纸、文件、配套软件、电子辅助程序和其他含有数据和信息的资料的知识产权。</w:t>
      </w:r>
    </w:p>
    <w:p>
      <w:pPr>
        <w:pStyle w:val="31"/>
        <w:numPr>
          <w:ilvl w:val="1"/>
          <w:numId w:val="12"/>
        </w:numPr>
        <w:tabs>
          <w:tab w:val="left" w:pos="1294"/>
        </w:tabs>
        <w:adjustRightInd w:val="0"/>
        <w:spacing w:line="360" w:lineRule="auto"/>
        <w:ind w:right="693" w:firstLine="400"/>
        <w:rPr>
          <w:rFonts w:asciiTheme="minorEastAsia" w:hAnsiTheme="minorEastAsia" w:eastAsiaTheme="minorEastAsia"/>
        </w:rPr>
      </w:pPr>
      <w:r>
        <w:rPr>
          <w:rFonts w:asciiTheme="minorEastAsia" w:hAnsiTheme="minorEastAsia" w:eastAsiaTheme="minorEastAsia"/>
          <w:spacing w:val="-5"/>
        </w:rPr>
        <w:t>如合同设备涉及知识产权，则卖方保证买方在使用合同设备过程中免于受到第三方提</w:t>
      </w:r>
      <w:r>
        <w:rPr>
          <w:rFonts w:asciiTheme="minorEastAsia" w:hAnsiTheme="minorEastAsia" w:eastAsiaTheme="minorEastAsia"/>
          <w:spacing w:val="-4"/>
        </w:rPr>
        <w:t>出的有关知识产权侵权的主张、索赔或诉讼的伤害。</w:t>
      </w:r>
    </w:p>
    <w:p>
      <w:pPr>
        <w:pStyle w:val="31"/>
        <w:numPr>
          <w:ilvl w:val="1"/>
          <w:numId w:val="12"/>
        </w:numPr>
        <w:tabs>
          <w:tab w:val="left" w:pos="1294"/>
        </w:tabs>
        <w:adjustRightInd w:val="0"/>
        <w:spacing w:line="360" w:lineRule="auto"/>
        <w:ind w:right="588" w:firstLine="384"/>
        <w:rPr>
          <w:rFonts w:asciiTheme="minorEastAsia" w:hAnsiTheme="minorEastAsia" w:eastAsiaTheme="minorEastAsia"/>
        </w:rPr>
      </w:pPr>
      <w:r>
        <w:rPr>
          <w:rFonts w:asciiTheme="minorEastAsia" w:hAnsiTheme="minorEastAsia" w:eastAsiaTheme="minorEastAsia"/>
          <w:spacing w:val="-9"/>
        </w:rPr>
        <w:t xml:space="preserve">如果买方收到任何第三方有关知识产权的主张、索赔或诉讼，卖方在收到买方通知后， </w:t>
      </w:r>
      <w:r>
        <w:rPr>
          <w:rFonts w:asciiTheme="minorEastAsia" w:hAnsiTheme="minorEastAsia" w:eastAsiaTheme="minorEastAsia"/>
          <w:spacing w:val="-8"/>
        </w:rPr>
        <w:t>应以买方名义并在买方的协助下，自负费用处理与第三方的索赔或诉讼，并赔偿买方因此发生的费用和遭受的损失。除专用合同条款另有约定外，如果卖方拒绝处理前述索赔或诉讼或在收</w:t>
      </w:r>
      <w:r>
        <w:rPr>
          <w:rFonts w:asciiTheme="minorEastAsia" w:hAnsiTheme="minorEastAsia" w:eastAsiaTheme="minorEastAsia"/>
          <w:spacing w:val="-11"/>
        </w:rPr>
        <w:t xml:space="preserve">到买方通知后 </w:t>
      </w:r>
      <w:r>
        <w:rPr>
          <w:rFonts w:asciiTheme="minorEastAsia" w:hAnsiTheme="minorEastAsia" w:eastAsiaTheme="minorEastAsia"/>
        </w:rPr>
        <w:t>28</w:t>
      </w:r>
      <w:r>
        <w:rPr>
          <w:rFonts w:asciiTheme="minorEastAsia" w:hAnsiTheme="minorEastAsia" w:eastAsiaTheme="minorEastAsia"/>
          <w:spacing w:val="-10"/>
        </w:rPr>
        <w:t>日内未作表示，买方可以自己的名义进行这些索赔或诉讼，因此发生的费用和</w:t>
      </w:r>
      <w:r>
        <w:rPr>
          <w:rFonts w:asciiTheme="minorEastAsia" w:hAnsiTheme="minorEastAsia" w:eastAsiaTheme="minorEastAsia"/>
          <w:spacing w:val="-5"/>
        </w:rPr>
        <w:t>遭受的损失均应由卖方承担。</w:t>
      </w:r>
    </w:p>
    <w:p>
      <w:pPr>
        <w:pStyle w:val="2"/>
        <w:numPr>
          <w:ilvl w:val="0"/>
          <w:numId w:val="12"/>
        </w:numPr>
        <w:tabs>
          <w:tab w:val="left" w:pos="960"/>
        </w:tabs>
        <w:adjustRightInd w:val="0"/>
        <w:spacing w:before="150" w:line="360" w:lineRule="auto"/>
        <w:ind w:left="959" w:hanging="559"/>
        <w:rPr>
          <w:rFonts w:asciiTheme="minorEastAsia" w:hAnsiTheme="minorEastAsia" w:eastAsiaTheme="minorEastAsia"/>
        </w:rPr>
      </w:pPr>
      <w:bookmarkStart w:id="146" w:name="_bookmark137"/>
      <w:bookmarkEnd w:id="146"/>
      <w:r>
        <w:rPr>
          <w:rFonts w:asciiTheme="minorEastAsia" w:hAnsiTheme="minorEastAsia" w:eastAsiaTheme="minorEastAsia"/>
        </w:rPr>
        <w:t>保密</w:t>
      </w:r>
    </w:p>
    <w:p>
      <w:pPr>
        <w:pStyle w:val="6"/>
        <w:adjustRightInd w:val="0"/>
        <w:spacing w:before="11" w:line="360" w:lineRule="auto"/>
        <w:rPr>
          <w:rFonts w:asciiTheme="minorEastAsia" w:hAnsiTheme="minorEastAsia" w:eastAsiaTheme="minorEastAsia"/>
          <w:b/>
          <w:sz w:val="26"/>
        </w:rPr>
      </w:pPr>
    </w:p>
    <w:p>
      <w:pPr>
        <w:pStyle w:val="6"/>
        <w:adjustRightInd w:val="0"/>
        <w:spacing w:before="1" w:line="360" w:lineRule="auto"/>
        <w:ind w:left="400" w:right="694" w:firstLine="419"/>
        <w:rPr>
          <w:rFonts w:asciiTheme="minorEastAsia" w:hAnsiTheme="minorEastAsia" w:eastAsiaTheme="minorEastAsia"/>
        </w:rPr>
      </w:pPr>
      <w:r>
        <w:rPr>
          <w:rFonts w:asciiTheme="minorEastAsia" w:hAnsiTheme="minorEastAsia" w:eastAsiaTheme="minorEastAsia"/>
        </w:rPr>
        <w:t>合同双方应对因履行合同而取得的另一方当事人的信息、资料等予以保密。未经另一方当事人书面同意，任何一方均不得为与履行合同无关的目的使用或向第三方披露另一方当事人提供的信息、资料。</w:t>
      </w:r>
    </w:p>
    <w:p>
      <w:pPr>
        <w:pStyle w:val="6"/>
        <w:adjustRightInd w:val="0"/>
        <w:spacing w:line="360" w:lineRule="auto"/>
        <w:ind w:left="820"/>
        <w:rPr>
          <w:rFonts w:asciiTheme="minorEastAsia" w:hAnsiTheme="minorEastAsia" w:eastAsiaTheme="minorEastAsia"/>
        </w:rPr>
      </w:pPr>
      <w:r>
        <w:rPr>
          <w:rFonts w:asciiTheme="minorEastAsia" w:hAnsiTheme="minorEastAsia" w:eastAsiaTheme="minorEastAsia"/>
        </w:rPr>
        <w:t>合同当事人的保密义务不适用于下列信息：</w:t>
      </w:r>
    </w:p>
    <w:p>
      <w:pPr>
        <w:pStyle w:val="6"/>
        <w:adjustRightInd w:val="0"/>
        <w:spacing w:before="138" w:line="360" w:lineRule="auto"/>
        <w:ind w:left="820"/>
        <w:rPr>
          <w:rFonts w:asciiTheme="minorEastAsia" w:hAnsiTheme="minorEastAsia" w:eastAsiaTheme="minorEastAsia"/>
        </w:rPr>
      </w:pPr>
      <w:r>
        <w:rPr>
          <w:rFonts w:asciiTheme="minorEastAsia" w:hAnsiTheme="minorEastAsia" w:eastAsiaTheme="minorEastAsia"/>
        </w:rPr>
        <w:t>（1）非因接受信息一方的过失现在或以后进入公共领域的信息；</w:t>
      </w:r>
    </w:p>
    <w:p>
      <w:pPr>
        <w:pStyle w:val="6"/>
        <w:adjustRightInd w:val="0"/>
        <w:spacing w:before="139" w:line="360" w:lineRule="auto"/>
        <w:ind w:left="400" w:right="618" w:firstLine="419"/>
        <w:rPr>
          <w:rFonts w:asciiTheme="minorEastAsia" w:hAnsiTheme="minorEastAsia" w:eastAsiaTheme="minorEastAsia"/>
        </w:rPr>
      </w:pPr>
      <w:r>
        <w:rPr>
          <w:rFonts w:asciiTheme="minorEastAsia" w:hAnsiTheme="minorEastAsia" w:eastAsiaTheme="minorEastAsia"/>
        </w:rPr>
        <w:t>（2）接受信息一方当事人合法地从第三方获得并且据其善意了解第三方也不对此承担保密义务的信息；</w:t>
      </w:r>
    </w:p>
    <w:p>
      <w:pPr>
        <w:pStyle w:val="6"/>
        <w:adjustRightInd w:val="0"/>
        <w:spacing w:before="1" w:line="360" w:lineRule="auto"/>
        <w:ind w:left="820"/>
        <w:rPr>
          <w:rFonts w:asciiTheme="minorEastAsia" w:hAnsiTheme="minorEastAsia" w:eastAsiaTheme="minorEastAsia"/>
        </w:rPr>
      </w:pPr>
      <w:r>
        <w:rPr>
          <w:rFonts w:asciiTheme="minorEastAsia" w:hAnsiTheme="minorEastAsia" w:eastAsiaTheme="minorEastAsia"/>
        </w:rPr>
        <w:t>（3）法律或法律的执行要求披露的信息。</w:t>
      </w:r>
    </w:p>
    <w:p>
      <w:pPr>
        <w:pStyle w:val="6"/>
        <w:adjustRightInd w:val="0"/>
        <w:spacing w:before="11" w:line="360" w:lineRule="auto"/>
        <w:rPr>
          <w:rFonts w:asciiTheme="minorEastAsia" w:hAnsiTheme="minorEastAsia" w:eastAsiaTheme="minorEastAsia"/>
          <w:sz w:val="22"/>
        </w:rPr>
      </w:pPr>
    </w:p>
    <w:p>
      <w:pPr>
        <w:pStyle w:val="2"/>
        <w:numPr>
          <w:ilvl w:val="0"/>
          <w:numId w:val="12"/>
        </w:numPr>
        <w:tabs>
          <w:tab w:val="left" w:pos="960"/>
        </w:tabs>
        <w:adjustRightInd w:val="0"/>
        <w:spacing w:line="360" w:lineRule="auto"/>
        <w:ind w:left="959" w:hanging="559"/>
        <w:rPr>
          <w:rFonts w:asciiTheme="minorEastAsia" w:hAnsiTheme="minorEastAsia" w:eastAsiaTheme="minorEastAsia"/>
        </w:rPr>
      </w:pPr>
      <w:bookmarkStart w:id="147" w:name="_bookmark138"/>
      <w:bookmarkEnd w:id="147"/>
      <w:r>
        <w:rPr>
          <w:rFonts w:asciiTheme="minorEastAsia" w:hAnsiTheme="minorEastAsia" w:eastAsiaTheme="minorEastAsia"/>
        </w:rPr>
        <w:t>违约责任</w:t>
      </w:r>
    </w:p>
    <w:p>
      <w:pPr>
        <w:pStyle w:val="6"/>
        <w:adjustRightInd w:val="0"/>
        <w:spacing w:before="11" w:line="360" w:lineRule="auto"/>
        <w:rPr>
          <w:rFonts w:asciiTheme="minorEastAsia" w:hAnsiTheme="minorEastAsia" w:eastAsiaTheme="minorEastAsia"/>
          <w:b/>
          <w:sz w:val="26"/>
        </w:rPr>
      </w:pPr>
    </w:p>
    <w:p>
      <w:pPr>
        <w:pStyle w:val="31"/>
        <w:numPr>
          <w:ilvl w:val="1"/>
          <w:numId w:val="12"/>
        </w:numPr>
        <w:tabs>
          <w:tab w:val="left" w:pos="1272"/>
        </w:tabs>
        <w:adjustRightInd w:val="0"/>
        <w:spacing w:line="360" w:lineRule="auto"/>
        <w:ind w:right="691" w:firstLine="408"/>
        <w:rPr>
          <w:rFonts w:asciiTheme="minorEastAsia" w:hAnsiTheme="minorEastAsia" w:eastAsiaTheme="minorEastAsia"/>
        </w:rPr>
      </w:pPr>
      <w:r>
        <w:rPr>
          <w:rFonts w:asciiTheme="minorEastAsia" w:hAnsiTheme="minorEastAsia" w:eastAsiaTheme="minorEastAsia"/>
          <w:spacing w:val="-3"/>
        </w:rPr>
        <w:t>合同一方不履行合同义务、履行合同义务不符合约定或者违反合同项下所作保证的， 应向对方承担继续履行、采取修理、更换、退货等补救措施或者赔偿损失等违约责任。</w:t>
      </w:r>
    </w:p>
    <w:p>
      <w:pPr>
        <w:pStyle w:val="31"/>
        <w:numPr>
          <w:ilvl w:val="1"/>
          <w:numId w:val="12"/>
        </w:numPr>
        <w:tabs>
          <w:tab w:val="left" w:pos="1294"/>
        </w:tabs>
        <w:adjustRightInd w:val="0"/>
        <w:spacing w:before="1" w:line="360" w:lineRule="auto"/>
        <w:ind w:right="691" w:firstLine="404"/>
        <w:rPr>
          <w:rFonts w:asciiTheme="minorEastAsia" w:hAnsiTheme="minorEastAsia" w:eastAsiaTheme="minorEastAsia"/>
        </w:rPr>
      </w:pPr>
      <w:r>
        <w:rPr>
          <w:rFonts w:asciiTheme="minorEastAsia" w:hAnsiTheme="minorEastAsia" w:eastAsiaTheme="minorEastAsia"/>
          <w:spacing w:val="-4"/>
        </w:rPr>
        <w:t>卖方未能按时交付合同设备</w:t>
      </w:r>
      <w:r>
        <w:rPr>
          <w:rFonts w:asciiTheme="minorEastAsia" w:hAnsiTheme="minorEastAsia" w:eastAsiaTheme="minorEastAsia"/>
        </w:rPr>
        <w:t>（</w:t>
      </w:r>
      <w:r>
        <w:rPr>
          <w:rFonts w:asciiTheme="minorEastAsia" w:hAnsiTheme="minorEastAsia" w:eastAsiaTheme="minorEastAsia"/>
          <w:spacing w:val="-4"/>
        </w:rPr>
        <w:t>包括仅迟延交付技术资料但足以导致合同设备安装、调</w:t>
      </w:r>
      <w:r>
        <w:rPr>
          <w:rFonts w:asciiTheme="minorEastAsia" w:hAnsiTheme="minorEastAsia" w:eastAsiaTheme="minorEastAsia"/>
          <w:spacing w:val="-11"/>
        </w:rPr>
        <w:t>试、考核、验收工作推迟的</w:t>
      </w:r>
      <w:r>
        <w:rPr>
          <w:rFonts w:asciiTheme="minorEastAsia" w:hAnsiTheme="minorEastAsia" w:eastAsiaTheme="minorEastAsia"/>
          <w:spacing w:val="-36"/>
        </w:rPr>
        <w:t>）</w:t>
      </w:r>
      <w:r>
        <w:rPr>
          <w:rFonts w:asciiTheme="minorEastAsia" w:hAnsiTheme="minorEastAsia" w:eastAsiaTheme="minorEastAsia"/>
          <w:spacing w:val="-10"/>
        </w:rPr>
        <w:t>的，应向买方支付迟延交付违约金。除专用合同条款另有约定外，</w:t>
      </w:r>
    </w:p>
    <w:p>
      <w:pPr>
        <w:pStyle w:val="6"/>
        <w:adjustRightInd w:val="0"/>
        <w:spacing w:before="41" w:line="360" w:lineRule="auto"/>
        <w:ind w:left="400"/>
        <w:rPr>
          <w:rFonts w:asciiTheme="minorEastAsia" w:hAnsiTheme="minorEastAsia" w:eastAsiaTheme="minorEastAsia"/>
        </w:rPr>
      </w:pPr>
      <w:r>
        <w:rPr>
          <w:rFonts w:asciiTheme="minorEastAsia" w:hAnsiTheme="minorEastAsia" w:eastAsiaTheme="minorEastAsia"/>
        </w:rPr>
        <w:t>迟延交付违约金的计算方法如下：</w:t>
      </w:r>
    </w:p>
    <w:p>
      <w:pPr>
        <w:pStyle w:val="6"/>
        <w:adjustRightInd w:val="0"/>
        <w:spacing w:before="139" w:line="360" w:lineRule="auto"/>
        <w:ind w:left="820"/>
        <w:rPr>
          <w:rFonts w:asciiTheme="minorEastAsia" w:hAnsiTheme="minorEastAsia" w:eastAsiaTheme="minorEastAsia"/>
        </w:rPr>
      </w:pPr>
      <w:r>
        <w:rPr>
          <w:rFonts w:asciiTheme="minorEastAsia" w:hAnsiTheme="minorEastAsia" w:eastAsiaTheme="minorEastAsia"/>
        </w:rPr>
        <w:t>（1）从迟交的第一周到第四周，每周迟延交付违约金为迟交合同设备价格的 0.5%；</w:t>
      </w:r>
    </w:p>
    <w:p>
      <w:pPr>
        <w:pStyle w:val="6"/>
        <w:adjustRightInd w:val="0"/>
        <w:spacing w:before="139" w:line="360" w:lineRule="auto"/>
        <w:ind w:left="820"/>
        <w:rPr>
          <w:rFonts w:asciiTheme="minorEastAsia" w:hAnsiTheme="minorEastAsia" w:eastAsiaTheme="minorEastAsia"/>
        </w:rPr>
      </w:pPr>
      <w:r>
        <w:rPr>
          <w:rFonts w:asciiTheme="minorEastAsia" w:hAnsiTheme="minorEastAsia" w:eastAsiaTheme="minorEastAsia"/>
        </w:rPr>
        <w:t>（2）从迟交的第五周到第八周，每周迟延交付违约金为迟交合同设备价格的 1%；</w:t>
      </w:r>
    </w:p>
    <w:p>
      <w:pPr>
        <w:pStyle w:val="6"/>
        <w:adjustRightInd w:val="0"/>
        <w:spacing w:before="142" w:line="360" w:lineRule="auto"/>
        <w:ind w:left="820"/>
        <w:rPr>
          <w:rFonts w:asciiTheme="minorEastAsia" w:hAnsiTheme="minorEastAsia" w:eastAsiaTheme="minorEastAsia"/>
        </w:rPr>
      </w:pPr>
      <w:r>
        <w:rPr>
          <w:rFonts w:asciiTheme="minorEastAsia" w:hAnsiTheme="minorEastAsia" w:eastAsiaTheme="minorEastAsia"/>
        </w:rPr>
        <w:t>（3）从迟交第九周起，每周迟延交付违约金为迟交合同设备价格的 1.5%。</w:t>
      </w:r>
    </w:p>
    <w:p>
      <w:pPr>
        <w:pStyle w:val="6"/>
        <w:adjustRightInd w:val="0"/>
        <w:spacing w:before="138" w:line="360" w:lineRule="auto"/>
        <w:ind w:left="400" w:right="694" w:firstLine="419"/>
        <w:rPr>
          <w:rFonts w:asciiTheme="minorEastAsia" w:hAnsiTheme="minorEastAsia" w:eastAsiaTheme="minorEastAsia"/>
        </w:rPr>
      </w:pPr>
      <w:r>
        <w:rPr>
          <w:rFonts w:asciiTheme="minorEastAsia" w:hAnsiTheme="minorEastAsia" w:eastAsiaTheme="minorEastAsia"/>
        </w:rPr>
        <w:t>在计算迟延交付违约金时，迟交不足一周的按一周计算。迟延交付违约金的总额不得超过合同价格的 10%。</w:t>
      </w:r>
    </w:p>
    <w:p>
      <w:pPr>
        <w:pStyle w:val="6"/>
        <w:adjustRightInd w:val="0"/>
        <w:spacing w:line="360" w:lineRule="auto"/>
        <w:ind w:left="400" w:right="694" w:firstLine="419"/>
        <w:rPr>
          <w:rFonts w:asciiTheme="minorEastAsia" w:hAnsiTheme="minorEastAsia" w:eastAsiaTheme="minorEastAsia"/>
        </w:rPr>
      </w:pPr>
      <w:r>
        <w:rPr>
          <w:rFonts w:asciiTheme="minorEastAsia" w:hAnsiTheme="minorEastAsia" w:eastAsiaTheme="minorEastAsia"/>
        </w:rPr>
        <w:t>迟延交付违约金的支付不能免除卖方继续交付相关合同设备的义务，但如迟延交付必然导致合同设备安装、调试、考核、验收工作推迟的，相关工作应相应顺延。</w:t>
      </w:r>
    </w:p>
    <w:p>
      <w:pPr>
        <w:pStyle w:val="31"/>
        <w:numPr>
          <w:ilvl w:val="1"/>
          <w:numId w:val="12"/>
        </w:numPr>
        <w:tabs>
          <w:tab w:val="left" w:pos="1272"/>
        </w:tabs>
        <w:adjustRightInd w:val="0"/>
        <w:spacing w:line="360" w:lineRule="auto"/>
        <w:ind w:right="691" w:firstLine="408"/>
        <w:rPr>
          <w:rFonts w:asciiTheme="minorEastAsia" w:hAnsiTheme="minorEastAsia" w:eastAsiaTheme="minorEastAsia"/>
        </w:rPr>
      </w:pPr>
      <w:r>
        <w:rPr>
          <w:rFonts w:asciiTheme="minorEastAsia" w:hAnsiTheme="minorEastAsia" w:eastAsiaTheme="minorEastAsia"/>
          <w:spacing w:val="-3"/>
        </w:rPr>
        <w:t>买方未能按合同约定支付合同价款的，应向卖方支付延迟付款违约金。除专用合同条款另有约定外，迟延付款违约金的计算方法如下：</w:t>
      </w:r>
    </w:p>
    <w:p>
      <w:pPr>
        <w:pStyle w:val="6"/>
        <w:adjustRightInd w:val="0"/>
        <w:spacing w:line="360" w:lineRule="auto"/>
        <w:ind w:left="820"/>
        <w:rPr>
          <w:rFonts w:asciiTheme="minorEastAsia" w:hAnsiTheme="minorEastAsia" w:eastAsiaTheme="minorEastAsia"/>
        </w:rPr>
      </w:pPr>
      <w:r>
        <w:rPr>
          <w:rFonts w:asciiTheme="minorEastAsia" w:hAnsiTheme="minorEastAsia" w:eastAsiaTheme="minorEastAsia"/>
        </w:rPr>
        <w:t>（1）从迟付的第一周到第四周，每周迟延付款违约金为迟延付款金额的 0.5%；</w:t>
      </w:r>
    </w:p>
    <w:p>
      <w:pPr>
        <w:pStyle w:val="6"/>
        <w:adjustRightInd w:val="0"/>
        <w:spacing w:before="133" w:line="360" w:lineRule="auto"/>
        <w:ind w:left="820"/>
        <w:rPr>
          <w:rFonts w:asciiTheme="minorEastAsia" w:hAnsiTheme="minorEastAsia" w:eastAsiaTheme="minorEastAsia"/>
        </w:rPr>
      </w:pPr>
      <w:r>
        <w:rPr>
          <w:rFonts w:asciiTheme="minorEastAsia" w:hAnsiTheme="minorEastAsia" w:eastAsiaTheme="minorEastAsia"/>
        </w:rPr>
        <w:t>（2）从迟付的第五周到第八周，每周迟延付款违约金为迟延付款金额的 1%；</w:t>
      </w:r>
    </w:p>
    <w:p>
      <w:pPr>
        <w:pStyle w:val="6"/>
        <w:adjustRightInd w:val="0"/>
        <w:spacing w:before="141" w:line="360" w:lineRule="auto"/>
        <w:ind w:left="820"/>
        <w:rPr>
          <w:rFonts w:asciiTheme="minorEastAsia" w:hAnsiTheme="minorEastAsia" w:eastAsiaTheme="minorEastAsia"/>
        </w:rPr>
      </w:pPr>
      <w:r>
        <w:rPr>
          <w:rFonts w:asciiTheme="minorEastAsia" w:hAnsiTheme="minorEastAsia" w:eastAsiaTheme="minorEastAsia"/>
        </w:rPr>
        <w:t>（3）从迟付第九周起，每周迟延付款违约金为迟延付款金额的 1.5%。</w:t>
      </w:r>
    </w:p>
    <w:p>
      <w:pPr>
        <w:pStyle w:val="6"/>
        <w:adjustRightInd w:val="0"/>
        <w:spacing w:before="139" w:line="360" w:lineRule="auto"/>
        <w:ind w:left="400" w:right="694" w:firstLine="419"/>
        <w:rPr>
          <w:rFonts w:asciiTheme="minorEastAsia" w:hAnsiTheme="minorEastAsia" w:eastAsiaTheme="minorEastAsia"/>
        </w:rPr>
      </w:pPr>
      <w:r>
        <w:rPr>
          <w:rFonts w:asciiTheme="minorEastAsia" w:hAnsiTheme="minorEastAsia" w:eastAsiaTheme="minorEastAsia"/>
        </w:rPr>
        <w:t>在计算迟延付款违约金时，迟付不足一周的按一周计算。迟延付款违约金的总额不得超过合同价格的 10%。</w:t>
      </w:r>
    </w:p>
    <w:p>
      <w:pPr>
        <w:pStyle w:val="2"/>
        <w:numPr>
          <w:ilvl w:val="0"/>
          <w:numId w:val="12"/>
        </w:numPr>
        <w:tabs>
          <w:tab w:val="left" w:pos="960"/>
        </w:tabs>
        <w:adjustRightInd w:val="0"/>
        <w:spacing w:before="153" w:line="360" w:lineRule="auto"/>
        <w:ind w:left="959" w:hanging="559"/>
        <w:rPr>
          <w:rFonts w:asciiTheme="minorEastAsia" w:hAnsiTheme="minorEastAsia" w:eastAsiaTheme="minorEastAsia"/>
        </w:rPr>
      </w:pPr>
      <w:bookmarkStart w:id="148" w:name="_bookmark139"/>
      <w:bookmarkEnd w:id="148"/>
      <w:r>
        <w:rPr>
          <w:rFonts w:asciiTheme="minorEastAsia" w:hAnsiTheme="minorEastAsia" w:eastAsiaTheme="minorEastAsia"/>
        </w:rPr>
        <w:t>合同的解除</w:t>
      </w:r>
    </w:p>
    <w:p>
      <w:pPr>
        <w:pStyle w:val="6"/>
        <w:adjustRightInd w:val="0"/>
        <w:spacing w:before="13" w:line="360" w:lineRule="auto"/>
        <w:rPr>
          <w:rFonts w:asciiTheme="minorEastAsia" w:hAnsiTheme="minorEastAsia" w:eastAsiaTheme="minorEastAsia"/>
          <w:b/>
          <w:sz w:val="26"/>
        </w:rPr>
      </w:pPr>
    </w:p>
    <w:p>
      <w:pPr>
        <w:pStyle w:val="6"/>
        <w:adjustRightInd w:val="0"/>
        <w:spacing w:line="360" w:lineRule="auto"/>
        <w:ind w:left="400" w:right="694" w:firstLine="419"/>
        <w:rPr>
          <w:rFonts w:asciiTheme="minorEastAsia" w:hAnsiTheme="minorEastAsia" w:eastAsiaTheme="minorEastAsia"/>
        </w:rPr>
      </w:pPr>
      <w:r>
        <w:rPr>
          <w:rFonts w:asciiTheme="minorEastAsia" w:hAnsiTheme="minorEastAsia" w:eastAsiaTheme="minorEastAsia"/>
        </w:rPr>
        <w:t>除专用合同条款另有约定外，有下述情形之一，当事人可发出书面通知全部或部分地解除合同，合同自通知到达对方时全部或部分地解除：</w:t>
      </w:r>
    </w:p>
    <w:p>
      <w:pPr>
        <w:pStyle w:val="6"/>
        <w:adjustRightInd w:val="0"/>
        <w:spacing w:line="360" w:lineRule="auto"/>
        <w:ind w:left="820"/>
        <w:rPr>
          <w:rFonts w:asciiTheme="minorEastAsia" w:hAnsiTheme="minorEastAsia" w:eastAsiaTheme="minorEastAsia"/>
        </w:rPr>
      </w:pPr>
      <w:r>
        <w:rPr>
          <w:rFonts w:asciiTheme="minorEastAsia" w:hAnsiTheme="minorEastAsia" w:eastAsiaTheme="minorEastAsia"/>
        </w:rPr>
        <w:t>（1）卖方迟延交付合同设备超过 3 个月；</w:t>
      </w:r>
    </w:p>
    <w:p>
      <w:pPr>
        <w:pStyle w:val="6"/>
        <w:adjustRightInd w:val="0"/>
        <w:spacing w:before="139" w:line="360" w:lineRule="auto"/>
        <w:ind w:left="400" w:right="691" w:firstLine="419"/>
        <w:rPr>
          <w:rFonts w:asciiTheme="minorEastAsia" w:hAnsiTheme="minorEastAsia" w:eastAsiaTheme="minorEastAsia"/>
        </w:rPr>
      </w:pPr>
      <w:r>
        <w:rPr>
          <w:rFonts w:asciiTheme="minorEastAsia" w:hAnsiTheme="minorEastAsia" w:eastAsiaTheme="minorEastAsia"/>
          <w:spacing w:val="-26"/>
        </w:rPr>
        <w:t>（2）</w:t>
      </w:r>
      <w:r>
        <w:rPr>
          <w:rFonts w:asciiTheme="minorEastAsia" w:hAnsiTheme="minorEastAsia" w:eastAsiaTheme="minorEastAsia"/>
          <w:spacing w:val="-3"/>
        </w:rPr>
        <w:t>合同设备由于卖方原因三次考核均未能达到技术性能考核指标或在合同约定了或双方在考核中另行达成了最低技术性能考核指标时均未能达到最低技术性能考核指标，且买卖双方未就合同的后续履行协商达成一致；</w:t>
      </w:r>
    </w:p>
    <w:p>
      <w:pPr>
        <w:pStyle w:val="6"/>
        <w:adjustRightInd w:val="0"/>
        <w:spacing w:line="360" w:lineRule="auto"/>
        <w:ind w:left="820"/>
        <w:rPr>
          <w:rFonts w:asciiTheme="minorEastAsia" w:hAnsiTheme="minorEastAsia" w:eastAsiaTheme="minorEastAsia"/>
        </w:rPr>
      </w:pPr>
      <w:r>
        <w:rPr>
          <w:rFonts w:asciiTheme="minorEastAsia" w:hAnsiTheme="minorEastAsia" w:eastAsiaTheme="minorEastAsia"/>
        </w:rPr>
        <w:t>（3）买方迟延付款超过 3 个月；</w:t>
      </w:r>
    </w:p>
    <w:p>
      <w:pPr>
        <w:pStyle w:val="6"/>
        <w:adjustRightInd w:val="0"/>
        <w:spacing w:before="139" w:line="360" w:lineRule="auto"/>
        <w:ind w:left="400" w:right="694" w:firstLine="419"/>
        <w:rPr>
          <w:rFonts w:asciiTheme="minorEastAsia" w:hAnsiTheme="minorEastAsia" w:eastAsiaTheme="minorEastAsia"/>
        </w:rPr>
      </w:pPr>
      <w:r>
        <w:rPr>
          <w:rFonts w:asciiTheme="minorEastAsia" w:hAnsiTheme="minorEastAsia" w:eastAsiaTheme="minorEastAsia"/>
        </w:rPr>
        <w:t>（4）</w:t>
      </w:r>
      <w:r>
        <w:rPr>
          <w:rFonts w:asciiTheme="minorEastAsia" w:hAnsiTheme="minorEastAsia" w:eastAsiaTheme="minorEastAsia"/>
          <w:spacing w:val="-3"/>
        </w:rPr>
        <w:t>合同一方当事人未能履行合同项下任何其它义务</w:t>
      </w:r>
      <w:r>
        <w:rPr>
          <w:rFonts w:asciiTheme="minorEastAsia" w:hAnsiTheme="minorEastAsia" w:eastAsiaTheme="minorEastAsia"/>
        </w:rPr>
        <w:t>（</w:t>
      </w:r>
      <w:r>
        <w:rPr>
          <w:rFonts w:asciiTheme="minorEastAsia" w:hAnsiTheme="minorEastAsia" w:eastAsiaTheme="minorEastAsia"/>
          <w:spacing w:val="-1"/>
        </w:rPr>
        <w:t>细微义务除外</w:t>
      </w:r>
      <w:r>
        <w:rPr>
          <w:rFonts w:asciiTheme="minorEastAsia" w:hAnsiTheme="minorEastAsia" w:eastAsiaTheme="minorEastAsia"/>
          <w:spacing w:val="-104"/>
        </w:rPr>
        <w:t>）</w:t>
      </w:r>
      <w:r>
        <w:rPr>
          <w:rFonts w:asciiTheme="minorEastAsia" w:hAnsiTheme="minorEastAsia" w:eastAsiaTheme="minorEastAsia"/>
          <w:spacing w:val="-3"/>
        </w:rPr>
        <w:t>，或在未事先征得另一方当事人同意的情况下，从事任何可能在实质上不利影响其履行合同能力的活动，经另一</w:t>
      </w:r>
      <w:r>
        <w:rPr>
          <w:rFonts w:asciiTheme="minorEastAsia" w:hAnsiTheme="minorEastAsia" w:eastAsiaTheme="minorEastAsia"/>
          <w:spacing w:val="-8"/>
        </w:rPr>
        <w:t xml:space="preserve">方当事人书面通知后 </w:t>
      </w:r>
      <w:r>
        <w:rPr>
          <w:rFonts w:asciiTheme="minorEastAsia" w:hAnsiTheme="minorEastAsia" w:eastAsiaTheme="minorEastAsia"/>
        </w:rPr>
        <w:t xml:space="preserve">14 </w:t>
      </w:r>
      <w:r>
        <w:rPr>
          <w:rFonts w:asciiTheme="minorEastAsia" w:hAnsiTheme="minorEastAsia" w:eastAsiaTheme="minorEastAsia"/>
          <w:spacing w:val="-3"/>
        </w:rPr>
        <w:t>日内或在专用合同条款约定的其他期限内未能对其行为作出补救；</w:t>
      </w:r>
    </w:p>
    <w:p>
      <w:pPr>
        <w:pStyle w:val="6"/>
        <w:adjustRightInd w:val="0"/>
        <w:spacing w:line="360" w:lineRule="auto"/>
        <w:ind w:left="400" w:right="691" w:firstLine="419"/>
        <w:rPr>
          <w:rFonts w:asciiTheme="minorEastAsia" w:hAnsiTheme="minorEastAsia" w:eastAsiaTheme="minorEastAsia"/>
        </w:rPr>
      </w:pPr>
      <w:r>
        <w:rPr>
          <w:rFonts w:asciiTheme="minorEastAsia" w:hAnsiTheme="minorEastAsia" w:eastAsiaTheme="minorEastAsia"/>
          <w:spacing w:val="-8"/>
        </w:rPr>
        <w:t>（5）</w:t>
      </w:r>
      <w:r>
        <w:rPr>
          <w:rFonts w:asciiTheme="minorEastAsia" w:hAnsiTheme="minorEastAsia" w:eastAsiaTheme="minorEastAsia"/>
          <w:spacing w:val="-7"/>
        </w:rPr>
        <w:t>合同一方当事人出现破产、清算、资不抵债、成为失信被执行人等可能丧失履约能力</w:t>
      </w:r>
      <w:r>
        <w:rPr>
          <w:rFonts w:asciiTheme="minorEastAsia" w:hAnsiTheme="minorEastAsia" w:eastAsiaTheme="minorEastAsia"/>
          <w:spacing w:val="-5"/>
        </w:rPr>
        <w:t>的情形，且未能提供令对方满意的履约保证金。</w:t>
      </w:r>
    </w:p>
    <w:p>
      <w:pPr>
        <w:pStyle w:val="2"/>
        <w:numPr>
          <w:ilvl w:val="0"/>
          <w:numId w:val="12"/>
        </w:numPr>
        <w:tabs>
          <w:tab w:val="left" w:pos="960"/>
        </w:tabs>
        <w:adjustRightInd w:val="0"/>
        <w:spacing w:line="360" w:lineRule="auto"/>
        <w:ind w:left="959" w:hanging="559"/>
        <w:rPr>
          <w:rFonts w:asciiTheme="minorEastAsia" w:hAnsiTheme="minorEastAsia" w:eastAsiaTheme="minorEastAsia"/>
          <w:sz w:val="26"/>
        </w:rPr>
      </w:pPr>
      <w:bookmarkStart w:id="149" w:name="_bookmark140"/>
      <w:bookmarkEnd w:id="149"/>
      <w:r>
        <w:rPr>
          <w:rFonts w:asciiTheme="minorEastAsia" w:hAnsiTheme="minorEastAsia" w:eastAsiaTheme="minorEastAsia"/>
        </w:rPr>
        <w:t>不可抗力</w:t>
      </w:r>
    </w:p>
    <w:p>
      <w:pPr>
        <w:pStyle w:val="31"/>
        <w:numPr>
          <w:ilvl w:val="1"/>
          <w:numId w:val="12"/>
        </w:numPr>
        <w:tabs>
          <w:tab w:val="left" w:pos="1294"/>
        </w:tabs>
        <w:adjustRightInd w:val="0"/>
        <w:spacing w:line="360" w:lineRule="auto"/>
        <w:ind w:right="693" w:firstLine="400"/>
        <w:rPr>
          <w:rFonts w:asciiTheme="minorEastAsia" w:hAnsiTheme="minorEastAsia" w:eastAsiaTheme="minorEastAsia"/>
        </w:rPr>
      </w:pPr>
      <w:r>
        <w:rPr>
          <w:rFonts w:asciiTheme="minorEastAsia" w:hAnsiTheme="minorEastAsia" w:eastAsiaTheme="minorEastAsia"/>
          <w:spacing w:val="-5"/>
        </w:rPr>
        <w:t>如果任何一方当事人受到不能预见、不能避免且不能克服的不可抗力事件的影响，例如战争、严重的火灾、台风、地震、洪水和专用合同条款约定的其他情形，而无法履行合同项下的任何义务，则受影响的一方当事人应立即将此类事件的发生通知另一方当事人，并应在不</w:t>
      </w:r>
      <w:r>
        <w:rPr>
          <w:rFonts w:asciiTheme="minorEastAsia" w:hAnsiTheme="minorEastAsia" w:eastAsiaTheme="minorEastAsia"/>
          <w:spacing w:val="-10"/>
        </w:rPr>
        <w:t xml:space="preserve">可抗力事件发生后 </w:t>
      </w:r>
      <w:r>
        <w:rPr>
          <w:rFonts w:asciiTheme="minorEastAsia" w:hAnsiTheme="minorEastAsia" w:eastAsiaTheme="minorEastAsia"/>
        </w:rPr>
        <w:t xml:space="preserve">28 </w:t>
      </w:r>
      <w:r>
        <w:rPr>
          <w:rFonts w:asciiTheme="minorEastAsia" w:hAnsiTheme="minorEastAsia" w:eastAsiaTheme="minorEastAsia"/>
          <w:spacing w:val="-3"/>
        </w:rPr>
        <w:t>日内将有关当局或机构出具的证明文件提交给另一方当事人。</w:t>
      </w:r>
    </w:p>
    <w:p>
      <w:pPr>
        <w:pStyle w:val="31"/>
        <w:numPr>
          <w:ilvl w:val="1"/>
          <w:numId w:val="12"/>
        </w:numPr>
        <w:tabs>
          <w:tab w:val="left" w:pos="1301"/>
        </w:tabs>
        <w:adjustRightInd w:val="0"/>
        <w:spacing w:line="360" w:lineRule="auto"/>
        <w:ind w:right="694" w:firstLine="420"/>
        <w:rPr>
          <w:rFonts w:asciiTheme="minorEastAsia" w:hAnsiTheme="minorEastAsia" w:eastAsiaTheme="minorEastAsia"/>
        </w:rPr>
      </w:pPr>
      <w:r>
        <w:rPr>
          <w:rFonts w:asciiTheme="minorEastAsia" w:hAnsiTheme="minorEastAsia" w:eastAsiaTheme="minorEastAsia"/>
        </w:rPr>
        <w:t>受不可抗力事件影响的一方当事人对于不可抗力事件导致的任何合同义务的迟延履</w:t>
      </w:r>
      <w:r>
        <w:rPr>
          <w:rFonts w:asciiTheme="minorEastAsia" w:hAnsiTheme="minorEastAsia" w:eastAsiaTheme="minorEastAsia"/>
          <w:spacing w:val="-3"/>
        </w:rPr>
        <w:t>行或不能履行不承担违约责任。但该方当事人应尽快将不可抗力事件结束或消除的情况通知另一方当事人。</w:t>
      </w:r>
    </w:p>
    <w:p>
      <w:pPr>
        <w:pStyle w:val="31"/>
        <w:numPr>
          <w:ilvl w:val="1"/>
          <w:numId w:val="12"/>
        </w:numPr>
        <w:tabs>
          <w:tab w:val="left" w:pos="1294"/>
        </w:tabs>
        <w:adjustRightInd w:val="0"/>
        <w:spacing w:line="360" w:lineRule="auto"/>
        <w:ind w:right="691" w:firstLine="404"/>
        <w:rPr>
          <w:rFonts w:asciiTheme="minorEastAsia" w:hAnsiTheme="minorEastAsia" w:eastAsiaTheme="minorEastAsia"/>
        </w:rPr>
      </w:pPr>
      <w:r>
        <w:rPr>
          <w:rFonts w:asciiTheme="minorEastAsia" w:hAnsiTheme="minorEastAsia" w:eastAsiaTheme="minorEastAsia"/>
          <w:spacing w:val="-4"/>
        </w:rPr>
        <w:t xml:space="preserve">双方当事人应在不可抗力事件结束或其影响消除后立即继续履行其合同义务，合同期限也应相应顺延。除专用合同条款另有约定外，如果不可抗力事件的影响持续超过 </w:t>
      </w:r>
      <w:r>
        <w:rPr>
          <w:rFonts w:asciiTheme="minorEastAsia" w:hAnsiTheme="minorEastAsia" w:eastAsiaTheme="minorEastAsia"/>
        </w:rPr>
        <w:t>140</w:t>
      </w:r>
      <w:r>
        <w:rPr>
          <w:rFonts w:asciiTheme="minorEastAsia" w:hAnsiTheme="minorEastAsia" w:eastAsiaTheme="minorEastAsia"/>
          <w:spacing w:val="-3"/>
        </w:rPr>
        <w:t>日，则任何一方当事人均有权以书面通知解除合同。</w:t>
      </w:r>
    </w:p>
    <w:p>
      <w:pPr>
        <w:pStyle w:val="2"/>
        <w:numPr>
          <w:ilvl w:val="0"/>
          <w:numId w:val="12"/>
        </w:numPr>
        <w:tabs>
          <w:tab w:val="left" w:pos="960"/>
        </w:tabs>
        <w:adjustRightInd w:val="0"/>
        <w:spacing w:before="150" w:line="360" w:lineRule="auto"/>
        <w:ind w:left="959" w:hanging="559"/>
        <w:rPr>
          <w:rFonts w:asciiTheme="minorEastAsia" w:hAnsiTheme="minorEastAsia" w:eastAsiaTheme="minorEastAsia"/>
          <w:sz w:val="26"/>
        </w:rPr>
      </w:pPr>
      <w:bookmarkStart w:id="150" w:name="_bookmark141"/>
      <w:bookmarkEnd w:id="150"/>
      <w:r>
        <w:rPr>
          <w:rFonts w:asciiTheme="minorEastAsia" w:hAnsiTheme="minorEastAsia" w:eastAsiaTheme="minorEastAsia"/>
        </w:rPr>
        <w:t>争议的解决</w:t>
      </w:r>
    </w:p>
    <w:p>
      <w:pPr>
        <w:pStyle w:val="6"/>
        <w:adjustRightInd w:val="0"/>
        <w:spacing w:line="360" w:lineRule="auto"/>
        <w:ind w:left="400" w:right="693" w:firstLine="419"/>
        <w:rPr>
          <w:rFonts w:asciiTheme="minorEastAsia" w:hAnsiTheme="minorEastAsia" w:eastAsiaTheme="minorEastAsia"/>
        </w:rPr>
      </w:pPr>
      <w:r>
        <w:rPr>
          <w:rFonts w:asciiTheme="minorEastAsia" w:hAnsiTheme="minorEastAsia" w:eastAsiaTheme="minorEastAsia"/>
          <w:spacing w:val="-3"/>
        </w:rPr>
        <w:t>因本合同引起的或与本合同有关的任何争议,</w:t>
      </w:r>
      <w:r>
        <w:rPr>
          <w:rFonts w:asciiTheme="minorEastAsia" w:hAnsiTheme="minorEastAsia" w:eastAsiaTheme="minorEastAsia"/>
          <w:spacing w:val="-5"/>
        </w:rPr>
        <w:t>双方可通过友好协商解决。友好协商解决不成</w:t>
      </w:r>
      <w:r>
        <w:rPr>
          <w:rFonts w:asciiTheme="minorEastAsia" w:hAnsiTheme="minorEastAsia" w:eastAsiaTheme="minorEastAsia"/>
          <w:spacing w:val="-4"/>
        </w:rPr>
        <w:t>的，可在专用合同条款中约定下列一种方式解决：</w:t>
      </w:r>
    </w:p>
    <w:p>
      <w:pPr>
        <w:pStyle w:val="6"/>
        <w:adjustRightInd w:val="0"/>
        <w:spacing w:line="360" w:lineRule="auto"/>
        <w:ind w:left="820"/>
        <w:rPr>
          <w:rFonts w:asciiTheme="minorEastAsia" w:hAnsiTheme="minorEastAsia" w:eastAsiaTheme="minorEastAsia"/>
        </w:rPr>
      </w:pPr>
      <w:r>
        <w:rPr>
          <w:rFonts w:asciiTheme="minorEastAsia" w:hAnsiTheme="minorEastAsia" w:eastAsiaTheme="minorEastAsia"/>
        </w:rPr>
        <w:t>（1）向约定的仲裁委员会申请仲裁；</w:t>
      </w:r>
    </w:p>
    <w:p>
      <w:pPr>
        <w:pStyle w:val="6"/>
        <w:adjustRightInd w:val="0"/>
        <w:spacing w:before="139" w:line="360" w:lineRule="auto"/>
        <w:ind w:left="820"/>
        <w:rPr>
          <w:rFonts w:asciiTheme="minorEastAsia" w:hAnsiTheme="minorEastAsia" w:eastAsiaTheme="minorEastAsia"/>
        </w:rPr>
      </w:pPr>
      <w:r>
        <w:rPr>
          <w:rFonts w:asciiTheme="minorEastAsia" w:hAnsiTheme="minorEastAsia" w:eastAsiaTheme="minorEastAsia"/>
        </w:rPr>
        <w:t>（2）向有管辖权的人民法院提起诉讼。</w:t>
      </w:r>
    </w:p>
    <w:p>
      <w:pPr>
        <w:adjustRightInd w:val="0"/>
        <w:spacing w:line="360" w:lineRule="auto"/>
        <w:rPr>
          <w:rFonts w:asciiTheme="minorEastAsia" w:hAnsiTheme="minorEastAsia" w:eastAsiaTheme="minorEastAsia"/>
        </w:rPr>
        <w:sectPr>
          <w:pgSz w:w="12240" w:h="15840"/>
          <w:pgMar w:top="1400" w:right="1100" w:bottom="1120" w:left="1400" w:header="0" w:footer="841" w:gutter="0"/>
          <w:cols w:space="720" w:num="1"/>
        </w:sectPr>
      </w:pPr>
    </w:p>
    <w:p>
      <w:pPr>
        <w:pStyle w:val="2"/>
        <w:adjustRightInd w:val="0"/>
        <w:spacing w:line="360" w:lineRule="auto"/>
        <w:ind w:left="585" w:right="246"/>
        <w:jc w:val="center"/>
        <w:rPr>
          <w:rFonts w:asciiTheme="minorEastAsia" w:hAnsiTheme="minorEastAsia" w:eastAsiaTheme="minorEastAsia"/>
        </w:rPr>
      </w:pPr>
      <w:bookmarkStart w:id="151" w:name="_bookmark142"/>
      <w:bookmarkEnd w:id="151"/>
      <w:r>
        <w:rPr>
          <w:rFonts w:asciiTheme="minorEastAsia" w:hAnsiTheme="minorEastAsia" w:eastAsiaTheme="minorEastAsia"/>
        </w:rPr>
        <w:t>第二节专用合同条款</w:t>
      </w:r>
    </w:p>
    <w:p>
      <w:pPr>
        <w:adjustRightInd w:val="0"/>
        <w:spacing w:line="360" w:lineRule="auto"/>
        <w:jc w:val="center"/>
        <w:rPr>
          <w:rFonts w:asciiTheme="minorEastAsia" w:hAnsiTheme="minorEastAsia" w:eastAsiaTheme="minorEastAsia"/>
        </w:rPr>
      </w:pPr>
    </w:p>
    <w:p>
      <w:pPr>
        <w:adjustRightInd w:val="0"/>
        <w:spacing w:line="360" w:lineRule="auto"/>
        <w:jc w:val="center"/>
        <w:rPr>
          <w:rFonts w:asciiTheme="minorEastAsia" w:hAnsiTheme="minorEastAsia" w:eastAsiaTheme="minorEastAsia"/>
        </w:rPr>
      </w:pPr>
    </w:p>
    <w:p>
      <w:pPr>
        <w:numPr>
          <w:ilvl w:val="0"/>
          <w:numId w:val="14"/>
        </w:numPr>
        <w:adjustRightInd w:val="0"/>
        <w:snapToGrid w:val="0"/>
        <w:spacing w:line="360" w:lineRule="auto"/>
        <w:rPr>
          <w:rFonts w:eastAsia="Times New Roman"/>
          <w:b/>
          <w:sz w:val="32"/>
        </w:rPr>
      </w:pPr>
      <w:r>
        <w:rPr>
          <w:rFonts w:hint="eastAsia" w:eastAsia="Times New Roman"/>
          <w:b/>
          <w:sz w:val="32"/>
        </w:rPr>
        <w:t>一般约定</w:t>
      </w:r>
    </w:p>
    <w:p>
      <w:pPr>
        <w:tabs>
          <w:tab w:val="left" w:pos="620"/>
        </w:tabs>
        <w:overflowPunct w:val="0"/>
        <w:adjustRightInd w:val="0"/>
        <w:snapToGrid w:val="0"/>
        <w:spacing w:line="360" w:lineRule="auto"/>
        <w:ind w:left="137"/>
        <w:rPr>
          <w:sz w:val="28"/>
        </w:rPr>
      </w:pPr>
      <w:r>
        <w:rPr>
          <w:rFonts w:hint="eastAsia"/>
          <w:sz w:val="28"/>
        </w:rPr>
        <w:t>1.1 词语定义</w:t>
      </w:r>
    </w:p>
    <w:p>
      <w:pPr>
        <w:widowControl/>
        <w:adjustRightInd w:val="0"/>
        <w:snapToGrid w:val="0"/>
        <w:spacing w:line="360" w:lineRule="auto"/>
        <w:textAlignment w:val="top"/>
        <w:rPr>
          <w:szCs w:val="21"/>
        </w:rPr>
      </w:pPr>
      <w:r>
        <w:rPr>
          <w:rFonts w:hint="eastAsia"/>
          <w:szCs w:val="21"/>
        </w:rPr>
        <w:t>1.1.1合同</w:t>
      </w:r>
    </w:p>
    <w:p>
      <w:pPr>
        <w:widowControl/>
        <w:adjustRightInd w:val="0"/>
        <w:snapToGrid w:val="0"/>
        <w:spacing w:line="360" w:lineRule="auto"/>
        <w:textAlignment w:val="top"/>
        <w:rPr>
          <w:szCs w:val="21"/>
        </w:rPr>
      </w:pPr>
      <w:r>
        <w:rPr>
          <w:rFonts w:hint="eastAsia"/>
          <w:szCs w:val="21"/>
        </w:rPr>
        <w:t>1.1.1.10其他合同文件包括：</w:t>
      </w:r>
      <w:r>
        <w:rPr>
          <w:rFonts w:hint="eastAsia"/>
          <w:szCs w:val="21"/>
          <w:u w:val="single"/>
        </w:rPr>
        <w:t>。</w:t>
      </w:r>
    </w:p>
    <w:p>
      <w:pPr>
        <w:widowControl/>
        <w:adjustRightInd w:val="0"/>
        <w:snapToGrid w:val="0"/>
        <w:spacing w:line="360" w:lineRule="auto"/>
        <w:textAlignment w:val="top"/>
        <w:rPr>
          <w:szCs w:val="21"/>
        </w:rPr>
      </w:pPr>
      <w:r>
        <w:rPr>
          <w:rFonts w:hint="eastAsia"/>
          <w:szCs w:val="21"/>
        </w:rPr>
        <w:t>1.1.2 合同当事人及其他相关方</w:t>
      </w:r>
    </w:p>
    <w:p>
      <w:pPr>
        <w:widowControl/>
        <w:adjustRightInd w:val="0"/>
        <w:snapToGrid w:val="0"/>
        <w:spacing w:line="360" w:lineRule="auto"/>
        <w:textAlignment w:val="top"/>
        <w:rPr>
          <w:szCs w:val="21"/>
        </w:rPr>
      </w:pPr>
      <w:r>
        <w:rPr>
          <w:rFonts w:hint="eastAsia"/>
          <w:szCs w:val="21"/>
        </w:rPr>
        <w:t>1.1.2.2买方：</w:t>
      </w:r>
    </w:p>
    <w:p>
      <w:pPr>
        <w:widowControl/>
        <w:adjustRightInd w:val="0"/>
        <w:snapToGrid w:val="0"/>
        <w:spacing w:line="360" w:lineRule="auto"/>
        <w:textAlignment w:val="top"/>
        <w:rPr>
          <w:szCs w:val="21"/>
        </w:rPr>
      </w:pPr>
      <w:r>
        <w:rPr>
          <w:rFonts w:hint="eastAsia"/>
          <w:szCs w:val="21"/>
        </w:rPr>
        <w:t>名   称：</w:t>
      </w:r>
      <w:r>
        <w:rPr>
          <w:rFonts w:hint="eastAsia"/>
          <w:szCs w:val="21"/>
          <w:u w:val="single"/>
        </w:rPr>
        <w:t>。</w:t>
      </w:r>
    </w:p>
    <w:p>
      <w:pPr>
        <w:widowControl/>
        <w:adjustRightInd w:val="0"/>
        <w:snapToGrid w:val="0"/>
        <w:spacing w:line="360" w:lineRule="auto"/>
        <w:textAlignment w:val="top"/>
        <w:rPr>
          <w:szCs w:val="21"/>
        </w:rPr>
      </w:pPr>
      <w:r>
        <w:rPr>
          <w:rFonts w:hint="eastAsia"/>
          <w:szCs w:val="21"/>
        </w:rPr>
        <w:t>联系电话：</w:t>
      </w:r>
      <w:r>
        <w:rPr>
          <w:rFonts w:hint="eastAsia"/>
          <w:szCs w:val="21"/>
          <w:u w:val="single"/>
        </w:rPr>
        <w:t xml:space="preserve">。                       </w:t>
      </w:r>
    </w:p>
    <w:p>
      <w:pPr>
        <w:widowControl/>
        <w:adjustRightInd w:val="0"/>
        <w:snapToGrid w:val="0"/>
        <w:spacing w:line="360" w:lineRule="auto"/>
        <w:textAlignment w:val="top"/>
        <w:rPr>
          <w:szCs w:val="21"/>
        </w:rPr>
      </w:pPr>
      <w:r>
        <w:rPr>
          <w:rFonts w:hint="eastAsia"/>
          <w:szCs w:val="21"/>
        </w:rPr>
        <w:t>电子信箱：</w:t>
      </w:r>
      <w:r>
        <w:rPr>
          <w:rFonts w:hint="eastAsia"/>
          <w:szCs w:val="21"/>
          <w:u w:val="single"/>
        </w:rPr>
        <w:t xml:space="preserve">。                        </w:t>
      </w:r>
    </w:p>
    <w:p>
      <w:pPr>
        <w:widowControl/>
        <w:adjustRightInd w:val="0"/>
        <w:snapToGrid w:val="0"/>
        <w:spacing w:line="360" w:lineRule="auto"/>
        <w:textAlignment w:val="top"/>
        <w:rPr>
          <w:szCs w:val="21"/>
        </w:rPr>
      </w:pPr>
      <w:r>
        <w:rPr>
          <w:rFonts w:hint="eastAsia"/>
          <w:szCs w:val="21"/>
        </w:rPr>
        <w:t>通信地址：</w:t>
      </w:r>
      <w:r>
        <w:rPr>
          <w:rFonts w:hint="eastAsia"/>
          <w:szCs w:val="21"/>
          <w:u w:val="single"/>
        </w:rPr>
        <w:t xml:space="preserve">。                        </w:t>
      </w:r>
    </w:p>
    <w:p>
      <w:pPr>
        <w:widowControl/>
        <w:adjustRightInd w:val="0"/>
        <w:snapToGrid w:val="0"/>
        <w:spacing w:line="360" w:lineRule="auto"/>
        <w:textAlignment w:val="top"/>
        <w:rPr>
          <w:szCs w:val="21"/>
        </w:rPr>
      </w:pPr>
      <w:r>
        <w:rPr>
          <w:rFonts w:hint="eastAsia"/>
          <w:szCs w:val="21"/>
        </w:rPr>
        <w:t>1.1.2.3卖方：</w:t>
      </w:r>
    </w:p>
    <w:p>
      <w:pPr>
        <w:widowControl/>
        <w:adjustRightInd w:val="0"/>
        <w:snapToGrid w:val="0"/>
        <w:spacing w:line="360" w:lineRule="auto"/>
        <w:textAlignment w:val="top"/>
        <w:rPr>
          <w:szCs w:val="21"/>
          <w:u w:val="single"/>
        </w:rPr>
      </w:pPr>
      <w:r>
        <w:rPr>
          <w:rFonts w:hint="eastAsia"/>
          <w:szCs w:val="21"/>
        </w:rPr>
        <w:t>名  称：</w:t>
      </w:r>
      <w:r>
        <w:rPr>
          <w:rFonts w:hint="eastAsia"/>
          <w:szCs w:val="21"/>
          <w:u w:val="single"/>
        </w:rPr>
        <w:t xml:space="preserve">。                                      </w:t>
      </w:r>
    </w:p>
    <w:p>
      <w:pPr>
        <w:widowControl/>
        <w:adjustRightInd w:val="0"/>
        <w:snapToGrid w:val="0"/>
        <w:spacing w:line="360" w:lineRule="auto"/>
        <w:textAlignment w:val="top"/>
        <w:rPr>
          <w:szCs w:val="21"/>
        </w:rPr>
      </w:pPr>
      <w:r>
        <w:rPr>
          <w:rFonts w:hint="eastAsia"/>
          <w:szCs w:val="21"/>
        </w:rPr>
        <w:t>联系电话：</w:t>
      </w:r>
      <w:r>
        <w:rPr>
          <w:rFonts w:hint="eastAsia"/>
          <w:szCs w:val="21"/>
          <w:u w:val="single"/>
        </w:rPr>
        <w:t xml:space="preserve">。                        </w:t>
      </w:r>
    </w:p>
    <w:p>
      <w:pPr>
        <w:widowControl/>
        <w:adjustRightInd w:val="0"/>
        <w:snapToGrid w:val="0"/>
        <w:spacing w:line="360" w:lineRule="auto"/>
        <w:textAlignment w:val="top"/>
        <w:rPr>
          <w:szCs w:val="21"/>
        </w:rPr>
      </w:pPr>
      <w:r>
        <w:rPr>
          <w:rFonts w:hint="eastAsia"/>
          <w:szCs w:val="21"/>
        </w:rPr>
        <w:t>电子信箱：</w:t>
      </w:r>
      <w:r>
        <w:rPr>
          <w:rFonts w:hint="eastAsia"/>
          <w:szCs w:val="21"/>
          <w:u w:val="single"/>
        </w:rPr>
        <w:t xml:space="preserve">。                        </w:t>
      </w:r>
    </w:p>
    <w:p>
      <w:pPr>
        <w:widowControl/>
        <w:adjustRightInd w:val="0"/>
        <w:snapToGrid w:val="0"/>
        <w:spacing w:line="360" w:lineRule="auto"/>
        <w:textAlignment w:val="top"/>
        <w:rPr>
          <w:szCs w:val="21"/>
        </w:rPr>
      </w:pPr>
      <w:r>
        <w:rPr>
          <w:rFonts w:hint="eastAsia"/>
          <w:szCs w:val="21"/>
        </w:rPr>
        <w:t>通信地址：</w:t>
      </w:r>
      <w:r>
        <w:rPr>
          <w:rFonts w:hint="eastAsia"/>
          <w:szCs w:val="21"/>
          <w:u w:val="single"/>
        </w:rPr>
        <w:t xml:space="preserve">。                        </w:t>
      </w:r>
    </w:p>
    <w:p>
      <w:pPr>
        <w:tabs>
          <w:tab w:val="left" w:pos="620"/>
        </w:tabs>
        <w:overflowPunct w:val="0"/>
        <w:adjustRightInd w:val="0"/>
        <w:snapToGrid w:val="0"/>
        <w:spacing w:line="360" w:lineRule="auto"/>
        <w:ind w:left="137"/>
        <w:rPr>
          <w:sz w:val="28"/>
        </w:rPr>
      </w:pPr>
      <w:r>
        <w:rPr>
          <w:rFonts w:hint="eastAsia"/>
          <w:sz w:val="28"/>
        </w:rPr>
        <w:t>1.6 联合体：不采用。</w:t>
      </w:r>
    </w:p>
    <w:p>
      <w:pPr>
        <w:adjustRightInd w:val="0"/>
        <w:snapToGrid w:val="0"/>
        <w:spacing w:line="360" w:lineRule="auto"/>
        <w:rPr>
          <w:sz w:val="24"/>
        </w:rPr>
      </w:pPr>
      <w:r>
        <w:rPr>
          <w:rFonts w:eastAsia="Times New Roman"/>
          <w:b/>
          <w:sz w:val="32"/>
        </w:rPr>
        <w:t xml:space="preserve">2. </w:t>
      </w:r>
      <w:r>
        <w:rPr>
          <w:rFonts w:hint="eastAsia"/>
          <w:b/>
          <w:sz w:val="32"/>
        </w:rPr>
        <w:t>合同范围</w:t>
      </w:r>
    </w:p>
    <w:p>
      <w:pPr>
        <w:tabs>
          <w:tab w:val="left" w:pos="946"/>
        </w:tabs>
        <w:overflowPunct w:val="0"/>
        <w:adjustRightInd w:val="0"/>
        <w:snapToGrid w:val="0"/>
        <w:spacing w:line="360" w:lineRule="auto"/>
        <w:ind w:right="120" w:firstLine="420" w:firstLineChars="200"/>
      </w:pPr>
      <w:r>
        <w:rPr>
          <w:rFonts w:hint="eastAsia"/>
        </w:rPr>
        <w:t>包括（但不限于）设备的制造、装卸运输（含现场二次转运）、安装、调试、试运行直至正常使用</w:t>
      </w:r>
      <w:r>
        <w:t>,以及招标文件要求的售后服务；具体以第五章技术规范要求为准。</w:t>
      </w:r>
    </w:p>
    <w:p>
      <w:pPr>
        <w:numPr>
          <w:ilvl w:val="0"/>
          <w:numId w:val="15"/>
        </w:numPr>
        <w:tabs>
          <w:tab w:val="left" w:pos="400"/>
          <w:tab w:val="clear" w:pos="312"/>
        </w:tabs>
        <w:overflowPunct w:val="0"/>
        <w:adjustRightInd w:val="0"/>
        <w:snapToGrid w:val="0"/>
        <w:spacing w:line="360" w:lineRule="auto"/>
        <w:rPr>
          <w:b/>
          <w:sz w:val="32"/>
        </w:rPr>
      </w:pPr>
      <w:r>
        <w:rPr>
          <w:rFonts w:hint="eastAsia"/>
          <w:b/>
          <w:sz w:val="32"/>
        </w:rPr>
        <w:t>合同价格与支付</w:t>
      </w:r>
    </w:p>
    <w:p>
      <w:pPr>
        <w:tabs>
          <w:tab w:val="left" w:pos="620"/>
        </w:tabs>
        <w:overflowPunct w:val="0"/>
        <w:adjustRightInd w:val="0"/>
        <w:snapToGrid w:val="0"/>
        <w:spacing w:line="360" w:lineRule="auto"/>
        <w:ind w:left="137"/>
        <w:rPr>
          <w:sz w:val="28"/>
        </w:rPr>
      </w:pPr>
      <w:r>
        <w:rPr>
          <w:rFonts w:hint="eastAsia"/>
          <w:sz w:val="28"/>
        </w:rPr>
        <w:t>3.1合同价格</w:t>
      </w:r>
    </w:p>
    <w:p>
      <w:pPr>
        <w:numPr>
          <w:ilvl w:val="2"/>
          <w:numId w:val="16"/>
        </w:numPr>
        <w:tabs>
          <w:tab w:val="left" w:pos="946"/>
        </w:tabs>
        <w:overflowPunct w:val="0"/>
        <w:adjustRightInd w:val="0"/>
        <w:snapToGrid w:val="0"/>
        <w:spacing w:line="360" w:lineRule="auto"/>
        <w:ind w:left="0" w:right="120" w:firstLine="420"/>
        <w:rPr>
          <w:rFonts w:eastAsia="Times New Roman"/>
        </w:rPr>
      </w:pPr>
      <w:r>
        <w:rPr>
          <w:rFonts w:hint="eastAsia"/>
        </w:rPr>
        <w:t>合同协议书中载明的签约合同价包括卖方为完成合同全部义务应承担的一切成本、费用和支出以及卖方的合理利润。</w:t>
      </w:r>
    </w:p>
    <w:p>
      <w:pPr>
        <w:numPr>
          <w:ilvl w:val="2"/>
          <w:numId w:val="16"/>
        </w:numPr>
        <w:tabs>
          <w:tab w:val="left" w:pos="946"/>
        </w:tabs>
        <w:overflowPunct w:val="0"/>
        <w:adjustRightInd w:val="0"/>
        <w:snapToGrid w:val="0"/>
        <w:spacing w:line="360" w:lineRule="auto"/>
        <w:ind w:left="0" w:right="120" w:firstLine="420"/>
        <w:rPr>
          <w:rFonts w:eastAsia="Times New Roman"/>
        </w:rPr>
      </w:pPr>
      <w:r>
        <w:rPr>
          <w:rFonts w:hint="eastAsia"/>
        </w:rPr>
        <w:t>交货期：合同签订后，</w:t>
      </w:r>
      <w:r>
        <w:t xml:space="preserve">   日历天内完成制造、运输、交货并安装完毕</w:t>
      </w:r>
      <w:r>
        <w:rPr>
          <w:rFonts w:hint="eastAsia"/>
        </w:rPr>
        <w:t>。</w:t>
      </w:r>
    </w:p>
    <w:p>
      <w:pPr>
        <w:tabs>
          <w:tab w:val="left" w:pos="620"/>
        </w:tabs>
        <w:overflowPunct w:val="0"/>
        <w:adjustRightInd w:val="0"/>
        <w:snapToGrid w:val="0"/>
        <w:spacing w:line="360" w:lineRule="auto"/>
        <w:ind w:left="137"/>
        <w:rPr>
          <w:rFonts w:eastAsia="Times New Roman"/>
          <w:sz w:val="28"/>
        </w:rPr>
      </w:pPr>
      <w:r>
        <w:rPr>
          <w:rFonts w:hint="eastAsia"/>
          <w:sz w:val="28"/>
        </w:rPr>
        <w:t>3.2合同价款的支付</w:t>
      </w:r>
    </w:p>
    <w:p>
      <w:pPr>
        <w:adjustRightInd w:val="0"/>
        <w:snapToGrid w:val="0"/>
        <w:spacing w:line="360" w:lineRule="auto"/>
        <w:ind w:left="449" w:leftChars="114" w:hanging="210" w:hangingChars="100"/>
        <w:rPr>
          <w:sz w:val="24"/>
        </w:rPr>
      </w:pPr>
      <w:r>
        <w:rPr>
          <w:rFonts w:eastAsia="Times New Roman"/>
        </w:rPr>
        <w:t xml:space="preserve">3.2.1 </w:t>
      </w:r>
      <w:r>
        <w:rPr>
          <w:rFonts w:hint="eastAsia"/>
        </w:rPr>
        <w:t>预付款：签订合同后10日内支付合同金额的30%。</w:t>
      </w:r>
    </w:p>
    <w:p>
      <w:pPr>
        <w:adjustRightInd w:val="0"/>
        <w:snapToGrid w:val="0"/>
        <w:spacing w:line="360" w:lineRule="auto"/>
        <w:ind w:left="447" w:leftChars="213"/>
        <w:rPr>
          <w:szCs w:val="21"/>
        </w:rPr>
      </w:pPr>
      <w:r>
        <w:rPr>
          <w:szCs w:val="21"/>
        </w:rPr>
        <w:t>3.2.2</w:t>
      </w:r>
      <w:r>
        <w:rPr>
          <w:rFonts w:hint="eastAsia"/>
          <w:szCs w:val="21"/>
        </w:rPr>
        <w:t>进度款：</w:t>
      </w:r>
    </w:p>
    <w:p>
      <w:pPr>
        <w:adjustRightInd w:val="0"/>
        <w:snapToGrid w:val="0"/>
        <w:spacing w:line="360" w:lineRule="auto"/>
        <w:ind w:left="447" w:leftChars="213" w:firstLine="420" w:firstLineChars="200"/>
        <w:rPr>
          <w:szCs w:val="21"/>
        </w:rPr>
      </w:pPr>
      <w:r>
        <w:rPr>
          <w:rFonts w:hint="eastAsia"/>
          <w:szCs w:val="21"/>
        </w:rPr>
        <w:t>签订合同后10日内支付合同金额的30%，供货完成后10日内支付至合同金额的75%，调试并验收合格后支付至合同金额的97%（若到货之日起90日仍未调试验收的，须在到期后10日内支付该笔款项），剩余3%作为质保金，质保期满后无息退还。</w:t>
      </w:r>
    </w:p>
    <w:p>
      <w:pPr>
        <w:numPr>
          <w:ilvl w:val="0"/>
          <w:numId w:val="17"/>
        </w:numPr>
        <w:tabs>
          <w:tab w:val="left" w:pos="400"/>
          <w:tab w:val="clear" w:pos="312"/>
        </w:tabs>
        <w:overflowPunct w:val="0"/>
        <w:adjustRightInd w:val="0"/>
        <w:snapToGrid w:val="0"/>
        <w:spacing w:line="360" w:lineRule="auto"/>
        <w:rPr>
          <w:b/>
          <w:sz w:val="32"/>
        </w:rPr>
      </w:pPr>
      <w:r>
        <w:rPr>
          <w:rFonts w:hint="eastAsia"/>
          <w:b/>
          <w:sz w:val="32"/>
        </w:rPr>
        <w:t>包装、标记、运输和交付</w:t>
      </w:r>
    </w:p>
    <w:p>
      <w:pPr>
        <w:numPr>
          <w:ilvl w:val="0"/>
          <w:numId w:val="18"/>
        </w:numPr>
        <w:tabs>
          <w:tab w:val="left" w:pos="620"/>
          <w:tab w:val="clear" w:pos="720"/>
        </w:tabs>
        <w:overflowPunct w:val="0"/>
        <w:adjustRightInd w:val="0"/>
        <w:snapToGrid w:val="0"/>
        <w:spacing w:line="360" w:lineRule="auto"/>
        <w:ind w:left="620" w:hanging="483"/>
        <w:rPr>
          <w:rFonts w:eastAsia="Times New Roman"/>
          <w:sz w:val="28"/>
        </w:rPr>
      </w:pPr>
      <w:r>
        <w:rPr>
          <w:rFonts w:hint="eastAsia"/>
          <w:sz w:val="28"/>
        </w:rPr>
        <w:t>交付</w:t>
      </w:r>
    </w:p>
    <w:p>
      <w:pPr>
        <w:adjustRightInd w:val="0"/>
        <w:snapToGrid w:val="0"/>
        <w:spacing w:line="360" w:lineRule="auto"/>
        <w:ind w:firstLine="420" w:firstLineChars="200"/>
      </w:pPr>
      <w:r>
        <w:rPr>
          <w:rFonts w:hint="eastAsia"/>
          <w:szCs w:val="21"/>
        </w:rPr>
        <w:t>所有设备运抵现场、安装完毕，经业主、监理、施工、造价咨询单位验收合格，同意接收并签署接收文件的日期为交付日期。</w:t>
      </w:r>
    </w:p>
    <w:p>
      <w:pPr>
        <w:numPr>
          <w:ilvl w:val="0"/>
          <w:numId w:val="19"/>
        </w:numPr>
        <w:tabs>
          <w:tab w:val="left" w:pos="560"/>
          <w:tab w:val="clear" w:pos="720"/>
        </w:tabs>
        <w:overflowPunct w:val="0"/>
        <w:adjustRightInd w:val="0"/>
        <w:snapToGrid w:val="0"/>
        <w:spacing w:line="360" w:lineRule="auto"/>
        <w:ind w:left="560" w:hanging="560"/>
        <w:rPr>
          <w:rFonts w:eastAsia="Times New Roman"/>
          <w:b/>
          <w:sz w:val="32"/>
        </w:rPr>
      </w:pPr>
      <w:r>
        <w:rPr>
          <w:rFonts w:hint="eastAsia"/>
          <w:b/>
          <w:sz w:val="32"/>
        </w:rPr>
        <w:t>违约责任</w:t>
      </w:r>
    </w:p>
    <w:p>
      <w:pPr>
        <w:tabs>
          <w:tab w:val="left" w:pos="893"/>
        </w:tabs>
        <w:overflowPunct w:val="0"/>
        <w:adjustRightInd w:val="0"/>
        <w:snapToGrid w:val="0"/>
        <w:spacing w:line="360" w:lineRule="auto"/>
        <w:ind w:left="420" w:right="100"/>
        <w:rPr>
          <w:rFonts w:eastAsia="Times New Roman"/>
        </w:rPr>
      </w:pPr>
      <w:r>
        <w:rPr>
          <w:rFonts w:hint="eastAsia"/>
        </w:rPr>
        <w:t>10.2不采用；</w:t>
      </w:r>
    </w:p>
    <w:p>
      <w:pPr>
        <w:adjustRightInd w:val="0"/>
        <w:snapToGrid w:val="0"/>
        <w:spacing w:line="360" w:lineRule="auto"/>
        <w:ind w:left="420"/>
        <w:rPr>
          <w:sz w:val="24"/>
        </w:rPr>
      </w:pPr>
      <w:r>
        <w:rPr>
          <w:rFonts w:hint="eastAsia"/>
        </w:rPr>
        <w:t>10.3不采用。</w:t>
      </w:r>
    </w:p>
    <w:p>
      <w:pPr>
        <w:adjustRightInd w:val="0"/>
        <w:spacing w:line="360" w:lineRule="auto"/>
        <w:jc w:val="center"/>
        <w:rPr>
          <w:rFonts w:asciiTheme="minorEastAsia" w:hAnsiTheme="minorEastAsia" w:eastAsiaTheme="minorEastAsia"/>
        </w:rPr>
        <w:sectPr>
          <w:pgSz w:w="12240" w:h="15840"/>
          <w:pgMar w:top="1400" w:right="1100" w:bottom="1120" w:left="1400" w:header="0" w:footer="841" w:gutter="0"/>
          <w:cols w:space="720" w:num="1"/>
        </w:sectPr>
      </w:pPr>
    </w:p>
    <w:p>
      <w:pPr>
        <w:pStyle w:val="2"/>
        <w:adjustRightInd w:val="0"/>
        <w:spacing w:line="360" w:lineRule="auto"/>
        <w:ind w:left="585" w:right="246"/>
        <w:jc w:val="center"/>
        <w:rPr>
          <w:rFonts w:asciiTheme="minorEastAsia" w:hAnsiTheme="minorEastAsia" w:eastAsiaTheme="minorEastAsia"/>
        </w:rPr>
      </w:pPr>
      <w:bookmarkStart w:id="152" w:name="_bookmark143"/>
      <w:bookmarkEnd w:id="152"/>
      <w:r>
        <w:rPr>
          <w:rFonts w:asciiTheme="minorEastAsia" w:hAnsiTheme="minorEastAsia" w:eastAsiaTheme="minorEastAsia"/>
        </w:rPr>
        <w:t>第三节合同附件格式</w:t>
      </w:r>
    </w:p>
    <w:p>
      <w:pPr>
        <w:adjustRightInd w:val="0"/>
        <w:spacing w:line="360" w:lineRule="auto"/>
        <w:jc w:val="center"/>
        <w:rPr>
          <w:rFonts w:asciiTheme="minorEastAsia" w:hAnsiTheme="minorEastAsia" w:eastAsiaTheme="minorEastAsia"/>
        </w:rPr>
        <w:sectPr>
          <w:pgSz w:w="12240" w:h="15840"/>
          <w:pgMar w:top="1400" w:right="1100" w:bottom="1120" w:left="1400" w:header="0" w:footer="841" w:gutter="0"/>
          <w:cols w:space="720" w:num="1"/>
        </w:sectPr>
      </w:pPr>
    </w:p>
    <w:p>
      <w:pPr>
        <w:pStyle w:val="3"/>
        <w:adjustRightInd w:val="0"/>
        <w:spacing w:before="43" w:line="360" w:lineRule="auto"/>
        <w:ind w:left="537"/>
        <w:rPr>
          <w:rFonts w:asciiTheme="minorEastAsia" w:hAnsiTheme="minorEastAsia" w:eastAsiaTheme="minorEastAsia"/>
          <w:sz w:val="20"/>
        </w:rPr>
      </w:pPr>
      <w:bookmarkStart w:id="153" w:name="_bookmark144"/>
      <w:bookmarkEnd w:id="153"/>
      <w:r>
        <w:rPr>
          <w:rFonts w:asciiTheme="minorEastAsia" w:hAnsiTheme="minorEastAsia" w:eastAsiaTheme="minorEastAsia"/>
        </w:rPr>
        <w:t>附件一：合同协议书</w:t>
      </w:r>
    </w:p>
    <w:p>
      <w:pPr>
        <w:adjustRightInd w:val="0"/>
        <w:spacing w:before="226" w:line="360" w:lineRule="auto"/>
        <w:ind w:left="4020"/>
        <w:rPr>
          <w:rFonts w:asciiTheme="minorEastAsia" w:hAnsiTheme="minorEastAsia" w:eastAsiaTheme="minorEastAsia"/>
          <w:sz w:val="28"/>
        </w:rPr>
      </w:pPr>
      <w:r>
        <w:rPr>
          <w:rFonts w:asciiTheme="minorEastAsia" w:hAnsiTheme="minorEastAsia" w:eastAsiaTheme="minorEastAsia"/>
          <w:sz w:val="28"/>
        </w:rPr>
        <w:t>合同协议书</w:t>
      </w:r>
    </w:p>
    <w:p>
      <w:pPr>
        <w:pStyle w:val="6"/>
        <w:adjustRightInd w:val="0"/>
        <w:spacing w:line="360" w:lineRule="auto"/>
        <w:rPr>
          <w:rFonts w:asciiTheme="minorEastAsia" w:hAnsiTheme="minorEastAsia" w:eastAsiaTheme="minorEastAsia"/>
          <w:sz w:val="28"/>
        </w:rPr>
      </w:pPr>
    </w:p>
    <w:p>
      <w:pPr>
        <w:pStyle w:val="6"/>
        <w:tabs>
          <w:tab w:val="left" w:pos="2757"/>
          <w:tab w:val="left" w:pos="6319"/>
          <w:tab w:val="left" w:pos="7783"/>
        </w:tabs>
        <w:adjustRightInd w:val="0"/>
        <w:spacing w:before="231" w:line="360" w:lineRule="auto"/>
        <w:ind w:left="400" w:right="589" w:firstLine="359"/>
        <w:rPr>
          <w:rFonts w:asciiTheme="minorEastAsia" w:hAnsiTheme="minorEastAsia" w:eastAsiaTheme="minorEastAsia"/>
        </w:rPr>
      </w:pPr>
      <w:r>
        <w:rPr>
          <w:rFonts w:asciiTheme="minorEastAsia" w:hAnsiTheme="minorEastAsia" w:eastAsiaTheme="minorEastAsia"/>
          <w:u w:val="single"/>
        </w:rPr>
        <w:tab/>
      </w:r>
      <w:r>
        <w:rPr>
          <w:rFonts w:asciiTheme="minorEastAsia" w:hAnsiTheme="minorEastAsia" w:eastAsiaTheme="minorEastAsia"/>
          <w:spacing w:val="-3"/>
        </w:rPr>
        <w:t>（买</w:t>
      </w:r>
      <w:r>
        <w:rPr>
          <w:rFonts w:asciiTheme="minorEastAsia" w:hAnsiTheme="minorEastAsia" w:eastAsiaTheme="minorEastAsia"/>
        </w:rPr>
        <w:t>方名</w:t>
      </w:r>
      <w:r>
        <w:rPr>
          <w:rFonts w:asciiTheme="minorEastAsia" w:hAnsiTheme="minorEastAsia" w:eastAsiaTheme="minorEastAsia"/>
          <w:spacing w:val="-3"/>
        </w:rPr>
        <w:t>称</w:t>
      </w:r>
      <w:r>
        <w:rPr>
          <w:rFonts w:asciiTheme="minorEastAsia" w:hAnsiTheme="minorEastAsia" w:eastAsiaTheme="minorEastAsia"/>
          <w:spacing w:val="-68"/>
        </w:rPr>
        <w:t>，</w:t>
      </w:r>
      <w:r>
        <w:rPr>
          <w:rFonts w:asciiTheme="minorEastAsia" w:hAnsiTheme="minorEastAsia" w:eastAsiaTheme="minorEastAsia"/>
          <w:spacing w:val="-3"/>
        </w:rPr>
        <w:t>以</w:t>
      </w:r>
      <w:r>
        <w:rPr>
          <w:rFonts w:asciiTheme="minorEastAsia" w:hAnsiTheme="minorEastAsia" w:eastAsiaTheme="minorEastAsia"/>
        </w:rPr>
        <w:t>下</w:t>
      </w:r>
      <w:r>
        <w:rPr>
          <w:rFonts w:asciiTheme="minorEastAsia" w:hAnsiTheme="minorEastAsia" w:eastAsiaTheme="minorEastAsia"/>
          <w:spacing w:val="-3"/>
        </w:rPr>
        <w:t>简</w:t>
      </w:r>
      <w:r>
        <w:rPr>
          <w:rFonts w:asciiTheme="minorEastAsia" w:hAnsiTheme="minorEastAsia" w:eastAsiaTheme="minorEastAsia"/>
        </w:rPr>
        <w:t>称</w:t>
      </w:r>
      <w:r>
        <w:rPr>
          <w:rFonts w:asciiTheme="minorEastAsia" w:hAnsiTheme="minorEastAsia" w:eastAsiaTheme="minorEastAsia"/>
          <w:i/>
        </w:rPr>
        <w:t>“</w:t>
      </w:r>
      <w:r>
        <w:rPr>
          <w:rFonts w:asciiTheme="minorEastAsia" w:hAnsiTheme="minorEastAsia" w:eastAsiaTheme="minorEastAsia"/>
          <w:spacing w:val="-3"/>
        </w:rPr>
        <w:t>买</w:t>
      </w:r>
      <w:r>
        <w:rPr>
          <w:rFonts w:asciiTheme="minorEastAsia" w:hAnsiTheme="minorEastAsia" w:eastAsiaTheme="minorEastAsia"/>
        </w:rPr>
        <w:t>方</w:t>
      </w:r>
      <w:r>
        <w:rPr>
          <w:rFonts w:asciiTheme="minorEastAsia" w:hAnsiTheme="minorEastAsia" w:eastAsiaTheme="minorEastAsia"/>
          <w:i/>
          <w:spacing w:val="-36"/>
        </w:rPr>
        <w:t>”</w:t>
      </w:r>
      <w:r>
        <w:rPr>
          <w:rFonts w:asciiTheme="minorEastAsia" w:hAnsiTheme="minorEastAsia" w:eastAsiaTheme="minorEastAsia"/>
          <w:spacing w:val="-36"/>
        </w:rPr>
        <w:t>）</w:t>
      </w:r>
      <w:r>
        <w:rPr>
          <w:rFonts w:asciiTheme="minorEastAsia" w:hAnsiTheme="minorEastAsia" w:eastAsiaTheme="minorEastAsia"/>
        </w:rPr>
        <w:t>为获得</w:t>
      </w:r>
      <w:r>
        <w:rPr>
          <w:rFonts w:asciiTheme="minorEastAsia" w:hAnsiTheme="minorEastAsia" w:eastAsiaTheme="minorEastAsia"/>
          <w:u w:val="single"/>
        </w:rPr>
        <w:tab/>
      </w:r>
      <w:r>
        <w:rPr>
          <w:rFonts w:asciiTheme="minorEastAsia" w:hAnsiTheme="minorEastAsia" w:eastAsiaTheme="minorEastAsia"/>
          <w:u w:val="single"/>
        </w:rPr>
        <w:tab/>
      </w:r>
      <w:r>
        <w:rPr>
          <w:rFonts w:asciiTheme="minorEastAsia" w:hAnsiTheme="minorEastAsia" w:eastAsiaTheme="minorEastAsia"/>
          <w:spacing w:val="-3"/>
          <w:u w:val="single"/>
        </w:rPr>
        <w:t>（</w:t>
      </w:r>
      <w:r>
        <w:rPr>
          <w:rFonts w:asciiTheme="minorEastAsia" w:hAnsiTheme="minorEastAsia" w:eastAsiaTheme="minorEastAsia"/>
        </w:rPr>
        <w:t>项目</w:t>
      </w:r>
      <w:r>
        <w:rPr>
          <w:rFonts w:asciiTheme="minorEastAsia" w:hAnsiTheme="minorEastAsia" w:eastAsiaTheme="minorEastAsia"/>
          <w:spacing w:val="-3"/>
        </w:rPr>
        <w:t>名</w:t>
      </w:r>
      <w:r>
        <w:rPr>
          <w:rFonts w:asciiTheme="minorEastAsia" w:hAnsiTheme="minorEastAsia" w:eastAsiaTheme="minorEastAsia"/>
        </w:rPr>
        <w:t>称） 合同</w:t>
      </w:r>
      <w:r>
        <w:rPr>
          <w:rFonts w:asciiTheme="minorEastAsia" w:hAnsiTheme="minorEastAsia" w:eastAsiaTheme="minorEastAsia"/>
          <w:spacing w:val="-3"/>
        </w:rPr>
        <w:t>设</w:t>
      </w:r>
      <w:r>
        <w:rPr>
          <w:rFonts w:asciiTheme="minorEastAsia" w:hAnsiTheme="minorEastAsia" w:eastAsiaTheme="minorEastAsia"/>
        </w:rPr>
        <w:t>备</w:t>
      </w:r>
      <w:r>
        <w:rPr>
          <w:rFonts w:asciiTheme="minorEastAsia" w:hAnsiTheme="minorEastAsia" w:eastAsiaTheme="minorEastAsia"/>
          <w:spacing w:val="-3"/>
        </w:rPr>
        <w:t>和</w:t>
      </w:r>
      <w:r>
        <w:rPr>
          <w:rFonts w:asciiTheme="minorEastAsia" w:hAnsiTheme="minorEastAsia" w:eastAsiaTheme="minorEastAsia"/>
        </w:rPr>
        <w:t>技</w:t>
      </w:r>
      <w:r>
        <w:rPr>
          <w:rFonts w:asciiTheme="minorEastAsia" w:hAnsiTheme="minorEastAsia" w:eastAsiaTheme="minorEastAsia"/>
          <w:spacing w:val="-3"/>
        </w:rPr>
        <w:t>术</w:t>
      </w:r>
      <w:r>
        <w:rPr>
          <w:rFonts w:asciiTheme="minorEastAsia" w:hAnsiTheme="minorEastAsia" w:eastAsiaTheme="minorEastAsia"/>
        </w:rPr>
        <w:t>服</w:t>
      </w:r>
      <w:r>
        <w:rPr>
          <w:rFonts w:asciiTheme="minorEastAsia" w:hAnsiTheme="minorEastAsia" w:eastAsiaTheme="minorEastAsia"/>
          <w:spacing w:val="-3"/>
        </w:rPr>
        <w:t>务</w:t>
      </w:r>
      <w:r>
        <w:rPr>
          <w:rFonts w:asciiTheme="minorEastAsia" w:hAnsiTheme="minorEastAsia" w:eastAsiaTheme="minorEastAsia"/>
        </w:rPr>
        <w:t>和</w:t>
      </w:r>
      <w:r>
        <w:rPr>
          <w:rFonts w:asciiTheme="minorEastAsia" w:hAnsiTheme="minorEastAsia" w:eastAsiaTheme="minorEastAsia"/>
          <w:spacing w:val="-3"/>
        </w:rPr>
        <w:t>质</w:t>
      </w:r>
      <w:r>
        <w:rPr>
          <w:rFonts w:asciiTheme="minorEastAsia" w:hAnsiTheme="minorEastAsia" w:eastAsiaTheme="minorEastAsia"/>
        </w:rPr>
        <w:t>保期</w:t>
      </w:r>
      <w:r>
        <w:rPr>
          <w:rFonts w:asciiTheme="minorEastAsia" w:hAnsiTheme="minorEastAsia" w:eastAsiaTheme="minorEastAsia"/>
          <w:spacing w:val="-3"/>
        </w:rPr>
        <w:t>服务</w:t>
      </w:r>
      <w:r>
        <w:rPr>
          <w:rFonts w:asciiTheme="minorEastAsia" w:hAnsiTheme="minorEastAsia" w:eastAsiaTheme="minorEastAsia"/>
          <w:spacing w:val="-87"/>
        </w:rPr>
        <w:t>，</w:t>
      </w:r>
      <w:r>
        <w:rPr>
          <w:rFonts w:asciiTheme="minorEastAsia" w:hAnsiTheme="minorEastAsia" w:eastAsiaTheme="minorEastAsia"/>
          <w:spacing w:val="-3"/>
        </w:rPr>
        <w:t>已</w:t>
      </w:r>
      <w:r>
        <w:rPr>
          <w:rFonts w:asciiTheme="minorEastAsia" w:hAnsiTheme="minorEastAsia" w:eastAsiaTheme="minorEastAsia"/>
        </w:rPr>
        <w:t>接</w:t>
      </w:r>
      <w:r>
        <w:rPr>
          <w:rFonts w:asciiTheme="minorEastAsia" w:hAnsiTheme="minorEastAsia" w:eastAsiaTheme="minorEastAsia"/>
          <w:spacing w:val="-3"/>
        </w:rPr>
        <w:t>受</w:t>
      </w:r>
      <w:r>
        <w:rPr>
          <w:rFonts w:asciiTheme="minorEastAsia" w:hAnsiTheme="minorEastAsia" w:eastAsiaTheme="minorEastAsia"/>
          <w:spacing w:val="-3"/>
          <w:u w:val="single"/>
        </w:rPr>
        <w:tab/>
      </w:r>
      <w:r>
        <w:rPr>
          <w:rFonts w:asciiTheme="minorEastAsia" w:hAnsiTheme="minorEastAsia" w:eastAsiaTheme="minorEastAsia"/>
          <w:w w:val="95"/>
          <w:u w:val="single"/>
        </w:rPr>
        <w:t>（</w:t>
      </w:r>
      <w:r>
        <w:rPr>
          <w:rFonts w:asciiTheme="minorEastAsia" w:hAnsiTheme="minorEastAsia" w:eastAsiaTheme="minorEastAsia"/>
          <w:spacing w:val="-3"/>
          <w:w w:val="95"/>
        </w:rPr>
        <w:t>卖</w:t>
      </w:r>
      <w:r>
        <w:rPr>
          <w:rFonts w:asciiTheme="minorEastAsia" w:hAnsiTheme="minorEastAsia" w:eastAsiaTheme="minorEastAsia"/>
          <w:w w:val="95"/>
        </w:rPr>
        <w:t>方</w:t>
      </w:r>
      <w:r>
        <w:rPr>
          <w:rFonts w:asciiTheme="minorEastAsia" w:hAnsiTheme="minorEastAsia" w:eastAsiaTheme="minorEastAsia"/>
          <w:spacing w:val="-3"/>
          <w:w w:val="95"/>
        </w:rPr>
        <w:t>名称</w:t>
      </w:r>
      <w:r>
        <w:rPr>
          <w:rFonts w:asciiTheme="minorEastAsia" w:hAnsiTheme="minorEastAsia" w:eastAsiaTheme="minorEastAsia"/>
          <w:spacing w:val="-89"/>
          <w:w w:val="95"/>
        </w:rPr>
        <w:t>，</w:t>
      </w:r>
      <w:r>
        <w:rPr>
          <w:rFonts w:asciiTheme="minorEastAsia" w:hAnsiTheme="minorEastAsia" w:eastAsiaTheme="minorEastAsia"/>
          <w:w w:val="95"/>
        </w:rPr>
        <w:t>以下</w:t>
      </w:r>
      <w:r>
        <w:rPr>
          <w:rFonts w:asciiTheme="minorEastAsia" w:hAnsiTheme="minorEastAsia" w:eastAsiaTheme="minorEastAsia"/>
          <w:spacing w:val="-3"/>
          <w:w w:val="95"/>
        </w:rPr>
        <w:t>简</w:t>
      </w:r>
      <w:r>
        <w:rPr>
          <w:rFonts w:asciiTheme="minorEastAsia" w:hAnsiTheme="minorEastAsia" w:eastAsiaTheme="minorEastAsia"/>
          <w:w w:val="95"/>
        </w:rPr>
        <w:t>称</w:t>
      </w:r>
      <w:r>
        <w:rPr>
          <w:rFonts w:asciiTheme="minorEastAsia" w:hAnsiTheme="minorEastAsia" w:eastAsiaTheme="minorEastAsia"/>
          <w:i/>
          <w:spacing w:val="-3"/>
          <w:w w:val="95"/>
        </w:rPr>
        <w:t>“</w:t>
      </w:r>
      <w:r>
        <w:rPr>
          <w:rFonts w:asciiTheme="minorEastAsia" w:hAnsiTheme="minorEastAsia" w:eastAsiaTheme="minorEastAsia"/>
          <w:w w:val="95"/>
        </w:rPr>
        <w:t>卖方</w:t>
      </w:r>
      <w:r>
        <w:rPr>
          <w:rFonts w:asciiTheme="minorEastAsia" w:hAnsiTheme="minorEastAsia" w:eastAsiaTheme="minorEastAsia"/>
          <w:i/>
          <w:w w:val="95"/>
        </w:rPr>
        <w:t>”</w:t>
      </w:r>
      <w:r>
        <w:rPr>
          <w:rFonts w:asciiTheme="minorEastAsia" w:hAnsiTheme="minorEastAsia" w:eastAsiaTheme="minorEastAsia"/>
          <w:w w:val="95"/>
        </w:rPr>
        <w:t>）</w:t>
      </w:r>
    </w:p>
    <w:p>
      <w:pPr>
        <w:pStyle w:val="6"/>
        <w:adjustRightInd w:val="0"/>
        <w:spacing w:line="360" w:lineRule="auto"/>
        <w:ind w:left="400"/>
        <w:rPr>
          <w:rFonts w:asciiTheme="minorEastAsia" w:hAnsiTheme="minorEastAsia" w:eastAsiaTheme="minorEastAsia"/>
        </w:rPr>
      </w:pPr>
      <w:r>
        <w:rPr>
          <w:rFonts w:asciiTheme="minorEastAsia" w:hAnsiTheme="minorEastAsia" w:eastAsiaTheme="minorEastAsia"/>
        </w:rPr>
        <w:t>为提供上述合同设备和技术服务和质保期服务所作的投标，买方和卖方共同达成如下协议：</w:t>
      </w:r>
    </w:p>
    <w:p>
      <w:pPr>
        <w:pStyle w:val="31"/>
        <w:numPr>
          <w:ilvl w:val="0"/>
          <w:numId w:val="20"/>
        </w:numPr>
        <w:tabs>
          <w:tab w:val="left" w:pos="1085"/>
        </w:tabs>
        <w:adjustRightInd w:val="0"/>
        <w:spacing w:before="170" w:line="360" w:lineRule="auto"/>
        <w:ind w:firstLine="408"/>
        <w:rPr>
          <w:rFonts w:asciiTheme="minorEastAsia" w:hAnsiTheme="minorEastAsia" w:eastAsiaTheme="minorEastAsia"/>
        </w:rPr>
      </w:pPr>
      <w:r>
        <w:rPr>
          <w:rFonts w:asciiTheme="minorEastAsia" w:hAnsiTheme="minorEastAsia" w:eastAsiaTheme="minorEastAsia"/>
          <w:spacing w:val="-3"/>
        </w:rPr>
        <w:t>本协议书与下列文件一起构成合同文件：</w:t>
      </w:r>
    </w:p>
    <w:p>
      <w:pPr>
        <w:pStyle w:val="6"/>
        <w:adjustRightInd w:val="0"/>
        <w:spacing w:before="172" w:line="360" w:lineRule="auto"/>
        <w:ind w:left="820"/>
        <w:rPr>
          <w:rFonts w:asciiTheme="minorEastAsia" w:hAnsiTheme="minorEastAsia" w:eastAsiaTheme="minorEastAsia"/>
        </w:rPr>
      </w:pPr>
      <w:r>
        <w:rPr>
          <w:rFonts w:asciiTheme="minorEastAsia" w:hAnsiTheme="minorEastAsia" w:eastAsiaTheme="minorEastAsia"/>
        </w:rPr>
        <w:t>（1）中标通知书；</w:t>
      </w:r>
    </w:p>
    <w:p>
      <w:pPr>
        <w:pStyle w:val="6"/>
        <w:adjustRightInd w:val="0"/>
        <w:spacing w:before="171" w:line="360" w:lineRule="auto"/>
        <w:ind w:left="820"/>
        <w:rPr>
          <w:rFonts w:asciiTheme="minorEastAsia" w:hAnsiTheme="minorEastAsia" w:eastAsiaTheme="minorEastAsia"/>
        </w:rPr>
      </w:pPr>
      <w:r>
        <w:rPr>
          <w:rFonts w:asciiTheme="minorEastAsia" w:hAnsiTheme="minorEastAsia" w:eastAsiaTheme="minorEastAsia"/>
        </w:rPr>
        <w:t>（2）投标函；</w:t>
      </w:r>
    </w:p>
    <w:p>
      <w:pPr>
        <w:pStyle w:val="6"/>
        <w:adjustRightInd w:val="0"/>
        <w:spacing w:before="170" w:line="360" w:lineRule="auto"/>
        <w:ind w:left="820"/>
        <w:rPr>
          <w:rFonts w:asciiTheme="minorEastAsia" w:hAnsiTheme="minorEastAsia" w:eastAsiaTheme="minorEastAsia"/>
        </w:rPr>
      </w:pPr>
      <w:r>
        <w:rPr>
          <w:rFonts w:asciiTheme="minorEastAsia" w:hAnsiTheme="minorEastAsia" w:eastAsiaTheme="minorEastAsia"/>
        </w:rPr>
        <w:t>（3）商务和技术偏差表；</w:t>
      </w:r>
    </w:p>
    <w:p>
      <w:pPr>
        <w:pStyle w:val="6"/>
        <w:adjustRightInd w:val="0"/>
        <w:spacing w:before="172" w:line="360" w:lineRule="auto"/>
        <w:ind w:left="820"/>
        <w:rPr>
          <w:rFonts w:asciiTheme="minorEastAsia" w:hAnsiTheme="minorEastAsia" w:eastAsiaTheme="minorEastAsia"/>
        </w:rPr>
      </w:pPr>
      <w:r>
        <w:rPr>
          <w:rFonts w:asciiTheme="minorEastAsia" w:hAnsiTheme="minorEastAsia" w:eastAsiaTheme="minorEastAsia"/>
        </w:rPr>
        <w:t>（4）专用合同条款；</w:t>
      </w:r>
    </w:p>
    <w:p>
      <w:pPr>
        <w:pStyle w:val="6"/>
        <w:adjustRightInd w:val="0"/>
        <w:spacing w:before="170" w:line="360" w:lineRule="auto"/>
        <w:ind w:left="820"/>
        <w:rPr>
          <w:rFonts w:asciiTheme="minorEastAsia" w:hAnsiTheme="minorEastAsia" w:eastAsiaTheme="minorEastAsia"/>
        </w:rPr>
      </w:pPr>
      <w:r>
        <w:rPr>
          <w:rFonts w:asciiTheme="minorEastAsia" w:hAnsiTheme="minorEastAsia" w:eastAsiaTheme="minorEastAsia"/>
        </w:rPr>
        <w:t>（5）通用合同条款；</w:t>
      </w:r>
    </w:p>
    <w:p>
      <w:pPr>
        <w:pStyle w:val="6"/>
        <w:adjustRightInd w:val="0"/>
        <w:spacing w:before="171" w:line="360" w:lineRule="auto"/>
        <w:ind w:left="820"/>
        <w:rPr>
          <w:rFonts w:asciiTheme="minorEastAsia" w:hAnsiTheme="minorEastAsia" w:eastAsiaTheme="minorEastAsia"/>
        </w:rPr>
      </w:pPr>
      <w:r>
        <w:rPr>
          <w:rFonts w:asciiTheme="minorEastAsia" w:hAnsiTheme="minorEastAsia" w:eastAsiaTheme="minorEastAsia"/>
        </w:rPr>
        <w:t>（6）供货要求；</w:t>
      </w:r>
    </w:p>
    <w:p>
      <w:pPr>
        <w:pStyle w:val="6"/>
        <w:adjustRightInd w:val="0"/>
        <w:spacing w:before="172" w:line="360" w:lineRule="auto"/>
        <w:ind w:left="820"/>
        <w:rPr>
          <w:rFonts w:asciiTheme="minorEastAsia" w:hAnsiTheme="minorEastAsia" w:eastAsiaTheme="minorEastAsia"/>
        </w:rPr>
      </w:pPr>
      <w:r>
        <w:rPr>
          <w:rFonts w:asciiTheme="minorEastAsia" w:hAnsiTheme="minorEastAsia" w:eastAsiaTheme="minorEastAsia"/>
        </w:rPr>
        <w:t>（7）分项报价表；</w:t>
      </w:r>
    </w:p>
    <w:p>
      <w:pPr>
        <w:pStyle w:val="6"/>
        <w:adjustRightInd w:val="0"/>
        <w:spacing w:before="171" w:line="360" w:lineRule="auto"/>
        <w:ind w:left="820"/>
        <w:rPr>
          <w:rFonts w:asciiTheme="minorEastAsia" w:hAnsiTheme="minorEastAsia" w:eastAsiaTheme="minorEastAsia"/>
        </w:rPr>
      </w:pPr>
      <w:r>
        <w:rPr>
          <w:rFonts w:asciiTheme="minorEastAsia" w:hAnsiTheme="minorEastAsia" w:eastAsiaTheme="minorEastAsia"/>
        </w:rPr>
        <w:t>（8）中标设备技术性能指标的详细描述；</w:t>
      </w:r>
    </w:p>
    <w:p>
      <w:pPr>
        <w:pStyle w:val="6"/>
        <w:adjustRightInd w:val="0"/>
        <w:spacing w:before="170" w:line="360" w:lineRule="auto"/>
        <w:ind w:left="820"/>
        <w:rPr>
          <w:rFonts w:asciiTheme="minorEastAsia" w:hAnsiTheme="minorEastAsia" w:eastAsiaTheme="minorEastAsia"/>
        </w:rPr>
      </w:pPr>
      <w:r>
        <w:rPr>
          <w:rFonts w:asciiTheme="minorEastAsia" w:hAnsiTheme="minorEastAsia" w:eastAsiaTheme="minorEastAsia"/>
        </w:rPr>
        <w:t>（9）技术服务和质保期服务计划；</w:t>
      </w:r>
    </w:p>
    <w:p>
      <w:pPr>
        <w:pStyle w:val="6"/>
        <w:adjustRightInd w:val="0"/>
        <w:spacing w:before="172" w:line="360" w:lineRule="auto"/>
        <w:ind w:left="820"/>
        <w:rPr>
          <w:rFonts w:asciiTheme="minorEastAsia" w:hAnsiTheme="minorEastAsia" w:eastAsiaTheme="minorEastAsia"/>
        </w:rPr>
      </w:pPr>
      <w:r>
        <w:rPr>
          <w:rFonts w:asciiTheme="minorEastAsia" w:hAnsiTheme="minorEastAsia" w:eastAsiaTheme="minorEastAsia"/>
        </w:rPr>
        <w:t>（10）其他合同文件。</w:t>
      </w:r>
    </w:p>
    <w:p>
      <w:pPr>
        <w:pStyle w:val="31"/>
        <w:numPr>
          <w:ilvl w:val="0"/>
          <w:numId w:val="20"/>
        </w:numPr>
        <w:tabs>
          <w:tab w:val="left" w:pos="1085"/>
        </w:tabs>
        <w:adjustRightInd w:val="0"/>
        <w:spacing w:before="170" w:line="360" w:lineRule="auto"/>
        <w:ind w:right="693" w:firstLine="400"/>
        <w:rPr>
          <w:rFonts w:asciiTheme="minorEastAsia" w:hAnsiTheme="minorEastAsia" w:eastAsiaTheme="minorEastAsia"/>
        </w:rPr>
      </w:pPr>
      <w:r>
        <w:rPr>
          <w:rFonts w:asciiTheme="minorEastAsia" w:hAnsiTheme="minorEastAsia" w:eastAsiaTheme="minorEastAsia"/>
          <w:spacing w:val="-5"/>
        </w:rPr>
        <w:t>上述合同文件互相补充和解释。如果合同文件之间存在矛盾或不一致之处，以上述文件</w:t>
      </w:r>
      <w:r>
        <w:rPr>
          <w:rFonts w:asciiTheme="minorEastAsia" w:hAnsiTheme="minorEastAsia" w:eastAsiaTheme="minorEastAsia"/>
          <w:spacing w:val="-4"/>
        </w:rPr>
        <w:t>的排列顺序在先者为准。</w:t>
      </w:r>
    </w:p>
    <w:p>
      <w:pPr>
        <w:pStyle w:val="31"/>
        <w:numPr>
          <w:ilvl w:val="0"/>
          <w:numId w:val="20"/>
        </w:numPr>
        <w:tabs>
          <w:tab w:val="left" w:pos="1085"/>
          <w:tab w:val="left" w:pos="5284"/>
          <w:tab w:val="left" w:pos="7068"/>
        </w:tabs>
        <w:adjustRightInd w:val="0"/>
        <w:spacing w:before="5" w:line="360" w:lineRule="auto"/>
        <w:ind w:firstLine="408"/>
        <w:rPr>
          <w:rFonts w:asciiTheme="minorEastAsia" w:hAnsiTheme="minorEastAsia" w:eastAsiaTheme="minorEastAsia"/>
        </w:rPr>
      </w:pPr>
      <w:r>
        <w:rPr>
          <w:rFonts w:asciiTheme="minorEastAsia" w:hAnsiTheme="minorEastAsia" w:eastAsiaTheme="minorEastAsia"/>
          <w:spacing w:val="-3"/>
        </w:rPr>
        <w:t>签</w:t>
      </w:r>
      <w:r>
        <w:rPr>
          <w:rFonts w:asciiTheme="minorEastAsia" w:hAnsiTheme="minorEastAsia" w:eastAsiaTheme="minorEastAsia"/>
        </w:rPr>
        <w:t>约</w:t>
      </w:r>
      <w:r>
        <w:rPr>
          <w:rFonts w:asciiTheme="minorEastAsia" w:hAnsiTheme="minorEastAsia" w:eastAsiaTheme="minorEastAsia"/>
          <w:spacing w:val="-3"/>
        </w:rPr>
        <w:t>合</w:t>
      </w:r>
      <w:r>
        <w:rPr>
          <w:rFonts w:asciiTheme="minorEastAsia" w:hAnsiTheme="minorEastAsia" w:eastAsiaTheme="minorEastAsia"/>
        </w:rPr>
        <w:t>同</w:t>
      </w:r>
      <w:r>
        <w:rPr>
          <w:rFonts w:asciiTheme="minorEastAsia" w:hAnsiTheme="minorEastAsia" w:eastAsiaTheme="minorEastAsia"/>
          <w:spacing w:val="-3"/>
        </w:rPr>
        <w:t>价</w:t>
      </w:r>
      <w:r>
        <w:rPr>
          <w:rFonts w:asciiTheme="minorEastAsia" w:hAnsiTheme="minorEastAsia" w:eastAsiaTheme="minorEastAsia"/>
        </w:rPr>
        <w:t>：</w:t>
      </w:r>
      <w:r>
        <w:rPr>
          <w:rFonts w:asciiTheme="minorEastAsia" w:hAnsiTheme="minorEastAsia" w:eastAsiaTheme="minorEastAsia"/>
          <w:spacing w:val="-3"/>
        </w:rPr>
        <w:t>人</w:t>
      </w:r>
      <w:r>
        <w:rPr>
          <w:rFonts w:asciiTheme="minorEastAsia" w:hAnsiTheme="minorEastAsia" w:eastAsiaTheme="minorEastAsia"/>
        </w:rPr>
        <w:t>民</w:t>
      </w:r>
      <w:r>
        <w:rPr>
          <w:rFonts w:asciiTheme="minorEastAsia" w:hAnsiTheme="minorEastAsia" w:eastAsiaTheme="minorEastAsia"/>
          <w:spacing w:val="-3"/>
        </w:rPr>
        <w:t>币（</w:t>
      </w:r>
      <w:r>
        <w:rPr>
          <w:rFonts w:asciiTheme="minorEastAsia" w:hAnsiTheme="minorEastAsia" w:eastAsiaTheme="minorEastAsia"/>
        </w:rPr>
        <w:t>大写</w:t>
      </w:r>
      <w:r>
        <w:rPr>
          <w:rFonts w:asciiTheme="minorEastAsia" w:hAnsiTheme="minorEastAsia" w:eastAsiaTheme="minorEastAsia"/>
          <w:spacing w:val="-3"/>
        </w:rPr>
        <w:t>）</w:t>
      </w:r>
      <w:r>
        <w:rPr>
          <w:rFonts w:asciiTheme="minorEastAsia" w:hAnsiTheme="minorEastAsia" w:eastAsiaTheme="minorEastAsia"/>
          <w:spacing w:val="-3"/>
          <w:u w:val="single"/>
        </w:rPr>
        <w:tab/>
      </w:r>
      <w:r>
        <w:rPr>
          <w:rFonts w:asciiTheme="minorEastAsia" w:hAnsiTheme="minorEastAsia" w:eastAsiaTheme="minorEastAsia"/>
          <w:spacing w:val="-3"/>
        </w:rPr>
        <w:t>（¥</w:t>
      </w:r>
      <w:r>
        <w:rPr>
          <w:rFonts w:asciiTheme="minorEastAsia" w:hAnsiTheme="minorEastAsia" w:eastAsiaTheme="minorEastAsia"/>
          <w:spacing w:val="-3"/>
          <w:u w:val="single"/>
        </w:rPr>
        <w:tab/>
      </w:r>
      <w:r>
        <w:rPr>
          <w:rFonts w:asciiTheme="minorEastAsia" w:hAnsiTheme="minorEastAsia" w:eastAsiaTheme="minorEastAsia"/>
          <w:spacing w:val="-106"/>
        </w:rPr>
        <w:t>）</w:t>
      </w:r>
      <w:r>
        <w:rPr>
          <w:rFonts w:asciiTheme="minorEastAsia" w:hAnsiTheme="minorEastAsia" w:eastAsiaTheme="minorEastAsia"/>
        </w:rPr>
        <w:t>。</w:t>
      </w:r>
    </w:p>
    <w:p>
      <w:pPr>
        <w:pStyle w:val="31"/>
        <w:numPr>
          <w:ilvl w:val="0"/>
          <w:numId w:val="20"/>
        </w:numPr>
        <w:tabs>
          <w:tab w:val="left" w:pos="1085"/>
        </w:tabs>
        <w:adjustRightInd w:val="0"/>
        <w:spacing w:before="170" w:line="360" w:lineRule="auto"/>
        <w:ind w:firstLine="408"/>
        <w:rPr>
          <w:rFonts w:asciiTheme="minorEastAsia" w:hAnsiTheme="minorEastAsia" w:eastAsiaTheme="minorEastAsia"/>
        </w:rPr>
      </w:pPr>
      <w:r>
        <w:rPr>
          <w:rFonts w:asciiTheme="minorEastAsia" w:hAnsiTheme="minorEastAsia" w:eastAsiaTheme="minorEastAsia"/>
          <w:spacing w:val="-3"/>
        </w:rPr>
        <w:t>卖方承诺保证完全按照合同约定提供合同设备和技术服务和质保期服务并修补缺陷。</w:t>
      </w:r>
    </w:p>
    <w:p>
      <w:pPr>
        <w:pStyle w:val="31"/>
        <w:numPr>
          <w:ilvl w:val="0"/>
          <w:numId w:val="20"/>
        </w:numPr>
        <w:tabs>
          <w:tab w:val="left" w:pos="1085"/>
        </w:tabs>
        <w:adjustRightInd w:val="0"/>
        <w:spacing w:before="170" w:line="360" w:lineRule="auto"/>
        <w:ind w:firstLine="408"/>
        <w:rPr>
          <w:rFonts w:asciiTheme="minorEastAsia" w:hAnsiTheme="minorEastAsia" w:eastAsiaTheme="minorEastAsia"/>
        </w:rPr>
      </w:pPr>
      <w:r>
        <w:rPr>
          <w:rFonts w:asciiTheme="minorEastAsia" w:hAnsiTheme="minorEastAsia" w:eastAsiaTheme="minorEastAsia"/>
          <w:spacing w:val="-3"/>
        </w:rPr>
        <w:t>买方承诺保证按照合同约定的条件、时间和方式向卖方支付合同价款。</w:t>
      </w:r>
    </w:p>
    <w:p>
      <w:pPr>
        <w:pStyle w:val="31"/>
        <w:numPr>
          <w:ilvl w:val="0"/>
          <w:numId w:val="20"/>
        </w:numPr>
        <w:tabs>
          <w:tab w:val="left" w:pos="1085"/>
          <w:tab w:val="left" w:pos="3499"/>
          <w:tab w:val="left" w:pos="5914"/>
        </w:tabs>
        <w:adjustRightInd w:val="0"/>
        <w:spacing w:before="172" w:line="360" w:lineRule="auto"/>
        <w:ind w:firstLine="408"/>
        <w:rPr>
          <w:rFonts w:asciiTheme="minorEastAsia" w:hAnsiTheme="minorEastAsia" w:eastAsiaTheme="minorEastAsia"/>
        </w:rPr>
      </w:pPr>
      <w:r>
        <w:rPr>
          <w:rFonts w:asciiTheme="minorEastAsia" w:hAnsiTheme="minorEastAsia" w:eastAsiaTheme="minorEastAsia"/>
          <w:spacing w:val="-3"/>
        </w:rPr>
        <w:t>本</w:t>
      </w:r>
      <w:r>
        <w:rPr>
          <w:rFonts w:asciiTheme="minorEastAsia" w:hAnsiTheme="minorEastAsia" w:eastAsiaTheme="minorEastAsia"/>
        </w:rPr>
        <w:t>合</w:t>
      </w:r>
      <w:r>
        <w:rPr>
          <w:rFonts w:asciiTheme="minorEastAsia" w:hAnsiTheme="minorEastAsia" w:eastAsiaTheme="minorEastAsia"/>
          <w:spacing w:val="-3"/>
        </w:rPr>
        <w:t>同</w:t>
      </w:r>
      <w:r>
        <w:rPr>
          <w:rFonts w:asciiTheme="minorEastAsia" w:hAnsiTheme="minorEastAsia" w:eastAsiaTheme="minorEastAsia"/>
        </w:rPr>
        <w:t>协</w:t>
      </w:r>
      <w:r>
        <w:rPr>
          <w:rFonts w:asciiTheme="minorEastAsia" w:hAnsiTheme="minorEastAsia" w:eastAsiaTheme="minorEastAsia"/>
          <w:spacing w:val="-3"/>
        </w:rPr>
        <w:t>议</w:t>
      </w:r>
      <w:r>
        <w:rPr>
          <w:rFonts w:asciiTheme="minorEastAsia" w:hAnsiTheme="minorEastAsia" w:eastAsiaTheme="minorEastAsia"/>
        </w:rPr>
        <w:t>书</w:t>
      </w:r>
      <w:r>
        <w:rPr>
          <w:rFonts w:asciiTheme="minorEastAsia" w:hAnsiTheme="minorEastAsia" w:eastAsiaTheme="minorEastAsia"/>
          <w:spacing w:val="-3"/>
        </w:rPr>
        <w:t>一</w:t>
      </w:r>
      <w:r>
        <w:rPr>
          <w:rFonts w:asciiTheme="minorEastAsia" w:hAnsiTheme="minorEastAsia" w:eastAsiaTheme="minorEastAsia"/>
        </w:rPr>
        <w:t>式</w:t>
      </w:r>
      <w:r>
        <w:rPr>
          <w:rFonts w:asciiTheme="minorEastAsia" w:hAnsiTheme="minorEastAsia" w:eastAsiaTheme="minorEastAsia"/>
          <w:u w:val="single"/>
        </w:rPr>
        <w:tab/>
      </w:r>
      <w:r>
        <w:rPr>
          <w:rFonts w:asciiTheme="minorEastAsia" w:hAnsiTheme="minorEastAsia" w:eastAsiaTheme="minorEastAsia"/>
          <w:spacing w:val="-3"/>
        </w:rPr>
        <w:t>份</w:t>
      </w:r>
      <w:r>
        <w:rPr>
          <w:rFonts w:asciiTheme="minorEastAsia" w:hAnsiTheme="minorEastAsia" w:eastAsiaTheme="minorEastAsia"/>
        </w:rPr>
        <w:t>，</w:t>
      </w:r>
      <w:r>
        <w:rPr>
          <w:rFonts w:asciiTheme="minorEastAsia" w:hAnsiTheme="minorEastAsia" w:eastAsiaTheme="minorEastAsia"/>
          <w:spacing w:val="-3"/>
        </w:rPr>
        <w:t>合</w:t>
      </w:r>
      <w:r>
        <w:rPr>
          <w:rFonts w:asciiTheme="minorEastAsia" w:hAnsiTheme="minorEastAsia" w:eastAsiaTheme="minorEastAsia"/>
        </w:rPr>
        <w:t>同</w:t>
      </w:r>
      <w:r>
        <w:rPr>
          <w:rFonts w:asciiTheme="minorEastAsia" w:hAnsiTheme="minorEastAsia" w:eastAsiaTheme="minorEastAsia"/>
          <w:spacing w:val="-3"/>
        </w:rPr>
        <w:t>双</w:t>
      </w:r>
      <w:r>
        <w:rPr>
          <w:rFonts w:asciiTheme="minorEastAsia" w:hAnsiTheme="minorEastAsia" w:eastAsiaTheme="minorEastAsia"/>
        </w:rPr>
        <w:t>方</w:t>
      </w:r>
      <w:r>
        <w:rPr>
          <w:rFonts w:asciiTheme="minorEastAsia" w:hAnsiTheme="minorEastAsia" w:eastAsiaTheme="minorEastAsia"/>
          <w:spacing w:val="-3"/>
        </w:rPr>
        <w:t>各</w:t>
      </w:r>
      <w:r>
        <w:rPr>
          <w:rFonts w:asciiTheme="minorEastAsia" w:hAnsiTheme="minorEastAsia" w:eastAsiaTheme="minorEastAsia"/>
        </w:rPr>
        <w:t>执</w:t>
      </w:r>
      <w:r>
        <w:rPr>
          <w:rFonts w:asciiTheme="minorEastAsia" w:hAnsiTheme="minorEastAsia" w:eastAsiaTheme="minorEastAsia"/>
          <w:u w:val="single"/>
        </w:rPr>
        <w:tab/>
      </w:r>
      <w:r>
        <w:rPr>
          <w:rFonts w:asciiTheme="minorEastAsia" w:hAnsiTheme="minorEastAsia" w:eastAsiaTheme="minorEastAsia"/>
          <w:spacing w:val="-3"/>
        </w:rPr>
        <w:t>份。</w:t>
      </w:r>
    </w:p>
    <w:p>
      <w:pPr>
        <w:pStyle w:val="31"/>
        <w:numPr>
          <w:ilvl w:val="0"/>
          <w:numId w:val="20"/>
        </w:numPr>
        <w:tabs>
          <w:tab w:val="left" w:pos="1085"/>
        </w:tabs>
        <w:adjustRightInd w:val="0"/>
        <w:spacing w:before="171" w:line="360" w:lineRule="auto"/>
        <w:ind w:firstLine="408"/>
        <w:rPr>
          <w:rFonts w:asciiTheme="minorEastAsia" w:hAnsiTheme="minorEastAsia" w:eastAsiaTheme="minorEastAsia"/>
        </w:rPr>
      </w:pPr>
      <w:r>
        <w:rPr>
          <w:rFonts w:asciiTheme="minorEastAsia" w:hAnsiTheme="minorEastAsia" w:eastAsiaTheme="minorEastAsia"/>
          <w:spacing w:val="-3"/>
        </w:rPr>
        <w:t>合同未尽事宜，双方另行签订补充协议，补充协议是合同的组成部分。</w:t>
      </w:r>
    </w:p>
    <w:p>
      <w:pPr>
        <w:pStyle w:val="6"/>
        <w:adjustRightInd w:val="0"/>
        <w:spacing w:before="2" w:line="360" w:lineRule="auto"/>
        <w:rPr>
          <w:rFonts w:asciiTheme="minorEastAsia" w:hAnsiTheme="minorEastAsia" w:eastAsiaTheme="minorEastAsia"/>
          <w:sz w:val="32"/>
        </w:rPr>
      </w:pPr>
    </w:p>
    <w:p>
      <w:pPr>
        <w:pStyle w:val="6"/>
        <w:tabs>
          <w:tab w:val="left" w:pos="7766"/>
        </w:tabs>
        <w:adjustRightInd w:val="0"/>
        <w:spacing w:line="360" w:lineRule="auto"/>
        <w:ind w:left="3026"/>
        <w:rPr>
          <w:rFonts w:asciiTheme="minorEastAsia" w:hAnsiTheme="minorEastAsia" w:eastAsiaTheme="minorEastAsia"/>
        </w:rPr>
      </w:pPr>
      <w:r>
        <w:rPr>
          <w:rFonts w:asciiTheme="minorEastAsia" w:hAnsiTheme="minorEastAsia" w:eastAsiaTheme="minorEastAsia"/>
        </w:rPr>
        <w:t>买方：</w:t>
      </w:r>
      <w:r>
        <w:rPr>
          <w:rFonts w:asciiTheme="minorEastAsia" w:hAnsiTheme="minorEastAsia" w:eastAsiaTheme="minorEastAsia"/>
          <w:u w:val="single"/>
        </w:rPr>
        <w:tab/>
      </w:r>
      <w:r>
        <w:rPr>
          <w:rFonts w:asciiTheme="minorEastAsia" w:hAnsiTheme="minorEastAsia" w:eastAsiaTheme="minorEastAsia"/>
        </w:rPr>
        <w:t>（盖单位章）</w:t>
      </w:r>
    </w:p>
    <w:p>
      <w:pPr>
        <w:pStyle w:val="6"/>
        <w:tabs>
          <w:tab w:val="left" w:pos="8174"/>
        </w:tabs>
        <w:adjustRightInd w:val="0"/>
        <w:spacing w:before="83" w:line="360" w:lineRule="auto"/>
        <w:ind w:left="3026"/>
        <w:rPr>
          <w:rFonts w:asciiTheme="minorEastAsia" w:hAnsiTheme="minorEastAsia" w:eastAsiaTheme="minorEastAsia"/>
        </w:rPr>
      </w:pPr>
      <w:r>
        <w:rPr>
          <w:rFonts w:asciiTheme="minorEastAsia" w:hAnsiTheme="minorEastAsia" w:eastAsiaTheme="minorEastAsia"/>
        </w:rPr>
        <w:t>法定</w:t>
      </w:r>
      <w:r>
        <w:rPr>
          <w:rFonts w:asciiTheme="minorEastAsia" w:hAnsiTheme="minorEastAsia" w:eastAsiaTheme="minorEastAsia"/>
          <w:spacing w:val="-3"/>
        </w:rPr>
        <w:t>代</w:t>
      </w:r>
      <w:r>
        <w:rPr>
          <w:rFonts w:asciiTheme="minorEastAsia" w:hAnsiTheme="minorEastAsia" w:eastAsiaTheme="minorEastAsia"/>
        </w:rPr>
        <w:t>表</w:t>
      </w:r>
      <w:r>
        <w:rPr>
          <w:rFonts w:asciiTheme="minorEastAsia" w:hAnsiTheme="minorEastAsia" w:eastAsiaTheme="minorEastAsia"/>
          <w:spacing w:val="-3"/>
        </w:rPr>
        <w:t>人</w:t>
      </w:r>
      <w:r>
        <w:rPr>
          <w:rFonts w:asciiTheme="minorEastAsia" w:hAnsiTheme="minorEastAsia" w:eastAsiaTheme="minorEastAsia"/>
        </w:rPr>
        <w:t>（</w:t>
      </w:r>
      <w:r>
        <w:rPr>
          <w:rFonts w:asciiTheme="minorEastAsia" w:hAnsiTheme="minorEastAsia" w:eastAsiaTheme="minorEastAsia"/>
          <w:spacing w:val="-3"/>
        </w:rPr>
        <w:t>单</w:t>
      </w:r>
      <w:r>
        <w:rPr>
          <w:rFonts w:asciiTheme="minorEastAsia" w:hAnsiTheme="minorEastAsia" w:eastAsiaTheme="minorEastAsia"/>
        </w:rPr>
        <w:t>位</w:t>
      </w:r>
      <w:r>
        <w:rPr>
          <w:rFonts w:asciiTheme="minorEastAsia" w:hAnsiTheme="minorEastAsia" w:eastAsiaTheme="minorEastAsia"/>
          <w:spacing w:val="-3"/>
        </w:rPr>
        <w:t>负</w:t>
      </w:r>
      <w:r>
        <w:rPr>
          <w:rFonts w:asciiTheme="minorEastAsia" w:hAnsiTheme="minorEastAsia" w:eastAsiaTheme="minorEastAsia"/>
        </w:rPr>
        <w:t>责</w:t>
      </w:r>
      <w:r>
        <w:rPr>
          <w:rFonts w:asciiTheme="minorEastAsia" w:hAnsiTheme="minorEastAsia" w:eastAsiaTheme="minorEastAsia"/>
          <w:spacing w:val="-3"/>
        </w:rPr>
        <w:t>人</w:t>
      </w:r>
      <w:r>
        <w:rPr>
          <w:rFonts w:asciiTheme="minorEastAsia" w:hAnsiTheme="minorEastAsia" w:eastAsiaTheme="minorEastAsia"/>
        </w:rPr>
        <w:t>）或</w:t>
      </w:r>
      <w:r>
        <w:rPr>
          <w:rFonts w:asciiTheme="minorEastAsia" w:hAnsiTheme="minorEastAsia" w:eastAsiaTheme="minorEastAsia"/>
          <w:spacing w:val="-3"/>
        </w:rPr>
        <w:t>其</w:t>
      </w:r>
      <w:r>
        <w:rPr>
          <w:rFonts w:asciiTheme="minorEastAsia" w:hAnsiTheme="minorEastAsia" w:eastAsiaTheme="minorEastAsia"/>
        </w:rPr>
        <w:t>委</w:t>
      </w:r>
      <w:r>
        <w:rPr>
          <w:rFonts w:asciiTheme="minorEastAsia" w:hAnsiTheme="minorEastAsia" w:eastAsiaTheme="minorEastAsia"/>
          <w:spacing w:val="-3"/>
        </w:rPr>
        <w:t>托</w:t>
      </w:r>
      <w:r>
        <w:rPr>
          <w:rFonts w:asciiTheme="minorEastAsia" w:hAnsiTheme="minorEastAsia" w:eastAsiaTheme="minorEastAsia"/>
        </w:rPr>
        <w:t>代</w:t>
      </w:r>
      <w:r>
        <w:rPr>
          <w:rFonts w:asciiTheme="minorEastAsia" w:hAnsiTheme="minorEastAsia" w:eastAsiaTheme="minorEastAsia"/>
          <w:spacing w:val="-3"/>
        </w:rPr>
        <w:t>理</w:t>
      </w:r>
      <w:r>
        <w:rPr>
          <w:rFonts w:asciiTheme="minorEastAsia" w:hAnsiTheme="minorEastAsia" w:eastAsiaTheme="minorEastAsia"/>
        </w:rPr>
        <w:t>人</w:t>
      </w:r>
      <w:r>
        <w:rPr>
          <w:rFonts w:asciiTheme="minorEastAsia" w:hAnsiTheme="minorEastAsia" w:eastAsiaTheme="minorEastAsia"/>
          <w:spacing w:val="-3"/>
        </w:rPr>
        <w:t>：</w:t>
      </w:r>
      <w:r>
        <w:rPr>
          <w:rFonts w:asciiTheme="minorEastAsia" w:hAnsiTheme="minorEastAsia" w:eastAsiaTheme="minorEastAsia"/>
          <w:spacing w:val="-3"/>
          <w:u w:val="single"/>
        </w:rPr>
        <w:tab/>
      </w:r>
      <w:r>
        <w:rPr>
          <w:rFonts w:asciiTheme="minorEastAsia" w:hAnsiTheme="minorEastAsia" w:eastAsiaTheme="minorEastAsia"/>
          <w:spacing w:val="-3"/>
        </w:rPr>
        <w:t>（</w:t>
      </w:r>
      <w:r>
        <w:rPr>
          <w:rFonts w:asciiTheme="minorEastAsia" w:hAnsiTheme="minorEastAsia" w:eastAsiaTheme="minorEastAsia"/>
        </w:rPr>
        <w:t>签</w:t>
      </w:r>
      <w:r>
        <w:rPr>
          <w:rFonts w:asciiTheme="minorEastAsia" w:hAnsiTheme="minorEastAsia" w:eastAsiaTheme="minorEastAsia"/>
          <w:spacing w:val="-3"/>
        </w:rPr>
        <w:t>字</w:t>
      </w:r>
      <w:r>
        <w:rPr>
          <w:rFonts w:asciiTheme="minorEastAsia" w:hAnsiTheme="minorEastAsia" w:eastAsiaTheme="minorEastAsia"/>
        </w:rPr>
        <w:t>）</w:t>
      </w:r>
    </w:p>
    <w:p>
      <w:pPr>
        <w:pStyle w:val="6"/>
        <w:adjustRightInd w:val="0"/>
        <w:spacing w:before="1" w:line="360" w:lineRule="auto"/>
        <w:rPr>
          <w:rFonts w:asciiTheme="minorEastAsia" w:hAnsiTheme="minorEastAsia" w:eastAsiaTheme="minorEastAsia"/>
          <w:sz w:val="17"/>
        </w:rPr>
      </w:pPr>
    </w:p>
    <w:p>
      <w:pPr>
        <w:pStyle w:val="6"/>
        <w:tabs>
          <w:tab w:val="left" w:pos="5758"/>
          <w:tab w:val="left" w:pos="6703"/>
          <w:tab w:val="left" w:pos="7646"/>
        </w:tabs>
        <w:adjustRightInd w:val="0"/>
        <w:spacing w:before="78" w:line="360" w:lineRule="auto"/>
        <w:ind w:left="5021"/>
        <w:rPr>
          <w:rFonts w:asciiTheme="minorEastAsia" w:hAnsiTheme="minorEastAsia" w:eastAsiaTheme="minorEastAsia"/>
        </w:rPr>
      </w:pPr>
      <w:r>
        <w:rPr>
          <w:rFonts w:asciiTheme="minorEastAsia" w:hAnsiTheme="minorEastAsia" w:eastAsiaTheme="minorEastAsia"/>
          <w:u w:val="single"/>
        </w:rPr>
        <w:tab/>
      </w:r>
      <w:r>
        <w:rPr>
          <w:rFonts w:asciiTheme="minorEastAsia" w:hAnsiTheme="minorEastAsia" w:eastAsiaTheme="minorEastAsia"/>
        </w:rPr>
        <w:t>年</w:t>
      </w:r>
      <w:r>
        <w:rPr>
          <w:rFonts w:asciiTheme="minorEastAsia" w:hAnsiTheme="minorEastAsia" w:eastAsiaTheme="minorEastAsia"/>
          <w:u w:val="single"/>
        </w:rPr>
        <w:tab/>
      </w:r>
      <w:r>
        <w:rPr>
          <w:rFonts w:asciiTheme="minorEastAsia" w:hAnsiTheme="minorEastAsia" w:eastAsiaTheme="minorEastAsia"/>
          <w:spacing w:val="-3"/>
        </w:rPr>
        <w:t>月</w:t>
      </w:r>
      <w:r>
        <w:rPr>
          <w:rFonts w:asciiTheme="minorEastAsia" w:hAnsiTheme="minorEastAsia" w:eastAsiaTheme="minorEastAsia"/>
          <w:spacing w:val="-3"/>
          <w:u w:val="single"/>
        </w:rPr>
        <w:tab/>
      </w:r>
      <w:r>
        <w:rPr>
          <w:rFonts w:asciiTheme="minorEastAsia" w:hAnsiTheme="minorEastAsia" w:eastAsiaTheme="minorEastAsia"/>
        </w:rPr>
        <w:t>日</w:t>
      </w:r>
    </w:p>
    <w:p>
      <w:pPr>
        <w:pStyle w:val="6"/>
        <w:adjustRightInd w:val="0"/>
        <w:spacing w:line="360" w:lineRule="auto"/>
        <w:rPr>
          <w:rFonts w:asciiTheme="minorEastAsia" w:hAnsiTheme="minorEastAsia" w:eastAsiaTheme="minorEastAsia"/>
          <w:sz w:val="20"/>
        </w:rPr>
      </w:pPr>
    </w:p>
    <w:p>
      <w:pPr>
        <w:pStyle w:val="6"/>
        <w:adjustRightInd w:val="0"/>
        <w:spacing w:line="360" w:lineRule="auto"/>
        <w:rPr>
          <w:rFonts w:asciiTheme="minorEastAsia" w:hAnsiTheme="minorEastAsia" w:eastAsiaTheme="minorEastAsia"/>
          <w:sz w:val="20"/>
        </w:rPr>
      </w:pPr>
    </w:p>
    <w:p>
      <w:pPr>
        <w:pStyle w:val="6"/>
        <w:adjustRightInd w:val="0"/>
        <w:spacing w:line="360" w:lineRule="auto"/>
        <w:rPr>
          <w:rFonts w:asciiTheme="minorEastAsia" w:hAnsiTheme="minorEastAsia" w:eastAsiaTheme="minorEastAsia"/>
          <w:sz w:val="20"/>
        </w:rPr>
      </w:pPr>
    </w:p>
    <w:p>
      <w:pPr>
        <w:pStyle w:val="6"/>
        <w:adjustRightInd w:val="0"/>
        <w:spacing w:before="7" w:line="360" w:lineRule="auto"/>
        <w:rPr>
          <w:rFonts w:asciiTheme="minorEastAsia" w:hAnsiTheme="minorEastAsia" w:eastAsiaTheme="minorEastAsia"/>
          <w:sz w:val="18"/>
        </w:rPr>
      </w:pPr>
    </w:p>
    <w:p>
      <w:pPr>
        <w:pStyle w:val="6"/>
        <w:tabs>
          <w:tab w:val="left" w:pos="7750"/>
        </w:tabs>
        <w:adjustRightInd w:val="0"/>
        <w:spacing w:before="79" w:line="360" w:lineRule="auto"/>
        <w:ind w:left="2921"/>
        <w:rPr>
          <w:rFonts w:asciiTheme="minorEastAsia" w:hAnsiTheme="minorEastAsia" w:eastAsiaTheme="minorEastAsia"/>
        </w:rPr>
      </w:pPr>
      <w:r>
        <w:rPr>
          <w:rFonts w:asciiTheme="minorEastAsia" w:hAnsiTheme="minorEastAsia" w:eastAsiaTheme="minorEastAsia"/>
        </w:rPr>
        <w:t>卖方</w:t>
      </w:r>
      <w:r>
        <w:rPr>
          <w:rFonts w:asciiTheme="minorEastAsia" w:hAnsiTheme="minorEastAsia" w:eastAsiaTheme="minorEastAsia"/>
          <w:spacing w:val="-3"/>
        </w:rPr>
        <w:t>：</w:t>
      </w:r>
      <w:r>
        <w:rPr>
          <w:rFonts w:asciiTheme="minorEastAsia" w:hAnsiTheme="minorEastAsia" w:eastAsiaTheme="minorEastAsia"/>
          <w:spacing w:val="-3"/>
          <w:u w:val="single"/>
        </w:rPr>
        <w:tab/>
      </w:r>
      <w:r>
        <w:rPr>
          <w:rFonts w:asciiTheme="minorEastAsia" w:hAnsiTheme="minorEastAsia" w:eastAsiaTheme="minorEastAsia"/>
        </w:rPr>
        <w:t>（盖</w:t>
      </w:r>
      <w:r>
        <w:rPr>
          <w:rFonts w:asciiTheme="minorEastAsia" w:hAnsiTheme="minorEastAsia" w:eastAsiaTheme="minorEastAsia"/>
          <w:spacing w:val="-3"/>
        </w:rPr>
        <w:t>单</w:t>
      </w:r>
      <w:r>
        <w:rPr>
          <w:rFonts w:asciiTheme="minorEastAsia" w:hAnsiTheme="minorEastAsia" w:eastAsiaTheme="minorEastAsia"/>
        </w:rPr>
        <w:t>位</w:t>
      </w:r>
      <w:r>
        <w:rPr>
          <w:rFonts w:asciiTheme="minorEastAsia" w:hAnsiTheme="minorEastAsia" w:eastAsiaTheme="minorEastAsia"/>
          <w:spacing w:val="-3"/>
        </w:rPr>
        <w:t>章</w:t>
      </w:r>
      <w:r>
        <w:rPr>
          <w:rFonts w:asciiTheme="minorEastAsia" w:hAnsiTheme="minorEastAsia" w:eastAsiaTheme="minorEastAsia"/>
        </w:rPr>
        <w:t>）</w:t>
      </w:r>
    </w:p>
    <w:p>
      <w:pPr>
        <w:pStyle w:val="6"/>
        <w:tabs>
          <w:tab w:val="left" w:pos="8172"/>
        </w:tabs>
        <w:adjustRightInd w:val="0"/>
        <w:spacing w:before="170" w:line="360" w:lineRule="auto"/>
        <w:ind w:left="2921"/>
        <w:rPr>
          <w:rFonts w:asciiTheme="minorEastAsia" w:hAnsiTheme="minorEastAsia" w:eastAsiaTheme="minorEastAsia"/>
        </w:rPr>
      </w:pPr>
      <w:r>
        <w:rPr>
          <w:rFonts w:asciiTheme="minorEastAsia" w:hAnsiTheme="minorEastAsia" w:eastAsiaTheme="minorEastAsia"/>
        </w:rPr>
        <w:t>法定</w:t>
      </w:r>
      <w:r>
        <w:rPr>
          <w:rFonts w:asciiTheme="minorEastAsia" w:hAnsiTheme="minorEastAsia" w:eastAsiaTheme="minorEastAsia"/>
          <w:spacing w:val="-3"/>
        </w:rPr>
        <w:t>代</w:t>
      </w:r>
      <w:r>
        <w:rPr>
          <w:rFonts w:asciiTheme="minorEastAsia" w:hAnsiTheme="minorEastAsia" w:eastAsiaTheme="minorEastAsia"/>
        </w:rPr>
        <w:t>表</w:t>
      </w:r>
      <w:r>
        <w:rPr>
          <w:rFonts w:asciiTheme="minorEastAsia" w:hAnsiTheme="minorEastAsia" w:eastAsiaTheme="minorEastAsia"/>
          <w:spacing w:val="-3"/>
        </w:rPr>
        <w:t>人</w:t>
      </w:r>
      <w:r>
        <w:rPr>
          <w:rFonts w:asciiTheme="minorEastAsia" w:hAnsiTheme="minorEastAsia" w:eastAsiaTheme="minorEastAsia"/>
        </w:rPr>
        <w:t>（</w:t>
      </w:r>
      <w:r>
        <w:rPr>
          <w:rFonts w:asciiTheme="minorEastAsia" w:hAnsiTheme="minorEastAsia" w:eastAsiaTheme="minorEastAsia"/>
          <w:spacing w:val="-3"/>
        </w:rPr>
        <w:t>单</w:t>
      </w:r>
      <w:r>
        <w:rPr>
          <w:rFonts w:asciiTheme="minorEastAsia" w:hAnsiTheme="minorEastAsia" w:eastAsiaTheme="minorEastAsia"/>
        </w:rPr>
        <w:t>位</w:t>
      </w:r>
      <w:r>
        <w:rPr>
          <w:rFonts w:asciiTheme="minorEastAsia" w:hAnsiTheme="minorEastAsia" w:eastAsiaTheme="minorEastAsia"/>
          <w:spacing w:val="-3"/>
        </w:rPr>
        <w:t>负</w:t>
      </w:r>
      <w:r>
        <w:rPr>
          <w:rFonts w:asciiTheme="minorEastAsia" w:hAnsiTheme="minorEastAsia" w:eastAsiaTheme="minorEastAsia"/>
        </w:rPr>
        <w:t>责</w:t>
      </w:r>
      <w:r>
        <w:rPr>
          <w:rFonts w:asciiTheme="minorEastAsia" w:hAnsiTheme="minorEastAsia" w:eastAsiaTheme="minorEastAsia"/>
          <w:spacing w:val="-3"/>
        </w:rPr>
        <w:t>人</w:t>
      </w:r>
      <w:r>
        <w:rPr>
          <w:rFonts w:asciiTheme="minorEastAsia" w:hAnsiTheme="minorEastAsia" w:eastAsiaTheme="minorEastAsia"/>
        </w:rPr>
        <w:t>）或</w:t>
      </w:r>
      <w:r>
        <w:rPr>
          <w:rFonts w:asciiTheme="minorEastAsia" w:hAnsiTheme="minorEastAsia" w:eastAsiaTheme="minorEastAsia"/>
          <w:spacing w:val="-3"/>
        </w:rPr>
        <w:t>其</w:t>
      </w:r>
      <w:r>
        <w:rPr>
          <w:rFonts w:asciiTheme="minorEastAsia" w:hAnsiTheme="minorEastAsia" w:eastAsiaTheme="minorEastAsia"/>
        </w:rPr>
        <w:t>委</w:t>
      </w:r>
      <w:r>
        <w:rPr>
          <w:rFonts w:asciiTheme="minorEastAsia" w:hAnsiTheme="minorEastAsia" w:eastAsiaTheme="minorEastAsia"/>
          <w:spacing w:val="-3"/>
        </w:rPr>
        <w:t>托</w:t>
      </w:r>
      <w:r>
        <w:rPr>
          <w:rFonts w:asciiTheme="minorEastAsia" w:hAnsiTheme="minorEastAsia" w:eastAsiaTheme="minorEastAsia"/>
        </w:rPr>
        <w:t>代</w:t>
      </w:r>
      <w:r>
        <w:rPr>
          <w:rFonts w:asciiTheme="minorEastAsia" w:hAnsiTheme="minorEastAsia" w:eastAsiaTheme="minorEastAsia"/>
          <w:spacing w:val="-3"/>
        </w:rPr>
        <w:t>理</w:t>
      </w:r>
      <w:r>
        <w:rPr>
          <w:rFonts w:asciiTheme="minorEastAsia" w:hAnsiTheme="minorEastAsia" w:eastAsiaTheme="minorEastAsia"/>
        </w:rPr>
        <w:t>人</w:t>
      </w:r>
      <w:r>
        <w:rPr>
          <w:rFonts w:asciiTheme="minorEastAsia" w:hAnsiTheme="minorEastAsia" w:eastAsiaTheme="minorEastAsia"/>
          <w:spacing w:val="-3"/>
        </w:rPr>
        <w:t>：</w:t>
      </w:r>
      <w:r>
        <w:rPr>
          <w:rFonts w:asciiTheme="minorEastAsia" w:hAnsiTheme="minorEastAsia" w:eastAsiaTheme="minorEastAsia"/>
          <w:spacing w:val="-3"/>
          <w:u w:val="single"/>
        </w:rPr>
        <w:tab/>
      </w:r>
      <w:r>
        <w:rPr>
          <w:rFonts w:asciiTheme="minorEastAsia" w:hAnsiTheme="minorEastAsia" w:eastAsiaTheme="minorEastAsia"/>
        </w:rPr>
        <w:t>（</w:t>
      </w:r>
      <w:r>
        <w:rPr>
          <w:rFonts w:asciiTheme="minorEastAsia" w:hAnsiTheme="minorEastAsia" w:eastAsiaTheme="minorEastAsia"/>
          <w:spacing w:val="-3"/>
        </w:rPr>
        <w:t>签</w:t>
      </w:r>
      <w:r>
        <w:rPr>
          <w:rFonts w:asciiTheme="minorEastAsia" w:hAnsiTheme="minorEastAsia" w:eastAsiaTheme="minorEastAsia"/>
        </w:rPr>
        <w:t>字）</w:t>
      </w:r>
    </w:p>
    <w:p>
      <w:pPr>
        <w:pStyle w:val="6"/>
        <w:adjustRightInd w:val="0"/>
        <w:spacing w:before="11" w:line="360" w:lineRule="auto"/>
        <w:rPr>
          <w:rFonts w:asciiTheme="minorEastAsia" w:hAnsiTheme="minorEastAsia" w:eastAsiaTheme="minorEastAsia"/>
          <w:sz w:val="17"/>
        </w:rPr>
      </w:pPr>
    </w:p>
    <w:p>
      <w:pPr>
        <w:pStyle w:val="6"/>
        <w:tabs>
          <w:tab w:val="left" w:pos="5397"/>
          <w:tab w:val="left" w:pos="6343"/>
          <w:tab w:val="left" w:pos="7286"/>
        </w:tabs>
        <w:adjustRightInd w:val="0"/>
        <w:spacing w:before="71" w:line="360" w:lineRule="auto"/>
        <w:ind w:left="4661"/>
        <w:rPr>
          <w:rFonts w:asciiTheme="minorEastAsia" w:hAnsiTheme="minorEastAsia" w:eastAsiaTheme="minorEastAsia"/>
        </w:rPr>
      </w:pPr>
      <w:r>
        <w:rPr>
          <w:rFonts w:asciiTheme="minorEastAsia" w:hAnsiTheme="minorEastAsia" w:eastAsiaTheme="minorEastAsia"/>
          <w:u w:val="single"/>
        </w:rPr>
        <w:tab/>
      </w:r>
      <w:r>
        <w:rPr>
          <w:rFonts w:asciiTheme="minorEastAsia" w:hAnsiTheme="minorEastAsia" w:eastAsiaTheme="minorEastAsia"/>
        </w:rPr>
        <w:t>年</w:t>
      </w:r>
      <w:r>
        <w:rPr>
          <w:rFonts w:asciiTheme="minorEastAsia" w:hAnsiTheme="minorEastAsia" w:eastAsiaTheme="minorEastAsia"/>
          <w:u w:val="single"/>
        </w:rPr>
        <w:tab/>
      </w:r>
      <w:r>
        <w:rPr>
          <w:rFonts w:asciiTheme="minorEastAsia" w:hAnsiTheme="minorEastAsia" w:eastAsiaTheme="minorEastAsia"/>
          <w:spacing w:val="-3"/>
        </w:rPr>
        <w:t>月</w:t>
      </w:r>
      <w:r>
        <w:rPr>
          <w:rFonts w:asciiTheme="minorEastAsia" w:hAnsiTheme="minorEastAsia" w:eastAsiaTheme="minorEastAsia"/>
          <w:spacing w:val="-3"/>
          <w:u w:val="single"/>
        </w:rPr>
        <w:tab/>
      </w:r>
      <w:r>
        <w:rPr>
          <w:rFonts w:asciiTheme="minorEastAsia" w:hAnsiTheme="minorEastAsia" w:eastAsiaTheme="minorEastAsia"/>
        </w:rPr>
        <w:t>日</w:t>
      </w:r>
    </w:p>
    <w:p>
      <w:pPr>
        <w:adjustRightInd w:val="0"/>
        <w:spacing w:line="360" w:lineRule="auto"/>
        <w:rPr>
          <w:rFonts w:asciiTheme="minorEastAsia" w:hAnsiTheme="minorEastAsia" w:eastAsiaTheme="minorEastAsia"/>
        </w:rPr>
        <w:sectPr>
          <w:pgSz w:w="12240" w:h="15840"/>
          <w:pgMar w:top="1500" w:right="1100" w:bottom="1120" w:left="1400" w:header="0" w:footer="841" w:gutter="0"/>
          <w:cols w:space="720" w:num="1"/>
        </w:sectPr>
      </w:pPr>
    </w:p>
    <w:p>
      <w:pPr>
        <w:rPr>
          <w:rFonts w:asciiTheme="minorEastAsia" w:hAnsiTheme="minorEastAsia" w:eastAsiaTheme="minorEastAsia"/>
        </w:rPr>
        <w:sectPr>
          <w:type w:val="continuous"/>
          <w:pgSz w:w="12240" w:h="15840"/>
          <w:pgMar w:top="1500" w:right="1100" w:bottom="280" w:left="1400" w:header="720" w:footer="720" w:gutter="0"/>
          <w:cols w:space="720" w:num="1"/>
        </w:sectPr>
      </w:pPr>
    </w:p>
    <w:p>
      <w:pPr>
        <w:outlineLvl w:val="1"/>
        <w:rPr>
          <w:rFonts w:ascii="宋体"/>
        </w:rPr>
      </w:pPr>
    </w:p>
    <w:p>
      <w:pPr>
        <w:outlineLvl w:val="1"/>
        <w:rPr>
          <w:rFonts w:ascii="宋体"/>
        </w:rPr>
      </w:pPr>
    </w:p>
    <w:p>
      <w:pPr>
        <w:ind w:firstLine="3092" w:firstLineChars="700"/>
        <w:outlineLvl w:val="1"/>
        <w:rPr>
          <w:rFonts w:ascii="宋体"/>
          <w:b/>
          <w:sz w:val="44"/>
          <w:szCs w:val="44"/>
        </w:rPr>
      </w:pPr>
      <w:bookmarkStart w:id="154" w:name="_Toc2475"/>
      <w:r>
        <w:rPr>
          <w:rFonts w:hint="eastAsia" w:ascii="宋体" w:hAnsi="宋体"/>
          <w:b/>
          <w:sz w:val="44"/>
          <w:szCs w:val="44"/>
        </w:rPr>
        <w:t>第五章</w:t>
      </w:r>
      <w:bookmarkEnd w:id="111"/>
      <w:bookmarkEnd w:id="112"/>
      <w:bookmarkEnd w:id="113"/>
      <w:bookmarkStart w:id="155" w:name="_Toc238797660"/>
      <w:bookmarkStart w:id="156" w:name="_Toc144974855"/>
      <w:bookmarkStart w:id="157" w:name="_Toc152045786"/>
      <w:bookmarkStart w:id="158" w:name="_Toc238552298"/>
      <w:bookmarkStart w:id="159" w:name="_Toc152042575"/>
      <w:bookmarkStart w:id="160" w:name="_Toc416769001"/>
      <w:r>
        <w:rPr>
          <w:rFonts w:hint="eastAsia" w:ascii="宋体" w:hAnsi="宋体"/>
          <w:b/>
          <w:sz w:val="44"/>
          <w:szCs w:val="44"/>
        </w:rPr>
        <w:t>技术标准</w:t>
      </w:r>
      <w:bookmarkEnd w:id="154"/>
    </w:p>
    <w:p>
      <w:pPr>
        <w:pStyle w:val="31"/>
        <w:numPr>
          <w:ilvl w:val="0"/>
          <w:numId w:val="21"/>
        </w:numPr>
        <w:spacing w:line="522" w:lineRule="exact"/>
        <w:ind w:firstLine="562"/>
        <w:rPr>
          <w:rFonts w:asciiTheme="minorEastAsia" w:hAnsiTheme="minorEastAsia" w:eastAsiaTheme="minorEastAsia"/>
          <w:b/>
          <w:sz w:val="28"/>
          <w:szCs w:val="28"/>
        </w:rPr>
      </w:pPr>
      <w:r>
        <w:rPr>
          <w:rFonts w:hint="eastAsia" w:asciiTheme="minorEastAsia" w:hAnsiTheme="minorEastAsia" w:eastAsiaTheme="minorEastAsia"/>
          <w:b/>
          <w:sz w:val="28"/>
          <w:szCs w:val="28"/>
        </w:rPr>
        <w:t>采购内容</w:t>
      </w:r>
    </w:p>
    <w:p>
      <w:pPr>
        <w:spacing w:line="360" w:lineRule="auto"/>
        <w:ind w:firstLine="420" w:firstLineChars="200"/>
        <w:rPr>
          <w:szCs w:val="21"/>
        </w:rPr>
      </w:pPr>
    </w:p>
    <w:tbl>
      <w:tblPr>
        <w:tblStyle w:val="18"/>
        <w:tblW w:w="92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6"/>
        <w:gridCol w:w="1452"/>
        <w:gridCol w:w="1511"/>
        <w:gridCol w:w="870"/>
        <w:gridCol w:w="4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jc w:val="center"/>
              <w:rPr>
                <w:b/>
                <w:szCs w:val="21"/>
              </w:rPr>
            </w:pPr>
            <w:r>
              <w:rPr>
                <w:rFonts w:hint="eastAsia"/>
                <w:b/>
                <w:szCs w:val="21"/>
              </w:rPr>
              <w:t>序号</w:t>
            </w: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b/>
                <w:szCs w:val="21"/>
              </w:rPr>
            </w:pPr>
            <w:r>
              <w:rPr>
                <w:rFonts w:hint="eastAsia"/>
                <w:b/>
                <w:szCs w:val="21"/>
              </w:rPr>
              <w:t>货物名称</w:t>
            </w:r>
          </w:p>
        </w:tc>
        <w:tc>
          <w:tcPr>
            <w:tcW w:w="1511" w:type="dxa"/>
            <w:tcBorders>
              <w:top w:val="single" w:color="auto" w:sz="4" w:space="0"/>
              <w:left w:val="single" w:color="auto" w:sz="4" w:space="0"/>
              <w:bottom w:val="single" w:color="auto" w:sz="4" w:space="0"/>
              <w:right w:val="single" w:color="auto" w:sz="4" w:space="0"/>
            </w:tcBorders>
            <w:vAlign w:val="center"/>
          </w:tcPr>
          <w:p>
            <w:pPr>
              <w:jc w:val="center"/>
              <w:rPr>
                <w:b/>
                <w:szCs w:val="21"/>
              </w:rPr>
            </w:pPr>
            <w:r>
              <w:rPr>
                <w:rFonts w:hint="eastAsia"/>
                <w:b/>
                <w:szCs w:val="21"/>
              </w:rPr>
              <w:t>规格型号</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b/>
                <w:szCs w:val="21"/>
              </w:rPr>
            </w:pPr>
            <w:r>
              <w:rPr>
                <w:rFonts w:hint="eastAsia"/>
                <w:b/>
                <w:szCs w:val="21"/>
              </w:rPr>
              <w:t>数量</w:t>
            </w:r>
          </w:p>
        </w:tc>
        <w:tc>
          <w:tcPr>
            <w:tcW w:w="4542" w:type="dxa"/>
            <w:tcBorders>
              <w:top w:val="single" w:color="auto" w:sz="4" w:space="0"/>
              <w:left w:val="single" w:color="auto" w:sz="4" w:space="0"/>
              <w:bottom w:val="single" w:color="auto" w:sz="4" w:space="0"/>
              <w:right w:val="single" w:color="auto" w:sz="4" w:space="0"/>
            </w:tcBorders>
            <w:vAlign w:val="center"/>
          </w:tcPr>
          <w:p>
            <w:pPr>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27"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szCs w:val="21"/>
              </w:rPr>
            </w:pPr>
            <w:r>
              <w:rPr>
                <w:rFonts w:hint="eastAsia"/>
                <w:szCs w:val="21"/>
              </w:rPr>
              <w:t>1</w:t>
            </w:r>
          </w:p>
        </w:tc>
        <w:tc>
          <w:tcPr>
            <w:tcW w:w="1452"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szCs w:val="21"/>
              </w:rPr>
            </w:pPr>
            <w:r>
              <w:rPr>
                <w:rFonts w:hint="eastAsia"/>
                <w:szCs w:val="21"/>
              </w:rPr>
              <w:t>静音型柴油发电机组</w:t>
            </w:r>
          </w:p>
        </w:tc>
        <w:tc>
          <w:tcPr>
            <w:tcW w:w="1511"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szCs w:val="21"/>
              </w:rPr>
            </w:pPr>
            <w:r>
              <w:rPr>
                <w:rFonts w:hint="eastAsia"/>
                <w:szCs w:val="21"/>
              </w:rPr>
              <w:t>主用350KW</w:t>
            </w:r>
          </w:p>
        </w:tc>
        <w:tc>
          <w:tcPr>
            <w:tcW w:w="870"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szCs w:val="21"/>
              </w:rPr>
            </w:pPr>
            <w:r>
              <w:rPr>
                <w:rFonts w:hint="eastAsia"/>
                <w:szCs w:val="21"/>
              </w:rPr>
              <w:t>1台</w:t>
            </w:r>
          </w:p>
        </w:tc>
        <w:tc>
          <w:tcPr>
            <w:tcW w:w="4542" w:type="dxa"/>
            <w:tcBorders>
              <w:top w:val="single" w:color="auto" w:sz="4" w:space="0"/>
              <w:left w:val="single" w:color="auto" w:sz="4" w:space="0"/>
              <w:bottom w:val="single" w:color="auto" w:sz="4" w:space="0"/>
              <w:right w:val="single" w:color="auto" w:sz="4" w:space="0"/>
            </w:tcBorders>
            <w:vAlign w:val="center"/>
          </w:tcPr>
          <w:p>
            <w:pPr>
              <w:pStyle w:val="31"/>
              <w:spacing w:line="240" w:lineRule="atLeast"/>
              <w:ind w:left="330"/>
              <w:rPr>
                <w:szCs w:val="21"/>
              </w:rPr>
            </w:pPr>
            <w:r>
              <w:rPr>
                <w:rFonts w:hint="eastAsia" w:ascii="宋体" w:hAnsi="宋体" w:cs="宋体"/>
              </w:rPr>
              <w:t>含交流发电机；柴油发动机；控制系统；静音箱；冷却系统；电喷控制器；机组出线开关柜</w:t>
            </w:r>
            <w:r>
              <w:rPr>
                <w:rFonts w:ascii="宋体" w:hAnsi="宋体" w:cs="宋体"/>
              </w:rPr>
              <w:t>3</w:t>
            </w:r>
            <w:r>
              <w:rPr>
                <w:rFonts w:hint="eastAsia" w:ascii="宋体" w:hAnsi="宋体" w:cs="宋体"/>
              </w:rPr>
              <w:t>台；涡轮增压器；保护系统；启动用的</w:t>
            </w:r>
            <w:r>
              <w:rPr>
                <w:rFonts w:ascii="宋体" w:hAnsi="宋体" w:cs="宋体"/>
              </w:rPr>
              <w:t>24V</w:t>
            </w:r>
            <w:r>
              <w:rPr>
                <w:rFonts w:hint="eastAsia" w:ascii="宋体" w:hAnsi="宋体" w:cs="宋体"/>
              </w:rPr>
              <w:t>铅酸电池及充电装置；膨胀减震节；机组到出线开关柜之间的连接耐火母线槽；机座避震器；可换式空气滤清器；机油、柴油、冷却液、滤清器；排气消声器；质保期内所需的易损件；机组内部的所有电缆（电线）连接，管道连接，配备试机用燃油、润滑油等易耗品；机组应配置的附件（制造商该品牌机组的配套产品）；机房降噪</w:t>
            </w:r>
            <w:r>
              <w:rPr>
                <w:rFonts w:hint="eastAsia" w:cs="宋体"/>
              </w:rPr>
              <w:t>要求施工部位：门、机房墙体、吊顶、进排风等，达到设计降噪要求。</w:t>
            </w:r>
          </w:p>
        </w:tc>
      </w:tr>
    </w:tbl>
    <w:p>
      <w:pPr>
        <w:spacing w:line="360" w:lineRule="auto"/>
        <w:ind w:firstLine="420" w:firstLineChars="200"/>
        <w:rPr>
          <w:szCs w:val="21"/>
        </w:rPr>
      </w:pPr>
    </w:p>
    <w:p>
      <w:pPr>
        <w:spacing w:line="360" w:lineRule="auto"/>
        <w:ind w:firstLine="420" w:firstLineChars="200"/>
        <w:rPr>
          <w:szCs w:val="21"/>
        </w:rPr>
      </w:pPr>
      <w:r>
        <w:rPr>
          <w:rFonts w:hint="eastAsia"/>
          <w:szCs w:val="21"/>
        </w:rPr>
        <w:t>1、设计为</w:t>
      </w:r>
      <w:r>
        <w:rPr>
          <w:rFonts w:hint="eastAsia" w:cs="宋体"/>
        </w:rPr>
        <w:t>设计为一台静音型机组单机运行</w:t>
      </w:r>
      <w:r>
        <w:rPr>
          <w:rFonts w:hint="eastAsia"/>
          <w:szCs w:val="21"/>
        </w:rPr>
        <w:t>；</w:t>
      </w:r>
    </w:p>
    <w:p>
      <w:pPr>
        <w:spacing w:line="360" w:lineRule="auto"/>
        <w:ind w:firstLine="420" w:firstLineChars="200"/>
        <w:rPr>
          <w:szCs w:val="21"/>
        </w:rPr>
      </w:pPr>
      <w:r>
        <w:rPr>
          <w:rFonts w:hint="eastAsia"/>
          <w:szCs w:val="21"/>
        </w:rPr>
        <w:t>2、发电机组自启动采用电启动方式，启动用蓄电池组由机组配套提供；</w:t>
      </w:r>
    </w:p>
    <w:p>
      <w:pPr>
        <w:spacing w:line="360" w:lineRule="auto"/>
        <w:ind w:firstLine="420" w:firstLineChars="200"/>
        <w:rPr>
          <w:szCs w:val="21"/>
        </w:rPr>
      </w:pPr>
      <w:r>
        <w:rPr>
          <w:rFonts w:hint="eastAsia"/>
          <w:szCs w:val="21"/>
        </w:rPr>
        <w:t>3、采购内容包括：柴油发电机组、</w:t>
      </w:r>
      <w:r>
        <w:rPr>
          <w:rFonts w:hint="eastAsia" w:ascii="宋体" w:hAnsi="宋体" w:cs="宋体"/>
        </w:rPr>
        <w:t>静音箱、</w:t>
      </w:r>
      <w:r>
        <w:rPr>
          <w:rFonts w:hint="eastAsia"/>
          <w:szCs w:val="21"/>
        </w:rPr>
        <w:t>安装配件（出线开关柜、排风、排烟、供油、消声器及减震器等装置）及机房降噪工程等，柴油发电机采购为交钥匙工程；</w:t>
      </w:r>
    </w:p>
    <w:p>
      <w:pPr>
        <w:spacing w:line="522" w:lineRule="exact"/>
        <w:rPr>
          <w:rFonts w:asciiTheme="minorEastAsia" w:hAnsiTheme="minorEastAsia" w:eastAsiaTheme="minorEastAsia"/>
          <w:b/>
          <w:sz w:val="32"/>
        </w:rPr>
      </w:pPr>
      <w:r>
        <w:rPr>
          <w:rFonts w:hint="eastAsia" w:asciiTheme="minorEastAsia" w:hAnsiTheme="minorEastAsia" w:eastAsiaTheme="minorEastAsia"/>
          <w:b/>
          <w:sz w:val="32"/>
        </w:rPr>
        <w:t>二、技术参数</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柴油机式应急电源车的设计、制造、试验、包装、运输等，除应满足本标书规定的要求外，尚须遵照如下相关规范与标准。若这些标准作出修改时，应以修订后最新标准执行。</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ab/>
      </w:r>
      <w:r>
        <w:rPr>
          <w:rFonts w:asciiTheme="minorEastAsia" w:hAnsiTheme="minorEastAsia" w:eastAsiaTheme="minorEastAsia"/>
          <w:szCs w:val="21"/>
        </w:rPr>
        <w:t>GB2820     往复式内燃机驱动的交流发电机组</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ab/>
      </w:r>
      <w:r>
        <w:rPr>
          <w:rFonts w:asciiTheme="minorEastAsia" w:hAnsiTheme="minorEastAsia" w:eastAsiaTheme="minorEastAsia"/>
          <w:szCs w:val="21"/>
        </w:rPr>
        <w:t>GB4712         自动化柴油发电机组分级要求</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ab/>
      </w:r>
      <w:r>
        <w:rPr>
          <w:rFonts w:asciiTheme="minorEastAsia" w:hAnsiTheme="minorEastAsia" w:eastAsiaTheme="minorEastAsia"/>
          <w:szCs w:val="21"/>
        </w:rPr>
        <w:t>GB 755           旋转电机  基本技术要求</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ab/>
      </w:r>
      <w:r>
        <w:rPr>
          <w:rFonts w:asciiTheme="minorEastAsia" w:hAnsiTheme="minorEastAsia" w:eastAsiaTheme="minorEastAsia"/>
          <w:szCs w:val="21"/>
        </w:rPr>
        <w:t>GB 1105        内燃机台架性能试验方法</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ab/>
      </w:r>
      <w:r>
        <w:rPr>
          <w:rFonts w:asciiTheme="minorEastAsia" w:hAnsiTheme="minorEastAsia" w:eastAsiaTheme="minorEastAsia"/>
          <w:szCs w:val="21"/>
        </w:rPr>
        <w:t>GB 1859          内燃机噪声测定方法</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ab/>
      </w:r>
      <w:r>
        <w:rPr>
          <w:rFonts w:asciiTheme="minorEastAsia" w:hAnsiTheme="minorEastAsia" w:eastAsiaTheme="minorEastAsia"/>
          <w:szCs w:val="21"/>
        </w:rPr>
        <w:t>GB 2423.16       电工电子产品基本环境试验规程  试验J：长霉试验方法</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ab/>
      </w:r>
      <w:r>
        <w:rPr>
          <w:rFonts w:asciiTheme="minorEastAsia" w:hAnsiTheme="minorEastAsia" w:eastAsiaTheme="minorEastAsia"/>
          <w:szCs w:val="21"/>
        </w:rPr>
        <w:t>GB 5320          内燃机电站名词术语</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ab/>
      </w:r>
      <w:r>
        <w:rPr>
          <w:rFonts w:asciiTheme="minorEastAsia" w:hAnsiTheme="minorEastAsia" w:eastAsiaTheme="minorEastAsia"/>
          <w:szCs w:val="21"/>
        </w:rPr>
        <w:t>JB/T9759    内燃机发电机组轴系扭转振动的限值及测量方法</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ab/>
      </w:r>
      <w:r>
        <w:rPr>
          <w:rFonts w:asciiTheme="minorEastAsia" w:hAnsiTheme="minorEastAsia" w:eastAsiaTheme="minorEastAsia"/>
          <w:szCs w:val="21"/>
        </w:rPr>
        <w:t>JB/T10303    工频柴油发电机组技术条件</w:t>
      </w:r>
    </w:p>
    <w:p>
      <w:pPr>
        <w:spacing w:line="522" w:lineRule="exact"/>
        <w:ind w:firstLine="567" w:firstLineChars="270"/>
        <w:rPr>
          <w:rFonts w:asciiTheme="minorEastAsia" w:hAnsiTheme="minorEastAsia" w:eastAsiaTheme="minorEastAsia"/>
          <w:szCs w:val="21"/>
        </w:rPr>
      </w:pPr>
      <w:r>
        <w:rPr>
          <w:rFonts w:hint="eastAsia" w:asciiTheme="minorEastAsia" w:hAnsiTheme="minorEastAsia" w:eastAsiaTheme="minorEastAsia"/>
          <w:szCs w:val="21"/>
        </w:rPr>
        <w:t>机组的各重要组件如发动机、发电机、控制器都应提供质量可靠、技术先进的产品。竞选所提供的发电机组应包括（但不限于）以下内容：</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1）</w:t>
      </w:r>
      <w:r>
        <w:rPr>
          <w:rFonts w:asciiTheme="minorEastAsia" w:hAnsiTheme="minorEastAsia" w:eastAsiaTheme="minorEastAsia"/>
          <w:szCs w:val="21"/>
        </w:rPr>
        <w:tab/>
      </w:r>
      <w:r>
        <w:rPr>
          <w:rFonts w:asciiTheme="minorEastAsia" w:hAnsiTheme="minorEastAsia" w:eastAsiaTheme="minorEastAsia"/>
          <w:szCs w:val="21"/>
        </w:rPr>
        <w:t>交流发电机；</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2）</w:t>
      </w:r>
      <w:r>
        <w:rPr>
          <w:rFonts w:asciiTheme="minorEastAsia" w:hAnsiTheme="minorEastAsia" w:eastAsiaTheme="minorEastAsia"/>
          <w:szCs w:val="21"/>
        </w:rPr>
        <w:tab/>
      </w:r>
      <w:r>
        <w:rPr>
          <w:rFonts w:asciiTheme="minorEastAsia" w:hAnsiTheme="minorEastAsia" w:eastAsiaTheme="minorEastAsia"/>
          <w:szCs w:val="21"/>
        </w:rPr>
        <w:t>柴油发动机；</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3）</w:t>
      </w:r>
      <w:r>
        <w:rPr>
          <w:rFonts w:asciiTheme="minorEastAsia" w:hAnsiTheme="minorEastAsia" w:eastAsiaTheme="minorEastAsia"/>
          <w:szCs w:val="21"/>
        </w:rPr>
        <w:tab/>
      </w:r>
      <w:r>
        <w:rPr>
          <w:rFonts w:asciiTheme="minorEastAsia" w:hAnsiTheme="minorEastAsia" w:eastAsiaTheme="minorEastAsia"/>
          <w:szCs w:val="21"/>
        </w:rPr>
        <w:t>冷却系统；</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4）</w:t>
      </w:r>
      <w:r>
        <w:rPr>
          <w:rFonts w:asciiTheme="minorEastAsia" w:hAnsiTheme="minorEastAsia" w:eastAsiaTheme="minorEastAsia"/>
          <w:szCs w:val="21"/>
        </w:rPr>
        <w:tab/>
      </w:r>
      <w:r>
        <w:rPr>
          <w:rFonts w:asciiTheme="minorEastAsia" w:hAnsiTheme="minorEastAsia" w:eastAsiaTheme="minorEastAsia"/>
          <w:szCs w:val="21"/>
        </w:rPr>
        <w:t>电</w:t>
      </w:r>
      <w:r>
        <w:rPr>
          <w:rFonts w:hint="eastAsia" w:asciiTheme="minorEastAsia" w:hAnsiTheme="minorEastAsia" w:eastAsiaTheme="minorEastAsia"/>
          <w:szCs w:val="21"/>
        </w:rPr>
        <w:t>喷控制</w:t>
      </w:r>
      <w:r>
        <w:rPr>
          <w:rFonts w:asciiTheme="minorEastAsia" w:hAnsiTheme="minorEastAsia" w:eastAsiaTheme="minorEastAsia"/>
          <w:szCs w:val="21"/>
        </w:rPr>
        <w:t>器；</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5）</w:t>
      </w:r>
      <w:r>
        <w:rPr>
          <w:rFonts w:asciiTheme="minorEastAsia" w:hAnsiTheme="minorEastAsia" w:eastAsiaTheme="minorEastAsia"/>
          <w:szCs w:val="21"/>
        </w:rPr>
        <w:tab/>
      </w:r>
      <w:r>
        <w:rPr>
          <w:rFonts w:asciiTheme="minorEastAsia" w:hAnsiTheme="minorEastAsia" w:eastAsiaTheme="minorEastAsia"/>
          <w:szCs w:val="21"/>
        </w:rPr>
        <w:t>涡轮增压器；</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6）</w:t>
      </w:r>
      <w:r>
        <w:rPr>
          <w:rFonts w:asciiTheme="minorEastAsia" w:hAnsiTheme="minorEastAsia" w:eastAsiaTheme="minorEastAsia"/>
          <w:szCs w:val="21"/>
        </w:rPr>
        <w:tab/>
      </w:r>
      <w:r>
        <w:rPr>
          <w:rFonts w:asciiTheme="minorEastAsia" w:hAnsiTheme="minorEastAsia" w:eastAsiaTheme="minorEastAsia"/>
          <w:szCs w:val="21"/>
        </w:rPr>
        <w:t>控制系统和保护系统（包括信号监测传感器、启动、充电、显示装置及仪表）；</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7）</w:t>
      </w:r>
      <w:r>
        <w:rPr>
          <w:rFonts w:asciiTheme="minorEastAsia" w:hAnsiTheme="minorEastAsia" w:eastAsiaTheme="minorEastAsia"/>
          <w:szCs w:val="21"/>
        </w:rPr>
        <w:tab/>
      </w:r>
      <w:r>
        <w:rPr>
          <w:rFonts w:asciiTheme="minorEastAsia" w:hAnsiTheme="minorEastAsia" w:eastAsiaTheme="minorEastAsia"/>
          <w:szCs w:val="21"/>
        </w:rPr>
        <w:t>启动用的24V铅酸电池及充电装置；</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8）</w:t>
      </w:r>
      <w:r>
        <w:rPr>
          <w:rFonts w:asciiTheme="minorEastAsia" w:hAnsiTheme="minorEastAsia" w:eastAsiaTheme="minorEastAsia"/>
          <w:szCs w:val="21"/>
        </w:rPr>
        <w:tab/>
      </w:r>
      <w:r>
        <w:rPr>
          <w:rFonts w:asciiTheme="minorEastAsia" w:hAnsiTheme="minorEastAsia" w:eastAsiaTheme="minorEastAsia"/>
          <w:szCs w:val="21"/>
        </w:rPr>
        <w:t>膨胀减震节；</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9）</w:t>
      </w:r>
      <w:r>
        <w:rPr>
          <w:rFonts w:asciiTheme="minorEastAsia" w:hAnsiTheme="minorEastAsia" w:eastAsiaTheme="minorEastAsia"/>
          <w:szCs w:val="21"/>
        </w:rPr>
        <w:tab/>
      </w:r>
      <w:r>
        <w:rPr>
          <w:rFonts w:asciiTheme="minorEastAsia" w:hAnsiTheme="minorEastAsia" w:eastAsiaTheme="minorEastAsia"/>
          <w:szCs w:val="21"/>
        </w:rPr>
        <w:t>机座避震器；</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10）</w:t>
      </w:r>
      <w:r>
        <w:rPr>
          <w:rFonts w:asciiTheme="minorEastAsia" w:hAnsiTheme="minorEastAsia" w:eastAsiaTheme="minorEastAsia"/>
          <w:szCs w:val="21"/>
        </w:rPr>
        <w:tab/>
      </w:r>
      <w:r>
        <w:rPr>
          <w:rFonts w:asciiTheme="minorEastAsia" w:hAnsiTheme="minorEastAsia" w:eastAsiaTheme="minorEastAsia"/>
          <w:szCs w:val="21"/>
        </w:rPr>
        <w:t>可换式空气滤清器；</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11）</w:t>
      </w:r>
      <w:r>
        <w:rPr>
          <w:rFonts w:asciiTheme="minorEastAsia" w:hAnsiTheme="minorEastAsia" w:eastAsiaTheme="minorEastAsia"/>
          <w:szCs w:val="21"/>
        </w:rPr>
        <w:tab/>
      </w:r>
      <w:r>
        <w:rPr>
          <w:rFonts w:asciiTheme="minorEastAsia" w:hAnsiTheme="minorEastAsia" w:eastAsiaTheme="minorEastAsia"/>
          <w:szCs w:val="21"/>
        </w:rPr>
        <w:t>机油、柴油、</w:t>
      </w:r>
      <w:r>
        <w:rPr>
          <w:rFonts w:hint="eastAsia" w:asciiTheme="minorEastAsia" w:hAnsiTheme="minorEastAsia" w:eastAsiaTheme="minorEastAsia"/>
          <w:szCs w:val="21"/>
        </w:rPr>
        <w:t>冷却液、</w:t>
      </w:r>
      <w:r>
        <w:rPr>
          <w:rFonts w:asciiTheme="minorEastAsia" w:hAnsiTheme="minorEastAsia" w:eastAsiaTheme="minorEastAsia"/>
          <w:szCs w:val="21"/>
        </w:rPr>
        <w:t>（增加）滤清器；</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12）</w:t>
      </w:r>
      <w:r>
        <w:rPr>
          <w:rFonts w:asciiTheme="minorEastAsia" w:hAnsiTheme="minorEastAsia" w:eastAsiaTheme="minorEastAsia"/>
          <w:szCs w:val="21"/>
        </w:rPr>
        <w:tab/>
      </w:r>
      <w:r>
        <w:rPr>
          <w:rFonts w:asciiTheme="minorEastAsia" w:hAnsiTheme="minorEastAsia" w:eastAsiaTheme="minorEastAsia"/>
          <w:szCs w:val="21"/>
        </w:rPr>
        <w:t>排气消声器；</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13）</w:t>
      </w:r>
      <w:r>
        <w:rPr>
          <w:rFonts w:asciiTheme="minorEastAsia" w:hAnsiTheme="minorEastAsia" w:eastAsiaTheme="minorEastAsia"/>
          <w:szCs w:val="21"/>
        </w:rPr>
        <w:tab/>
      </w:r>
      <w:r>
        <w:rPr>
          <w:rFonts w:hint="eastAsia" w:asciiTheme="minorEastAsia" w:hAnsiTheme="minorEastAsia" w:eastAsiaTheme="minorEastAsia"/>
          <w:szCs w:val="21"/>
        </w:rPr>
        <w:t>质保期</w:t>
      </w:r>
      <w:r>
        <w:rPr>
          <w:rFonts w:asciiTheme="minorEastAsia" w:hAnsiTheme="minorEastAsia" w:eastAsiaTheme="minorEastAsia"/>
          <w:szCs w:val="21"/>
        </w:rPr>
        <w:t>内所需的易损件；</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14）</w:t>
      </w:r>
      <w:r>
        <w:rPr>
          <w:rFonts w:asciiTheme="minorEastAsia" w:hAnsiTheme="minorEastAsia" w:eastAsiaTheme="minorEastAsia"/>
          <w:szCs w:val="21"/>
        </w:rPr>
        <w:tab/>
      </w:r>
      <w:r>
        <w:rPr>
          <w:rFonts w:asciiTheme="minorEastAsia" w:hAnsiTheme="minorEastAsia" w:eastAsiaTheme="minorEastAsia"/>
          <w:szCs w:val="21"/>
        </w:rPr>
        <w:t>机组内部的所有电缆（电线）连接，管道连接，配备试机用燃油、润滑油等易耗品；</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15）</w:t>
      </w:r>
      <w:r>
        <w:rPr>
          <w:rFonts w:asciiTheme="minorEastAsia" w:hAnsiTheme="minorEastAsia" w:eastAsiaTheme="minorEastAsia"/>
          <w:szCs w:val="21"/>
        </w:rPr>
        <w:tab/>
      </w:r>
      <w:r>
        <w:rPr>
          <w:rFonts w:asciiTheme="minorEastAsia" w:hAnsiTheme="minorEastAsia" w:eastAsiaTheme="minorEastAsia"/>
          <w:szCs w:val="21"/>
        </w:rPr>
        <w:t>机组应配置的附件（制造商该品牌机组的配套产品）；</w:t>
      </w:r>
    </w:p>
    <w:p>
      <w:pPr>
        <w:spacing w:line="522" w:lineRule="exact"/>
        <w:ind w:left="1302" w:leftChars="270" w:hanging="735" w:hangingChars="350"/>
        <w:rPr>
          <w:rFonts w:asciiTheme="minorEastAsia" w:hAnsiTheme="minorEastAsia" w:eastAsiaTheme="minorEastAsia"/>
          <w:color w:val="FF0000"/>
          <w:szCs w:val="21"/>
        </w:rPr>
      </w:pPr>
      <w:r>
        <w:rPr>
          <w:rFonts w:hint="eastAsia" w:asciiTheme="minorEastAsia" w:hAnsiTheme="minorEastAsia" w:eastAsiaTheme="minorEastAsia"/>
          <w:szCs w:val="21"/>
        </w:rPr>
        <w:t>16）    机组出线开关柜3台;</w:t>
      </w:r>
      <w:r>
        <w:rPr>
          <w:rFonts w:hint="eastAsia"/>
        </w:rPr>
        <w:t xml:space="preserve"> </w:t>
      </w:r>
      <w:r>
        <w:rPr>
          <w:rFonts w:hint="eastAsia" w:asciiTheme="minorEastAsia" w:hAnsiTheme="minorEastAsia" w:eastAsiaTheme="minorEastAsia"/>
          <w:color w:val="FF0000"/>
          <w:szCs w:val="21"/>
        </w:rPr>
        <w:t>其中控制柜至少预留3个自启动信号接收点位，且能向下一级配电柜输出合闸信号。</w:t>
      </w:r>
    </w:p>
    <w:p>
      <w:pPr>
        <w:spacing w:line="522" w:lineRule="exact"/>
        <w:ind w:firstLine="567" w:firstLineChars="270"/>
        <w:rPr>
          <w:rFonts w:asciiTheme="minorEastAsia" w:hAnsiTheme="minorEastAsia" w:eastAsiaTheme="minorEastAsia"/>
          <w:szCs w:val="21"/>
        </w:rPr>
      </w:pPr>
      <w:r>
        <w:rPr>
          <w:rFonts w:hint="eastAsia" w:asciiTheme="minorEastAsia" w:hAnsiTheme="minorEastAsia" w:eastAsiaTheme="minorEastAsia"/>
          <w:szCs w:val="21"/>
        </w:rPr>
        <w:t>17）    机组到出线开关柜之间的连接矿物质耐火母线槽;</w:t>
      </w:r>
    </w:p>
    <w:p>
      <w:pPr>
        <w:spacing w:line="522" w:lineRule="exact"/>
        <w:ind w:firstLine="567" w:firstLineChars="270"/>
        <w:rPr>
          <w:rFonts w:asciiTheme="minorEastAsia" w:hAnsiTheme="minorEastAsia" w:eastAsiaTheme="minorEastAsia"/>
          <w:szCs w:val="21"/>
        </w:rPr>
      </w:pPr>
      <w:r>
        <w:rPr>
          <w:rFonts w:hint="eastAsia" w:asciiTheme="minorEastAsia" w:hAnsiTheme="minorEastAsia" w:eastAsiaTheme="minorEastAsia"/>
          <w:szCs w:val="21"/>
        </w:rPr>
        <w:t xml:space="preserve">18）    </w:t>
      </w:r>
      <w:r>
        <w:rPr>
          <w:rFonts w:hint="eastAsia" w:ascii="宋体" w:hAnsi="宋体" w:cs="宋体"/>
        </w:rPr>
        <w:t>静音箱</w:t>
      </w:r>
      <w:r>
        <w:rPr>
          <w:rFonts w:hint="eastAsia" w:asciiTheme="minorEastAsia" w:hAnsiTheme="minorEastAsia" w:eastAsiaTheme="minorEastAsia"/>
          <w:szCs w:val="21"/>
        </w:rPr>
        <w:t>;</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1、柴油发电机组的主要参数、性能指标</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1.1 机组主用功率（或连续运行额定功率）为</w:t>
      </w:r>
      <w:r>
        <w:rPr>
          <w:rFonts w:hint="eastAsia" w:asciiTheme="minorEastAsia" w:hAnsiTheme="minorEastAsia" w:eastAsiaTheme="minorEastAsia"/>
          <w:szCs w:val="21"/>
        </w:rPr>
        <w:t>35</w:t>
      </w:r>
      <w:r>
        <w:rPr>
          <w:rFonts w:asciiTheme="minorEastAsia" w:hAnsiTheme="minorEastAsia" w:eastAsiaTheme="minorEastAsia"/>
          <w:szCs w:val="21"/>
        </w:rPr>
        <w:t>0KW，备用功率为</w:t>
      </w:r>
      <w:r>
        <w:rPr>
          <w:rFonts w:hint="eastAsia" w:asciiTheme="minorEastAsia" w:hAnsiTheme="minorEastAsia" w:eastAsiaTheme="minorEastAsia"/>
          <w:szCs w:val="21"/>
        </w:rPr>
        <w:t>385</w:t>
      </w:r>
      <w:r>
        <w:rPr>
          <w:rFonts w:asciiTheme="minorEastAsia" w:hAnsiTheme="minorEastAsia" w:eastAsiaTheme="minorEastAsia"/>
          <w:szCs w:val="21"/>
        </w:rPr>
        <w:t>KW，各</w:t>
      </w:r>
      <w:r>
        <w:rPr>
          <w:rFonts w:hint="eastAsia" w:asciiTheme="minorEastAsia" w:hAnsiTheme="minorEastAsia" w:eastAsiaTheme="minorEastAsia"/>
          <w:szCs w:val="21"/>
        </w:rPr>
        <w:t>竞选</w:t>
      </w:r>
      <w:r>
        <w:rPr>
          <w:rFonts w:asciiTheme="minorEastAsia" w:hAnsiTheme="minorEastAsia" w:eastAsiaTheme="minorEastAsia"/>
          <w:szCs w:val="21"/>
        </w:rPr>
        <w:t>人可用制造商相应规格的定型产品进行</w:t>
      </w:r>
      <w:r>
        <w:rPr>
          <w:rFonts w:hint="eastAsia" w:asciiTheme="minorEastAsia" w:hAnsiTheme="minorEastAsia" w:eastAsiaTheme="minorEastAsia"/>
          <w:szCs w:val="21"/>
        </w:rPr>
        <w:t>竞选</w:t>
      </w:r>
      <w:r>
        <w:rPr>
          <w:rFonts w:asciiTheme="minorEastAsia" w:hAnsiTheme="minorEastAsia" w:eastAsiaTheme="minorEastAsia"/>
          <w:szCs w:val="21"/>
        </w:rPr>
        <w:t>。</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1.2发电机组为柴油机、发电机、冷却风扇和水散热器、启动、控制系统安装在同一机架上的成套设备。</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1.3 电压：额定电压230/400（负载电压220/380）V，三相四线制</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1.4 额定频率： 50HZ</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1.5 额定转速：1500r/min 要求有电子调速装置。</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 xml:space="preserve">1.6 启动方式：24V电池启动，具备自动与手动两套操作，机组本身应具有应急手动与停机装置。 </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1.7机组性能等级：G3。</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1.8自动控制功能。机组应能实现自动启动，自动投入，自动并机及负载分配，自动撤出，自动停机，自动保护等各种控制功能。</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1.10机组不能出现漏水，漏油，漏气的现象，设备应有防潮措施。</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1.11 具有市电浮充功能。</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1.12机组应具有起动快、承受突加负荷能力强、运行可靠、调整性好、故障率低、低噪音、低震动、低污染、体积小、重量轻、维护方便等特点。</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1.13机组、排烟、供油系统由</w:t>
      </w:r>
      <w:r>
        <w:rPr>
          <w:rFonts w:hint="eastAsia" w:asciiTheme="minorEastAsia" w:hAnsiTheme="minorEastAsia" w:eastAsiaTheme="minorEastAsia"/>
          <w:szCs w:val="21"/>
        </w:rPr>
        <w:t>竞选</w:t>
      </w:r>
      <w:r>
        <w:rPr>
          <w:rFonts w:asciiTheme="minorEastAsia" w:hAnsiTheme="minorEastAsia" w:eastAsiaTheme="minorEastAsia"/>
          <w:szCs w:val="21"/>
        </w:rPr>
        <w:t xml:space="preserve">人根据现场情况作具体布置。 </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1.14明确柴油机和发电机各自的额定功率输出，柴油机的缸数等指标。</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1.15应注明所投柴油发电机组中的柴油机、发电机、控制系统的制造厂及产地。</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1.16明确提供的维修工具、备品备件（如机油滤清器、柴油滤清器、水滤清器等）。</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1.17</w:t>
      </w:r>
      <w:r>
        <w:rPr>
          <w:rFonts w:hint="eastAsia" w:asciiTheme="minorEastAsia" w:hAnsiTheme="minorEastAsia" w:eastAsiaTheme="minorEastAsia"/>
          <w:szCs w:val="21"/>
        </w:rPr>
        <w:t>竞选</w:t>
      </w:r>
      <w:r>
        <w:rPr>
          <w:rFonts w:asciiTheme="minorEastAsia" w:hAnsiTheme="minorEastAsia" w:eastAsiaTheme="minorEastAsia"/>
          <w:szCs w:val="21"/>
        </w:rPr>
        <w:t>人根据国家有关的规范及机组自身的要求，提供相应的配套设计图纸。</w:t>
      </w:r>
    </w:p>
    <w:p>
      <w:pPr>
        <w:spacing w:line="522" w:lineRule="exact"/>
        <w:ind w:firstLine="567" w:firstLineChars="270"/>
        <w:rPr>
          <w:rFonts w:asciiTheme="minorEastAsia" w:hAnsiTheme="minorEastAsia" w:eastAsiaTheme="minorEastAsia"/>
          <w:szCs w:val="21"/>
        </w:rPr>
      </w:pP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2、柴油发动机</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2.1发动机：美国卡特彼勒、美国康明斯电力（CUMMINS）、德国MTU、日本三菱，科勒</w:t>
      </w:r>
      <w:r>
        <w:rPr>
          <w:rFonts w:hint="eastAsia" w:asciiTheme="minorEastAsia" w:hAnsiTheme="minorEastAsia" w:eastAsiaTheme="minorEastAsia"/>
          <w:szCs w:val="21"/>
        </w:rPr>
        <w:t>或同等及以上品牌</w:t>
      </w:r>
      <w:r>
        <w:rPr>
          <w:rFonts w:asciiTheme="minorEastAsia" w:hAnsiTheme="minorEastAsia" w:eastAsiaTheme="minorEastAsia"/>
          <w:szCs w:val="21"/>
        </w:rPr>
        <w:t>。</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2.2 额定功率：≥</w:t>
      </w:r>
      <w:r>
        <w:rPr>
          <w:rFonts w:hint="eastAsia" w:asciiTheme="minorEastAsia" w:hAnsiTheme="minorEastAsia" w:eastAsiaTheme="minorEastAsia"/>
          <w:szCs w:val="21"/>
        </w:rPr>
        <w:t>402.5</w:t>
      </w:r>
      <w:r>
        <w:rPr>
          <w:rFonts w:asciiTheme="minorEastAsia" w:hAnsiTheme="minorEastAsia" w:eastAsiaTheme="minorEastAsia"/>
          <w:szCs w:val="21"/>
        </w:rPr>
        <w:t>KW，备用功率≥</w:t>
      </w:r>
      <w:r>
        <w:rPr>
          <w:rFonts w:hint="eastAsia" w:asciiTheme="minorEastAsia" w:hAnsiTheme="minorEastAsia" w:eastAsiaTheme="minorEastAsia"/>
          <w:szCs w:val="21"/>
        </w:rPr>
        <w:t>442.8</w:t>
      </w:r>
      <w:r>
        <w:rPr>
          <w:rFonts w:asciiTheme="minorEastAsia" w:hAnsiTheme="minorEastAsia" w:eastAsiaTheme="minorEastAsia"/>
          <w:szCs w:val="21"/>
        </w:rPr>
        <w:t>KW</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2.3 额定转速：1500r/min</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2.4 工作循环：四冲程</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2.5 进汽方式：涡轮增压</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2.6 汽缸排列：≥</w:t>
      </w:r>
      <w:r>
        <w:rPr>
          <w:rFonts w:hint="eastAsia" w:asciiTheme="minorEastAsia" w:hAnsiTheme="minorEastAsia" w:eastAsiaTheme="minorEastAsia"/>
          <w:szCs w:val="21"/>
        </w:rPr>
        <w:t>6</w:t>
      </w:r>
      <w:r>
        <w:rPr>
          <w:rFonts w:asciiTheme="minorEastAsia" w:hAnsiTheme="minorEastAsia" w:eastAsiaTheme="minorEastAsia"/>
          <w:szCs w:val="21"/>
        </w:rPr>
        <w:t>缸V列</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2.7 排量：≥</w:t>
      </w:r>
      <w:r>
        <w:rPr>
          <w:rFonts w:hint="eastAsia" w:asciiTheme="minorEastAsia" w:hAnsiTheme="minorEastAsia" w:eastAsiaTheme="minorEastAsia"/>
          <w:szCs w:val="21"/>
        </w:rPr>
        <w:t>15</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 xml:space="preserve">2.8 冷却方式：闭式循环水冷却，自带水箱风扇散热。 </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2.9 调速方式：</w:t>
      </w:r>
      <w:r>
        <w:rPr>
          <w:rFonts w:hint="eastAsia" w:ascii="宋体" w:hAnsi="宋体" w:cs="宋体"/>
        </w:rPr>
        <w:t>采用电喷控制方式调速</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2.10方式：发动机需配套</w:t>
      </w:r>
      <w:r>
        <w:rPr>
          <w:rFonts w:ascii="宋体" w:hAnsi="宋体" w:cs="宋体"/>
        </w:rPr>
        <w:t>40</w:t>
      </w:r>
      <w:r>
        <w:rPr>
          <w:rFonts w:hint="eastAsia" w:ascii="宋体" w:hAnsi="宋体" w:cs="宋体"/>
        </w:rPr>
        <w:t>℃铜质</w:t>
      </w:r>
      <w:r>
        <w:rPr>
          <w:rFonts w:asciiTheme="minorEastAsia" w:hAnsiTheme="minorEastAsia" w:eastAsiaTheme="minorEastAsia"/>
          <w:szCs w:val="21"/>
        </w:rPr>
        <w:t>散热水箱</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3、发电机</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3.1发电机：斯坦福、马拉松、利莱森玛、科勒</w:t>
      </w:r>
      <w:r>
        <w:rPr>
          <w:rFonts w:hint="eastAsia" w:asciiTheme="minorEastAsia" w:hAnsiTheme="minorEastAsia" w:eastAsiaTheme="minorEastAsia"/>
          <w:szCs w:val="21"/>
        </w:rPr>
        <w:t>或同等及以上品牌</w:t>
      </w:r>
      <w:r>
        <w:rPr>
          <w:rFonts w:asciiTheme="minorEastAsia" w:hAnsiTheme="minorEastAsia" w:eastAsiaTheme="minorEastAsia"/>
          <w:szCs w:val="21"/>
        </w:rPr>
        <w:t>；</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3.2 额定容量：</w:t>
      </w:r>
      <w:r>
        <w:rPr>
          <w:rFonts w:hint="eastAsia" w:ascii="宋体" w:hAnsi="宋体" w:cs="宋体"/>
        </w:rPr>
        <w:t>大于等于</w:t>
      </w:r>
      <w:r>
        <w:rPr>
          <w:rFonts w:ascii="宋体" w:hAnsi="宋体" w:cs="宋体"/>
        </w:rPr>
        <w:t>350KW(</w:t>
      </w:r>
      <w:r>
        <w:rPr>
          <w:rFonts w:hint="eastAsia" w:ascii="宋体" w:hAnsi="宋体" w:cs="宋体"/>
        </w:rPr>
        <w:t>主用功率</w:t>
      </w:r>
      <w:r>
        <w:rPr>
          <w:rFonts w:ascii="宋体" w:hAnsi="宋体" w:cs="宋体"/>
        </w:rPr>
        <w:t>)</w:t>
      </w:r>
      <w:r>
        <w:rPr>
          <w:rFonts w:hint="eastAsia" w:ascii="宋体" w:hAnsi="宋体" w:cs="宋体"/>
        </w:rPr>
        <w:t>，具有每</w:t>
      </w:r>
      <w:r>
        <w:rPr>
          <w:rFonts w:ascii="宋体" w:hAnsi="宋体" w:cs="宋体"/>
        </w:rPr>
        <w:t>12</w:t>
      </w:r>
      <w:r>
        <w:rPr>
          <w:rFonts w:hint="eastAsia" w:ascii="宋体" w:hAnsi="宋体" w:cs="宋体"/>
        </w:rPr>
        <w:t>小时，</w:t>
      </w:r>
      <w:r>
        <w:rPr>
          <w:rFonts w:ascii="宋体" w:hAnsi="宋体" w:cs="宋体"/>
        </w:rPr>
        <w:t>110%</w:t>
      </w:r>
      <w:r>
        <w:rPr>
          <w:rFonts w:hint="eastAsia" w:ascii="宋体" w:hAnsi="宋体" w:cs="宋体"/>
        </w:rPr>
        <w:t>负载运行</w:t>
      </w:r>
      <w:r>
        <w:rPr>
          <w:rFonts w:ascii="宋体" w:hAnsi="宋体" w:cs="宋体"/>
        </w:rPr>
        <w:t>1</w:t>
      </w:r>
      <w:r>
        <w:rPr>
          <w:rFonts w:hint="eastAsia" w:ascii="宋体" w:hAnsi="宋体" w:cs="宋体"/>
        </w:rPr>
        <w:t>小时的能力</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3.3 额定频率：50Hz</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3.4 励磁方式：永磁发电机</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3.5 电压调节：自动电压调节AVR</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3.6 相数：三相四线制</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3.7 防护等级： IP 23</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3.8 绝缘等级：H级绝缘</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3.9波形畸变率：≤5%</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3.10短路电流能力：300% ：10S</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3.11电话影响因数（TIF）小于50，电磁影响（THF）小于2％。</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3.12 发电机带下垂互感器，用于并机使用。</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4、控制器</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4.1控制器为：卡特彼勒、康明斯、科勒、英国深海、科迈</w:t>
      </w:r>
      <w:r>
        <w:rPr>
          <w:rFonts w:hint="eastAsia" w:asciiTheme="minorEastAsia" w:hAnsiTheme="minorEastAsia" w:eastAsiaTheme="minorEastAsia"/>
          <w:szCs w:val="21"/>
        </w:rPr>
        <w:t>或同等及以上品牌</w:t>
      </w:r>
      <w:r>
        <w:rPr>
          <w:rFonts w:asciiTheme="minorEastAsia" w:hAnsiTheme="minorEastAsia" w:eastAsiaTheme="minorEastAsia"/>
          <w:szCs w:val="21"/>
        </w:rPr>
        <w:t xml:space="preserve">； </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4.2控制屏必须有以下操作功能按钮：启动、停机、手动模式、自动模式、报警消音、</w:t>
      </w:r>
      <w:r>
        <w:rPr>
          <w:rFonts w:hint="eastAsia" w:asciiTheme="minorEastAsia" w:hAnsiTheme="minorEastAsia" w:eastAsiaTheme="minorEastAsia"/>
          <w:szCs w:val="21"/>
        </w:rPr>
        <w:t>菜</w:t>
      </w:r>
      <w:r>
        <w:rPr>
          <w:rFonts w:asciiTheme="minorEastAsia" w:hAnsiTheme="minorEastAsia" w:eastAsiaTheme="minorEastAsia"/>
          <w:szCs w:val="21"/>
        </w:rPr>
        <w:t>单导航按钮、紧急停机按钮、试灯/复位按钮。</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4.3控制屏必须有以下状态指示灯：停机状态、手动模式状态、自动模式状态、发电正常、发电供电状态、远程启动信号、故障信号、高水温、低油压、超速。</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4.4控制屏必须显示以下机组运行参数：三相电压、三相电流、频率、功率因素、视在功率、有功功率、无功功率、电度表（KWh、KVA h、KVArh）、发动机转速、机油压力、冷却水温、电池电压、运行小时、发动机启动次数。</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4.5控制屏必须有故障事件日志记录功能，事件记录≥200条，便于故障查找维护。</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4.6 控制屏具有自动启动和停机功能，具备自动和手动的停机功能；报警和停机功能应符合ISO8528和BS7689标准。</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4.7  具有油机启动延时时间可调功能，0～60秒。</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4.8  具有油机停机延时时间可调功能，0～60秒。</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4.9 LCD液晶显示器，像素≥132×64，支持多语言显示</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4.10 防护等级≥IP65</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4.11 可以通过USB接口连接到电脑，方便参数设置</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4.12. 控制系统除了具有柴油发电机组启停及相应的监测保护功能外，还能实现两台机组的全自动同步并联及负载分配功能；</w:t>
      </w:r>
    </w:p>
    <w:p>
      <w:pPr>
        <w:spacing w:line="522" w:lineRule="exact"/>
        <w:ind w:firstLine="567" w:firstLineChars="270"/>
        <w:rPr>
          <w:rFonts w:asciiTheme="minorEastAsia" w:hAnsiTheme="minorEastAsia" w:eastAsiaTheme="minorEastAsia"/>
          <w:szCs w:val="21"/>
        </w:rPr>
      </w:pP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5、其他技术参数和性能要求：</w:t>
      </w:r>
    </w:p>
    <w:p>
      <w:pPr>
        <w:spacing w:line="522" w:lineRule="exact"/>
        <w:ind w:firstLine="567" w:firstLineChars="27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1）通风排风系统：</w:t>
      </w:r>
    </w:p>
    <w:p>
      <w:pPr>
        <w:spacing w:line="522" w:lineRule="exact"/>
        <w:ind w:firstLine="567" w:firstLineChars="270"/>
        <w:rPr>
          <w:rFonts w:asciiTheme="minorEastAsia" w:hAnsiTheme="minorEastAsia" w:eastAsiaTheme="minorEastAsia"/>
          <w:szCs w:val="21"/>
        </w:rPr>
      </w:pPr>
      <w:r>
        <w:rPr>
          <w:rFonts w:hint="eastAsia" w:asciiTheme="minorEastAsia" w:hAnsiTheme="minorEastAsia" w:eastAsiaTheme="minorEastAsia"/>
          <w:szCs w:val="21"/>
        </w:rPr>
        <w:t>竞选人应根据现场情况进行机组本身的排烟及排风管路的二次设计，并能提供相应设备、配件及安装。</w:t>
      </w:r>
    </w:p>
    <w:p>
      <w:pPr>
        <w:spacing w:line="522" w:lineRule="exact"/>
        <w:ind w:firstLine="567" w:firstLineChars="27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2）启动系：</w:t>
      </w:r>
    </w:p>
    <w:p>
      <w:pPr>
        <w:spacing w:line="522" w:lineRule="exact"/>
        <w:ind w:firstLine="567" w:firstLineChars="270"/>
        <w:rPr>
          <w:rFonts w:asciiTheme="minorEastAsia" w:hAnsiTheme="minorEastAsia" w:eastAsiaTheme="minorEastAsia"/>
          <w:szCs w:val="21"/>
        </w:rPr>
      </w:pPr>
      <w:r>
        <w:rPr>
          <w:rFonts w:hint="eastAsia" w:asciiTheme="minorEastAsia" w:hAnsiTheme="minorEastAsia" w:eastAsiaTheme="minorEastAsia"/>
          <w:szCs w:val="21"/>
        </w:rPr>
        <w:t>直流电启动。设有直触式起动马达和柴油机带动的充电机。蓄电池的容量应满足不少于</w:t>
      </w:r>
      <w:r>
        <w:rPr>
          <w:rFonts w:asciiTheme="minorEastAsia" w:hAnsiTheme="minorEastAsia" w:eastAsiaTheme="minorEastAsia"/>
          <w:szCs w:val="21"/>
        </w:rPr>
        <w:t>6次连续启动。</w:t>
      </w:r>
    </w:p>
    <w:p>
      <w:pPr>
        <w:spacing w:line="522" w:lineRule="exact"/>
        <w:ind w:firstLine="567" w:firstLineChars="27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3）消音器：</w:t>
      </w:r>
    </w:p>
    <w:p>
      <w:pPr>
        <w:spacing w:line="522" w:lineRule="exact"/>
        <w:ind w:firstLine="567" w:firstLineChars="270"/>
        <w:rPr>
          <w:rFonts w:asciiTheme="minorEastAsia" w:hAnsiTheme="minorEastAsia" w:eastAsiaTheme="minorEastAsia"/>
          <w:szCs w:val="21"/>
        </w:rPr>
      </w:pPr>
      <w:r>
        <w:rPr>
          <w:rFonts w:hint="eastAsia" w:asciiTheme="minorEastAsia" w:hAnsiTheme="minorEastAsia" w:eastAsiaTheme="minorEastAsia"/>
          <w:szCs w:val="21"/>
        </w:rPr>
        <w:t>采用工业型消音器，带冷凝物质排泄口及螺塞。</w:t>
      </w:r>
    </w:p>
    <w:p>
      <w:pPr>
        <w:spacing w:line="522" w:lineRule="exact"/>
        <w:ind w:firstLine="567" w:firstLineChars="27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4）带防护罩的散热器（带连接法兰）</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6、柴油发电机组的综合性能</w:t>
      </w:r>
    </w:p>
    <w:p>
      <w:pPr>
        <w:spacing w:line="522" w:lineRule="exact"/>
        <w:ind w:firstLine="567" w:firstLineChars="270"/>
        <w:rPr>
          <w:rFonts w:asciiTheme="minorEastAsia" w:hAnsiTheme="minorEastAsia" w:eastAsiaTheme="minorEastAsia"/>
          <w:szCs w:val="21"/>
        </w:rPr>
      </w:pPr>
      <w:r>
        <w:rPr>
          <w:rFonts w:hint="eastAsia" w:asciiTheme="minorEastAsia" w:hAnsiTheme="minorEastAsia" w:eastAsiaTheme="minorEastAsia"/>
          <w:szCs w:val="21"/>
        </w:rPr>
        <w:t>设备必须是应急启动性能好、运行稳定、低噪音、高排放标准、高经济性、安全可靠、维护方便、技术先进的产品，并且能够</w:t>
      </w:r>
      <w:r>
        <w:rPr>
          <w:rFonts w:asciiTheme="minorEastAsia" w:hAnsiTheme="minorEastAsia" w:eastAsiaTheme="minorEastAsia"/>
          <w:szCs w:val="21"/>
        </w:rPr>
        <w:t>24小时以上连续工作。</w:t>
      </w:r>
    </w:p>
    <w:p>
      <w:pPr>
        <w:spacing w:line="522" w:lineRule="exact"/>
        <w:ind w:firstLine="567" w:firstLineChars="270"/>
        <w:rPr>
          <w:rFonts w:asciiTheme="minorEastAsia" w:hAnsiTheme="minorEastAsia" w:eastAsiaTheme="minorEastAsia"/>
          <w:szCs w:val="21"/>
        </w:rPr>
      </w:pPr>
      <w:r>
        <w:rPr>
          <w:rFonts w:hint="eastAsia" w:asciiTheme="minorEastAsia" w:hAnsiTheme="minorEastAsia" w:eastAsiaTheme="minorEastAsia"/>
          <w:szCs w:val="21"/>
        </w:rPr>
        <w:t>断路器：采用智能式框架断路器（断路器型号符合配电系统图进线主开关要求），要求采用国际知名品牌（</w:t>
      </w:r>
      <w:r>
        <w:rPr>
          <w:rFonts w:asciiTheme="minorEastAsia" w:hAnsiTheme="minorEastAsia" w:eastAsiaTheme="minorEastAsia"/>
          <w:szCs w:val="21"/>
        </w:rPr>
        <w:t>ABB、施耐德（Schneider）、西门子）。</w:t>
      </w:r>
    </w:p>
    <w:p>
      <w:pPr>
        <w:spacing w:line="522" w:lineRule="exact"/>
        <w:ind w:firstLine="567" w:firstLineChars="270"/>
        <w:rPr>
          <w:rFonts w:asciiTheme="minorEastAsia" w:hAnsiTheme="minorEastAsia" w:eastAsiaTheme="minorEastAsia"/>
          <w:szCs w:val="21"/>
        </w:rPr>
      </w:pPr>
      <w:r>
        <w:rPr>
          <w:rFonts w:hint="eastAsia" w:asciiTheme="minorEastAsia" w:hAnsiTheme="minorEastAsia" w:eastAsiaTheme="minorEastAsia"/>
          <w:szCs w:val="21"/>
        </w:rPr>
        <w:t>备有免维护的高性能电池连续多次起动，可由柴油机带动充电及市电充电，并带有防止过充电功能的电池充电机。</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7、降噪要求</w:t>
      </w:r>
    </w:p>
    <w:p>
      <w:pPr>
        <w:spacing w:line="522" w:lineRule="exact"/>
        <w:ind w:firstLine="567" w:firstLineChars="270"/>
        <w:rPr>
          <w:rFonts w:asciiTheme="minorEastAsia" w:hAnsiTheme="minorEastAsia" w:eastAsiaTheme="minorEastAsia"/>
          <w:szCs w:val="21"/>
        </w:rPr>
      </w:pPr>
      <w:r>
        <w:rPr>
          <w:rFonts w:hint="eastAsia" w:asciiTheme="minorEastAsia" w:hAnsiTheme="minorEastAsia" w:eastAsiaTheme="minorEastAsia"/>
          <w:szCs w:val="21"/>
        </w:rPr>
        <w:t>除应满足工艺要求外，发电机房还应采取隔声、隔噪措施，其噪声对周围建筑物的影响不得超过城市区域环境噪声标准（</w:t>
      </w:r>
      <w:r>
        <w:rPr>
          <w:rFonts w:asciiTheme="minorEastAsia" w:hAnsiTheme="minorEastAsia" w:eastAsiaTheme="minorEastAsia"/>
          <w:szCs w:val="21"/>
        </w:rPr>
        <w:t>GB3096-2008）（1类）（见附录）的规定，应采取以下措施：</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7.1机房防尘降噪系统竣工后，机组产生的机械噪音噪音应满足国家及当地环保部门的检测验收要求并通过验收（白天55db,晚上45db）。</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7.2柴油发电机房隔音、隔噪工程设计及施工执行标准</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 xml:space="preserve">1）．《高层民用建筑设计防火规范》(2005版)GB50045-1995； </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 xml:space="preserve">2）．《工业企业噪声控制设计规范》GBJ87-85； </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 xml:space="preserve">3）．《声环境质量标准》GB3096-2008； </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 xml:space="preserve">4）．《通风与空调工程施工质量验收规范》GB50243-2002； </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 xml:space="preserve">5）．《工业金属管道工程施工及验收规范》GB50235-2010； </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 xml:space="preserve">6）．《建筑给水排水及采暖工程施工及验收规范》GB50242-2002； </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 xml:space="preserve">7）．《装饰装修工程质量验收规范》GB50210-2001； </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 xml:space="preserve">8）．中国国家消防局及重庆市消防局的有关条例。 </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7.3机组应具有可靠的减震系统，在机房的上层及下层楼层均不得令人在白天有振动感。</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7.4排烟口需做防鼠防雨处理，室内管道作保温隔热处理；</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7.5降噪处理后,带载功率不低于要求的额定功率（主用</w:t>
      </w:r>
      <w:r>
        <w:rPr>
          <w:rFonts w:hint="eastAsia" w:asciiTheme="minorEastAsia" w:hAnsiTheme="minorEastAsia" w:eastAsiaTheme="minorEastAsia"/>
          <w:szCs w:val="21"/>
        </w:rPr>
        <w:t>35</w:t>
      </w:r>
      <w:r>
        <w:rPr>
          <w:rFonts w:asciiTheme="minorEastAsia" w:hAnsiTheme="minorEastAsia" w:eastAsiaTheme="minorEastAsia"/>
          <w:szCs w:val="21"/>
        </w:rPr>
        <w:t>0KW）。</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7.6所有连接件（如排烟管、螺纹管、油管、水管等）、所有支撑架（必须容许管子伸缩）及与墙面或设备接触的地方，需采用柔性连接和减震措施;金属结构件和支架（采用厚3mm以上的钢型材）外表面经除油、除锈和磷化处理后，表面喷涂环氧树脂粉末或涂两遍银粉。</w:t>
      </w:r>
    </w:p>
    <w:p>
      <w:pPr>
        <w:spacing w:line="522" w:lineRule="exact"/>
        <w:ind w:firstLine="567" w:firstLineChars="270"/>
        <w:rPr>
          <w:rFonts w:asciiTheme="minorEastAsia" w:hAnsiTheme="minorEastAsia" w:eastAsiaTheme="minorEastAsia"/>
          <w:szCs w:val="21"/>
        </w:rPr>
      </w:pPr>
      <w:r>
        <w:rPr>
          <w:rFonts w:asciiTheme="minorEastAsia" w:hAnsiTheme="minorEastAsia" w:eastAsiaTheme="minorEastAsia"/>
          <w:szCs w:val="21"/>
        </w:rPr>
        <w:t>7.7降噪主体单元的使用寿命应保证10年以上；质量保证期内由于卖方的原因(选材不当、设计错误、制造不良、组装不好等)致使设备到现场在安装和运行过程中出现缺陷和损坏时，卖方应自费到现场免费修理或更换。</w:t>
      </w:r>
    </w:p>
    <w:p>
      <w:pPr>
        <w:jc w:val="center"/>
        <w:outlineLvl w:val="1"/>
        <w:rPr>
          <w:rFonts w:ascii="宋体"/>
          <w:b/>
          <w:sz w:val="44"/>
          <w:szCs w:val="44"/>
        </w:rPr>
      </w:pPr>
      <w:bookmarkStart w:id="161" w:name="_Toc20787"/>
      <w:r>
        <w:rPr>
          <w:rFonts w:asciiTheme="minorEastAsia" w:hAnsiTheme="minorEastAsia" w:eastAsiaTheme="minorEastAsia"/>
          <w:szCs w:val="21"/>
        </w:rPr>
        <w:t>7.8提供详细安装工程、降噪工程方案和详细的材料清单（并通过相应系统的详细图纸）</w:t>
      </w:r>
      <w:r>
        <w:rPr>
          <w:rFonts w:ascii="宋体"/>
          <w:b/>
          <w:sz w:val="44"/>
          <w:szCs w:val="44"/>
        </w:rPr>
        <w:br w:type="page"/>
      </w:r>
      <w:r>
        <w:rPr>
          <w:rFonts w:hint="eastAsia" w:ascii="宋体" w:hAnsi="宋体"/>
          <w:b/>
          <w:sz w:val="44"/>
          <w:szCs w:val="44"/>
        </w:rPr>
        <w:t>第六章</w:t>
      </w:r>
      <w:bookmarkEnd w:id="155"/>
      <w:bookmarkEnd w:id="156"/>
      <w:bookmarkEnd w:id="157"/>
      <w:bookmarkEnd w:id="158"/>
      <w:bookmarkEnd w:id="159"/>
      <w:r>
        <w:rPr>
          <w:rFonts w:hint="eastAsia" w:ascii="宋体" w:hAnsi="宋体"/>
          <w:b/>
          <w:sz w:val="44"/>
          <w:szCs w:val="44"/>
        </w:rPr>
        <w:t>竞选文件格式</w:t>
      </w:r>
      <w:bookmarkEnd w:id="160"/>
      <w:bookmarkEnd w:id="161"/>
    </w:p>
    <w:p>
      <w:pPr>
        <w:jc w:val="center"/>
        <w:rPr>
          <w:rFonts w:ascii="宋体"/>
          <w:b/>
          <w:sz w:val="28"/>
          <w:szCs w:val="28"/>
        </w:rPr>
      </w:pPr>
      <w:r>
        <w:rPr>
          <w:rFonts w:ascii="宋体"/>
          <w:b/>
          <w:sz w:val="28"/>
          <w:szCs w:val="28"/>
        </w:rPr>
        <w:br w:type="page"/>
      </w:r>
    </w:p>
    <w:p>
      <w:pPr>
        <w:jc w:val="center"/>
        <w:rPr>
          <w:rFonts w:ascii="宋体"/>
          <w:b/>
          <w:sz w:val="28"/>
          <w:szCs w:val="28"/>
        </w:rPr>
      </w:pPr>
      <w:r>
        <w:rPr>
          <w:rFonts w:hint="eastAsia" w:ascii="宋体" w:hAnsi="宋体"/>
          <w:b/>
          <w:sz w:val="28"/>
          <w:szCs w:val="28"/>
          <w:u w:val="single"/>
        </w:rPr>
        <w:t>（项目名称）</w:t>
      </w:r>
      <w:r>
        <w:rPr>
          <w:rFonts w:hint="eastAsia" w:ascii="宋体" w:hAnsi="宋体"/>
          <w:b/>
          <w:sz w:val="28"/>
          <w:szCs w:val="28"/>
        </w:rPr>
        <w:t>比选</w:t>
      </w:r>
    </w:p>
    <w:p>
      <w:pPr>
        <w:jc w:val="center"/>
        <w:rPr>
          <w:rFonts w:ascii="宋体"/>
          <w:b/>
          <w:sz w:val="28"/>
          <w:szCs w:val="28"/>
        </w:rPr>
      </w:pPr>
    </w:p>
    <w:p>
      <w:pPr>
        <w:jc w:val="center"/>
        <w:rPr>
          <w:rFonts w:ascii="宋体"/>
          <w:b/>
          <w:sz w:val="28"/>
          <w:szCs w:val="28"/>
        </w:rPr>
      </w:pPr>
    </w:p>
    <w:p>
      <w:pPr>
        <w:jc w:val="center"/>
        <w:rPr>
          <w:rFonts w:ascii="宋体"/>
          <w:b/>
          <w:sz w:val="28"/>
          <w:szCs w:val="28"/>
        </w:rPr>
      </w:pPr>
    </w:p>
    <w:p>
      <w:pPr>
        <w:jc w:val="center"/>
        <w:rPr>
          <w:rFonts w:ascii="宋体"/>
          <w:b/>
          <w:sz w:val="28"/>
          <w:szCs w:val="28"/>
        </w:rPr>
      </w:pPr>
    </w:p>
    <w:p>
      <w:pPr>
        <w:jc w:val="center"/>
        <w:rPr>
          <w:rFonts w:ascii="宋体"/>
          <w:b/>
          <w:sz w:val="28"/>
          <w:szCs w:val="28"/>
        </w:rPr>
      </w:pPr>
    </w:p>
    <w:p>
      <w:pPr>
        <w:jc w:val="center"/>
        <w:rPr>
          <w:rFonts w:ascii="宋体"/>
          <w:b/>
          <w:sz w:val="20"/>
          <w:szCs w:val="20"/>
        </w:rPr>
      </w:pPr>
    </w:p>
    <w:p>
      <w:pPr>
        <w:rPr>
          <w:rFonts w:ascii="宋体"/>
          <w:b/>
          <w:sz w:val="20"/>
          <w:szCs w:val="20"/>
        </w:rPr>
      </w:pPr>
    </w:p>
    <w:p>
      <w:pPr>
        <w:jc w:val="center"/>
        <w:rPr>
          <w:rFonts w:ascii="宋体"/>
          <w:b/>
          <w:sz w:val="44"/>
          <w:szCs w:val="44"/>
        </w:rPr>
      </w:pPr>
      <w:r>
        <w:rPr>
          <w:rFonts w:hint="eastAsia" w:ascii="宋体" w:hAnsi="宋体"/>
          <w:b/>
          <w:sz w:val="44"/>
          <w:szCs w:val="44"/>
        </w:rPr>
        <w:t>竞选文件</w:t>
      </w:r>
    </w:p>
    <w:p>
      <w:pPr>
        <w:rPr>
          <w:rFonts w:ascii="宋体"/>
          <w:sz w:val="28"/>
          <w:szCs w:val="28"/>
        </w:rPr>
      </w:pPr>
    </w:p>
    <w:p>
      <w:pPr>
        <w:rPr>
          <w:rFonts w:ascii="宋体"/>
          <w:sz w:val="28"/>
          <w:szCs w:val="28"/>
        </w:rPr>
      </w:pPr>
    </w:p>
    <w:p>
      <w:pPr>
        <w:rPr>
          <w:rFonts w:ascii="宋体"/>
          <w:sz w:val="28"/>
          <w:szCs w:val="28"/>
        </w:rPr>
      </w:pPr>
    </w:p>
    <w:p>
      <w:pPr>
        <w:rPr>
          <w:rFonts w:ascii="宋体"/>
          <w:sz w:val="28"/>
          <w:szCs w:val="28"/>
        </w:rPr>
      </w:pPr>
    </w:p>
    <w:p>
      <w:pPr>
        <w:rPr>
          <w:rFonts w:ascii="宋体"/>
          <w:sz w:val="28"/>
          <w:szCs w:val="28"/>
        </w:rPr>
      </w:pPr>
    </w:p>
    <w:p>
      <w:pPr>
        <w:rPr>
          <w:rFonts w:ascii="宋体"/>
          <w:sz w:val="28"/>
          <w:szCs w:val="28"/>
        </w:rPr>
      </w:pPr>
    </w:p>
    <w:p>
      <w:pPr>
        <w:rPr>
          <w:rFonts w:ascii="宋体"/>
          <w:sz w:val="28"/>
          <w:szCs w:val="28"/>
        </w:rPr>
      </w:pPr>
    </w:p>
    <w:p>
      <w:pPr>
        <w:jc w:val="center"/>
        <w:rPr>
          <w:rFonts w:ascii="宋体"/>
          <w:b/>
          <w:sz w:val="28"/>
          <w:szCs w:val="28"/>
          <w:u w:val="single"/>
        </w:rPr>
      </w:pPr>
      <w:r>
        <w:rPr>
          <w:rFonts w:hint="eastAsia" w:ascii="宋体" w:hAnsi="宋体"/>
          <w:b/>
          <w:sz w:val="28"/>
          <w:szCs w:val="28"/>
        </w:rPr>
        <w:t>竞选人：</w:t>
      </w:r>
      <w:r>
        <w:rPr>
          <w:rFonts w:hint="eastAsia" w:ascii="宋体" w:hAnsi="宋体"/>
          <w:b/>
          <w:sz w:val="28"/>
          <w:szCs w:val="28"/>
          <w:u w:val="single"/>
        </w:rPr>
        <w:t>（盖单位章）</w:t>
      </w:r>
    </w:p>
    <w:p>
      <w:pPr>
        <w:jc w:val="center"/>
        <w:rPr>
          <w:rFonts w:ascii="宋体"/>
          <w:b/>
          <w:sz w:val="28"/>
          <w:szCs w:val="28"/>
          <w:u w:val="single"/>
        </w:rPr>
      </w:pPr>
      <w:r>
        <w:rPr>
          <w:rFonts w:hint="eastAsia" w:ascii="宋体" w:hAnsi="宋体"/>
          <w:b/>
          <w:sz w:val="28"/>
          <w:szCs w:val="28"/>
        </w:rPr>
        <w:t>法定代表人或其委托代理人：</w:t>
      </w:r>
      <w:r>
        <w:rPr>
          <w:rFonts w:hint="eastAsia" w:ascii="宋体" w:hAnsi="宋体"/>
          <w:b/>
          <w:sz w:val="28"/>
          <w:szCs w:val="28"/>
          <w:u w:val="single"/>
        </w:rPr>
        <w:t>（签字）</w:t>
      </w:r>
    </w:p>
    <w:p>
      <w:pPr>
        <w:jc w:val="center"/>
        <w:rPr>
          <w:rFonts w:ascii="宋体"/>
          <w:b/>
          <w:sz w:val="28"/>
          <w:szCs w:val="28"/>
        </w:rPr>
      </w:pPr>
      <w:r>
        <w:rPr>
          <w:rFonts w:hint="eastAsia" w:ascii="宋体" w:hAnsi="宋体"/>
          <w:b/>
          <w:sz w:val="28"/>
          <w:szCs w:val="28"/>
        </w:rPr>
        <w:t>年月日</w:t>
      </w:r>
    </w:p>
    <w:p>
      <w:pPr>
        <w:spacing w:line="440" w:lineRule="exact"/>
        <w:rPr>
          <w:rFonts w:ascii="宋体"/>
          <w:sz w:val="20"/>
          <w:szCs w:val="20"/>
        </w:rPr>
      </w:pPr>
    </w:p>
    <w:p>
      <w:pPr>
        <w:spacing w:line="400" w:lineRule="exact"/>
        <w:rPr>
          <w:rFonts w:ascii="宋体"/>
        </w:rPr>
      </w:pPr>
      <w:r>
        <w:rPr>
          <w:rFonts w:ascii="宋体"/>
        </w:rPr>
        <w:br w:type="page"/>
      </w:r>
    </w:p>
    <w:p>
      <w:pPr>
        <w:pStyle w:val="27"/>
        <w:spacing w:line="500" w:lineRule="exact"/>
        <w:jc w:val="center"/>
        <w:outlineLvl w:val="3"/>
        <w:rPr>
          <w:rFonts w:ascii="宋体" w:hAnsi="宋体" w:eastAsia="宋体" w:cs="Times New Roman"/>
          <w:b/>
          <w:szCs w:val="28"/>
        </w:rPr>
      </w:pPr>
      <w:bookmarkStart w:id="162" w:name="_Toc144974856"/>
      <w:bookmarkStart w:id="163" w:name="_Toc152042576"/>
      <w:bookmarkStart w:id="164" w:name="_Toc152045787"/>
      <w:bookmarkStart w:id="165" w:name="_Toc375734923"/>
      <w:bookmarkStart w:id="166" w:name="_Toc17153"/>
      <w:bookmarkStart w:id="167" w:name="_Toc21735"/>
      <w:bookmarkStart w:id="168" w:name="_Toc719"/>
      <w:bookmarkStart w:id="169" w:name="_Toc238552299"/>
      <w:bookmarkStart w:id="170" w:name="_Toc238797661"/>
      <w:bookmarkStart w:id="171" w:name="_Toc426025453"/>
      <w:bookmarkStart w:id="172" w:name="_Toc405994632"/>
      <w:bookmarkStart w:id="173" w:name="_Toc416769002"/>
      <w:r>
        <w:rPr>
          <w:rFonts w:hint="eastAsia" w:ascii="宋体" w:hAnsi="宋体" w:eastAsia="宋体" w:cs="Times New Roman"/>
          <w:b/>
          <w:szCs w:val="28"/>
        </w:rPr>
        <w:t>目录</w:t>
      </w:r>
      <w:bookmarkEnd w:id="162"/>
      <w:bookmarkEnd w:id="163"/>
      <w:bookmarkEnd w:id="164"/>
      <w:bookmarkEnd w:id="165"/>
      <w:bookmarkEnd w:id="166"/>
      <w:bookmarkEnd w:id="167"/>
      <w:bookmarkEnd w:id="168"/>
      <w:bookmarkEnd w:id="169"/>
      <w:bookmarkEnd w:id="170"/>
      <w:bookmarkEnd w:id="171"/>
      <w:bookmarkEnd w:id="172"/>
      <w:bookmarkEnd w:id="173"/>
    </w:p>
    <w:p>
      <w:pPr>
        <w:spacing w:line="360" w:lineRule="auto"/>
        <w:rPr>
          <w:rFonts w:ascii="宋体"/>
          <w:kern w:val="0"/>
          <w:szCs w:val="21"/>
        </w:rPr>
      </w:pPr>
    </w:p>
    <w:p>
      <w:pPr>
        <w:pStyle w:val="6"/>
        <w:spacing w:before="71"/>
        <w:rPr>
          <w:rFonts w:asciiTheme="minorEastAsia" w:hAnsiTheme="minorEastAsia" w:eastAsiaTheme="minorEastAsia"/>
        </w:rPr>
      </w:pPr>
      <w:r>
        <w:rPr>
          <w:rFonts w:hint="eastAsia" w:asciiTheme="minorEastAsia" w:hAnsiTheme="minorEastAsia" w:eastAsiaTheme="minorEastAsia"/>
        </w:rPr>
        <w:t>一、竞选</w:t>
      </w:r>
      <w:r>
        <w:rPr>
          <w:rFonts w:asciiTheme="minorEastAsia" w:hAnsiTheme="minorEastAsia" w:eastAsiaTheme="minorEastAsia"/>
        </w:rPr>
        <w:t>函</w:t>
      </w:r>
    </w:p>
    <w:p>
      <w:pPr>
        <w:pStyle w:val="6"/>
        <w:spacing w:before="2"/>
        <w:rPr>
          <w:rFonts w:asciiTheme="minorEastAsia" w:hAnsiTheme="minorEastAsia" w:eastAsiaTheme="minorEastAsia"/>
        </w:rPr>
      </w:pPr>
    </w:p>
    <w:p>
      <w:pPr>
        <w:pStyle w:val="6"/>
        <w:spacing w:line="482" w:lineRule="auto"/>
        <w:ind w:right="2611"/>
        <w:rPr>
          <w:rFonts w:asciiTheme="minorEastAsia" w:hAnsiTheme="minorEastAsia" w:eastAsiaTheme="minorEastAsia"/>
        </w:rPr>
      </w:pPr>
      <w:r>
        <w:rPr>
          <w:rFonts w:hint="eastAsia" w:asciiTheme="minorEastAsia" w:hAnsiTheme="minorEastAsia" w:eastAsiaTheme="minorEastAsia"/>
        </w:rPr>
        <w:t>二、</w:t>
      </w:r>
      <w:r>
        <w:rPr>
          <w:rFonts w:asciiTheme="minorEastAsia" w:hAnsiTheme="minorEastAsia" w:eastAsiaTheme="minorEastAsia"/>
        </w:rPr>
        <w:t>法定代表人（单位负责人）身份证明</w:t>
      </w:r>
      <w:r>
        <w:rPr>
          <w:rFonts w:hint="eastAsia" w:asciiTheme="minorEastAsia" w:hAnsiTheme="minorEastAsia" w:eastAsiaTheme="minorEastAsia"/>
        </w:rPr>
        <w:t>、</w:t>
      </w:r>
      <w:r>
        <w:rPr>
          <w:rFonts w:asciiTheme="minorEastAsia" w:hAnsiTheme="minorEastAsia" w:eastAsiaTheme="minorEastAsia"/>
        </w:rPr>
        <w:t>授权委托书</w:t>
      </w:r>
    </w:p>
    <w:p>
      <w:pPr>
        <w:pStyle w:val="6"/>
        <w:spacing w:line="482" w:lineRule="auto"/>
        <w:ind w:right="7654"/>
        <w:rPr>
          <w:rFonts w:asciiTheme="minorEastAsia" w:hAnsiTheme="minorEastAsia" w:eastAsiaTheme="minorEastAsia"/>
        </w:rPr>
      </w:pPr>
      <w:r>
        <w:rPr>
          <w:rFonts w:asciiTheme="minorEastAsia" w:hAnsiTheme="minorEastAsia" w:eastAsiaTheme="minorEastAsia"/>
        </w:rPr>
        <w:t>三、</w:t>
      </w:r>
      <w:r>
        <w:rPr>
          <w:rFonts w:hint="eastAsia" w:asciiTheme="minorEastAsia" w:hAnsiTheme="minorEastAsia" w:eastAsiaTheme="minorEastAsia"/>
        </w:rPr>
        <w:t>竞选</w:t>
      </w:r>
      <w:r>
        <w:rPr>
          <w:rFonts w:asciiTheme="minorEastAsia" w:hAnsiTheme="minorEastAsia" w:eastAsiaTheme="minorEastAsia"/>
        </w:rPr>
        <w:t>保证金</w:t>
      </w:r>
    </w:p>
    <w:p>
      <w:pPr>
        <w:pStyle w:val="6"/>
        <w:spacing w:line="482" w:lineRule="auto"/>
        <w:ind w:right="7234"/>
        <w:rPr>
          <w:rFonts w:asciiTheme="minorEastAsia" w:hAnsiTheme="minorEastAsia" w:eastAsiaTheme="minorEastAsia"/>
        </w:rPr>
      </w:pPr>
      <w:bookmarkStart w:id="174" w:name="_Toc26400"/>
      <w:r>
        <w:rPr>
          <w:rFonts w:hint="eastAsia" w:asciiTheme="minorEastAsia" w:hAnsiTheme="minorEastAsia" w:eastAsiaTheme="minorEastAsia"/>
        </w:rPr>
        <w:t>四</w:t>
      </w:r>
      <w:r>
        <w:rPr>
          <w:rFonts w:asciiTheme="minorEastAsia" w:hAnsiTheme="minorEastAsia" w:eastAsiaTheme="minorEastAsia"/>
        </w:rPr>
        <w:t>、</w:t>
      </w:r>
      <w:r>
        <w:rPr>
          <w:rFonts w:hint="eastAsia" w:asciiTheme="minorEastAsia" w:hAnsiTheme="minorEastAsia" w:eastAsiaTheme="minorEastAsia"/>
        </w:rPr>
        <w:t>技术规范响应表</w:t>
      </w:r>
      <w:bookmarkEnd w:id="174"/>
    </w:p>
    <w:p>
      <w:pPr>
        <w:pStyle w:val="6"/>
        <w:spacing w:line="267" w:lineRule="exact"/>
        <w:rPr>
          <w:rFonts w:asciiTheme="minorEastAsia" w:hAnsiTheme="minorEastAsia" w:eastAsiaTheme="minorEastAsia"/>
        </w:rPr>
      </w:pPr>
      <w:bookmarkStart w:id="175" w:name="_Toc4139"/>
      <w:r>
        <w:rPr>
          <w:rFonts w:hint="eastAsia" w:asciiTheme="minorEastAsia" w:hAnsiTheme="minorEastAsia" w:eastAsiaTheme="minorEastAsia"/>
        </w:rPr>
        <w:t>五</w:t>
      </w:r>
      <w:r>
        <w:rPr>
          <w:rFonts w:asciiTheme="minorEastAsia" w:hAnsiTheme="minorEastAsia" w:eastAsiaTheme="minorEastAsia"/>
        </w:rPr>
        <w:t>、资格审查资料</w:t>
      </w:r>
      <w:bookmarkEnd w:id="175"/>
    </w:p>
    <w:p>
      <w:pPr>
        <w:pStyle w:val="6"/>
        <w:rPr>
          <w:rFonts w:asciiTheme="minorEastAsia" w:hAnsiTheme="minorEastAsia" w:eastAsiaTheme="minorEastAsia"/>
        </w:rPr>
      </w:pPr>
    </w:p>
    <w:p>
      <w:pPr>
        <w:pStyle w:val="6"/>
        <w:spacing w:line="482" w:lineRule="auto"/>
        <w:ind w:right="5763"/>
        <w:rPr>
          <w:rFonts w:asciiTheme="minorEastAsia" w:hAnsiTheme="minorEastAsia" w:eastAsiaTheme="minorEastAsia"/>
        </w:rPr>
      </w:pPr>
      <w:bookmarkStart w:id="176" w:name="_Toc4439"/>
      <w:r>
        <w:rPr>
          <w:rFonts w:hint="eastAsia" w:asciiTheme="minorEastAsia" w:hAnsiTheme="minorEastAsia" w:eastAsiaTheme="minorEastAsia"/>
        </w:rPr>
        <w:t>六</w:t>
      </w:r>
      <w:r>
        <w:rPr>
          <w:rFonts w:asciiTheme="minorEastAsia" w:hAnsiTheme="minorEastAsia" w:eastAsiaTheme="minorEastAsia"/>
        </w:rPr>
        <w:t>、</w:t>
      </w:r>
      <w:bookmarkEnd w:id="176"/>
      <w:r>
        <w:rPr>
          <w:rFonts w:hint="eastAsia" w:asciiTheme="minorEastAsia" w:hAnsiTheme="minorEastAsia" w:eastAsiaTheme="minorEastAsia"/>
        </w:rPr>
        <w:t>商务部分证明材料</w:t>
      </w:r>
    </w:p>
    <w:p>
      <w:pPr>
        <w:pStyle w:val="6"/>
        <w:spacing w:line="482" w:lineRule="auto"/>
        <w:ind w:right="6392"/>
        <w:rPr>
          <w:rFonts w:asciiTheme="minorEastAsia" w:hAnsiTheme="minorEastAsia" w:eastAsiaTheme="minorEastAsia"/>
        </w:rPr>
      </w:pPr>
      <w:bookmarkStart w:id="177" w:name="_Toc30044"/>
      <w:r>
        <w:rPr>
          <w:rFonts w:hint="eastAsia" w:asciiTheme="minorEastAsia" w:hAnsiTheme="minorEastAsia" w:eastAsiaTheme="minorEastAsia"/>
        </w:rPr>
        <w:t>七</w:t>
      </w:r>
      <w:r>
        <w:rPr>
          <w:rFonts w:asciiTheme="minorEastAsia" w:hAnsiTheme="minorEastAsia" w:eastAsiaTheme="minorEastAsia"/>
        </w:rPr>
        <w:t>、</w:t>
      </w:r>
      <w:bookmarkEnd w:id="177"/>
      <w:r>
        <w:rPr>
          <w:rFonts w:hint="eastAsia" w:asciiTheme="minorEastAsia" w:hAnsiTheme="minorEastAsia" w:eastAsiaTheme="minorEastAsia"/>
        </w:rPr>
        <w:t>其他</w:t>
      </w:r>
    </w:p>
    <w:p>
      <w:pPr>
        <w:pStyle w:val="2"/>
        <w:spacing w:line="525" w:lineRule="exact"/>
        <w:ind w:right="297"/>
        <w:jc w:val="center"/>
        <w:rPr>
          <w:rFonts w:asciiTheme="minorEastAsia" w:hAnsiTheme="minorEastAsia" w:eastAsiaTheme="minorEastAsia"/>
        </w:rPr>
      </w:pPr>
      <w:r>
        <w:rPr>
          <w:rFonts w:asciiTheme="minorEastAsia" w:hAnsiTheme="minorEastAsia" w:eastAsiaTheme="minorEastAsia"/>
        </w:rPr>
        <w:br w:type="page"/>
      </w:r>
    </w:p>
    <w:p>
      <w:pPr>
        <w:pStyle w:val="2"/>
        <w:spacing w:line="525" w:lineRule="exact"/>
        <w:ind w:right="297"/>
        <w:jc w:val="center"/>
        <w:rPr>
          <w:rFonts w:asciiTheme="minorEastAsia" w:hAnsiTheme="minorEastAsia" w:eastAsiaTheme="minorEastAsia"/>
        </w:rPr>
      </w:pPr>
      <w:bookmarkStart w:id="178" w:name="_Toc5328"/>
      <w:r>
        <w:rPr>
          <w:rFonts w:asciiTheme="minorEastAsia" w:hAnsiTheme="minorEastAsia" w:eastAsiaTheme="minorEastAsia"/>
        </w:rPr>
        <w:t>一、</w:t>
      </w:r>
      <w:r>
        <w:rPr>
          <w:rFonts w:hint="eastAsia" w:asciiTheme="minorEastAsia" w:hAnsiTheme="minorEastAsia" w:eastAsiaTheme="minorEastAsia"/>
        </w:rPr>
        <w:t>竞选</w:t>
      </w:r>
      <w:r>
        <w:rPr>
          <w:rFonts w:asciiTheme="minorEastAsia" w:hAnsiTheme="minorEastAsia" w:eastAsiaTheme="minorEastAsia"/>
        </w:rPr>
        <w:t>函</w:t>
      </w:r>
      <w:bookmarkEnd w:id="178"/>
    </w:p>
    <w:p>
      <w:pPr>
        <w:pStyle w:val="6"/>
        <w:spacing w:before="5"/>
        <w:rPr>
          <w:rFonts w:asciiTheme="minorEastAsia" w:hAnsiTheme="minorEastAsia" w:eastAsiaTheme="minorEastAsia"/>
          <w:b/>
          <w:sz w:val="34"/>
        </w:rPr>
      </w:pPr>
    </w:p>
    <w:p>
      <w:pPr>
        <w:widowControl/>
        <w:tabs>
          <w:tab w:val="left" w:pos="0"/>
          <w:tab w:val="left" w:pos="6300"/>
        </w:tabs>
        <w:snapToGrid w:val="0"/>
        <w:spacing w:line="500" w:lineRule="exact"/>
        <w:jc w:val="left"/>
        <w:textAlignment w:val="baseline"/>
        <w:rPr>
          <w:rFonts w:cs="宋体"/>
          <w:kern w:val="0"/>
          <w:sz w:val="24"/>
          <w:u w:val="single"/>
        </w:rPr>
      </w:pPr>
      <w:bookmarkStart w:id="179" w:name="_bookmark157"/>
      <w:bookmarkEnd w:id="179"/>
      <w:r>
        <w:rPr>
          <w:rFonts w:hint="eastAsia" w:ascii="宋体" w:hAnsi="宋体" w:cs="宋体"/>
          <w:b/>
          <w:kern w:val="0"/>
          <w:sz w:val="32"/>
          <w:szCs w:val="32"/>
        </w:rPr>
        <w:t>致：</w:t>
      </w:r>
      <w:r>
        <w:rPr>
          <w:rFonts w:hint="eastAsia" w:cs="宋体"/>
          <w:kern w:val="0"/>
          <w:sz w:val="24"/>
          <w:u w:val="single"/>
        </w:rPr>
        <w:t xml:space="preserve">  （比选人）      </w:t>
      </w:r>
    </w:p>
    <w:p>
      <w:pPr>
        <w:widowControl/>
        <w:tabs>
          <w:tab w:val="left" w:pos="0"/>
          <w:tab w:val="left" w:pos="6300"/>
        </w:tabs>
        <w:snapToGrid w:val="0"/>
        <w:spacing w:line="500" w:lineRule="exact"/>
        <w:ind w:firstLine="480" w:firstLineChars="200"/>
        <w:jc w:val="left"/>
        <w:textAlignment w:val="baseline"/>
        <w:rPr>
          <w:rFonts w:ascii="宋体" w:hAnsi="宋体" w:cs="宋体"/>
          <w:kern w:val="0"/>
          <w:sz w:val="24"/>
        </w:rPr>
      </w:pPr>
      <w:r>
        <w:rPr>
          <w:rFonts w:hint="eastAsia" w:ascii="宋体" w:hAnsi="宋体" w:cs="宋体"/>
          <w:kern w:val="0"/>
          <w:sz w:val="24"/>
          <w:szCs w:val="20"/>
        </w:rPr>
        <w:t> </w:t>
      </w:r>
      <w:r>
        <w:rPr>
          <w:rFonts w:hint="eastAsia" w:ascii="宋体" w:hAnsi="宋体"/>
          <w:sz w:val="24"/>
        </w:rPr>
        <w:t>我方收到</w:t>
      </w:r>
      <w:r>
        <w:rPr>
          <w:rFonts w:hint="eastAsia" w:ascii="宋体" w:hAnsi="宋体"/>
          <w:sz w:val="24"/>
          <w:u w:val="single"/>
        </w:rPr>
        <w:t xml:space="preserve"> （比选项目名称） </w:t>
      </w:r>
      <w:r>
        <w:rPr>
          <w:rFonts w:hint="eastAsia" w:ascii="宋体" w:hAnsi="宋体"/>
          <w:sz w:val="24"/>
        </w:rPr>
        <w:t>比选文件，经详细研究，决定参加该比选项目的竞选。</w:t>
      </w:r>
    </w:p>
    <w:p>
      <w:pPr>
        <w:widowControl/>
        <w:tabs>
          <w:tab w:val="left" w:pos="0"/>
        </w:tabs>
        <w:spacing w:line="500" w:lineRule="exact"/>
        <w:ind w:firstLine="420"/>
        <w:jc w:val="left"/>
        <w:rPr>
          <w:rFonts w:ascii="宋体" w:hAnsi="宋体" w:cs="宋体"/>
          <w:kern w:val="0"/>
          <w:sz w:val="24"/>
        </w:rPr>
      </w:pPr>
      <w:r>
        <w:rPr>
          <w:rFonts w:hint="eastAsia" w:ascii="宋体" w:hAnsi="宋体" w:cs="宋体"/>
          <w:kern w:val="0"/>
          <w:sz w:val="24"/>
          <w:szCs w:val="20"/>
        </w:rPr>
        <w:t>1.</w:t>
      </w:r>
      <w:r>
        <w:rPr>
          <w:rFonts w:hint="eastAsia" w:ascii="宋体" w:hAnsi="宋体"/>
          <w:sz w:val="24"/>
        </w:rPr>
        <w:t>我方愿意按照比选文件中的一切要求，提供比选项目的设备制造、装卸运输（含现场二次转运）、安装、调试、试运行直至正常使用,以及比选文件要求的售后服务，并承担任何质量缺陷保修责任，</w:t>
      </w:r>
      <w:r>
        <w:rPr>
          <w:rFonts w:hint="eastAsia"/>
          <w:sz w:val="24"/>
        </w:rPr>
        <w:t>交货期</w:t>
      </w:r>
      <w:r>
        <w:rPr>
          <w:rFonts w:hint="eastAsia" w:ascii="宋体" w:hAnsi="宋体"/>
          <w:sz w:val="24"/>
        </w:rPr>
        <w:t>：</w:t>
      </w:r>
      <w:r>
        <w:rPr>
          <w:rFonts w:hint="eastAsia" w:ascii="宋体" w:hAnsi="宋体"/>
          <w:sz w:val="24"/>
          <w:u w:val="single"/>
          <w:lang w:val="en-US" w:eastAsia="zh-CN"/>
        </w:rPr>
        <w:t xml:space="preserve">    </w:t>
      </w:r>
      <w:r>
        <w:rPr>
          <w:rFonts w:hint="eastAsia" w:ascii="宋体" w:hAnsi="宋体"/>
          <w:sz w:val="24"/>
        </w:rPr>
        <w:t>。竞选总价为人民币小写</w:t>
      </w:r>
      <w:r>
        <w:rPr>
          <w:rFonts w:hint="eastAsia" w:ascii="宋体" w:hAnsi="宋体" w:cs="宋体"/>
          <w:kern w:val="0"/>
          <w:sz w:val="24"/>
          <w:szCs w:val="20"/>
        </w:rPr>
        <w:t>RMB：</w:t>
      </w:r>
      <w:r>
        <w:rPr>
          <w:rFonts w:hint="eastAsia" w:ascii="宋体" w:hAnsi="宋体"/>
          <w:sz w:val="24"/>
          <w:u w:val="single"/>
          <w:lang w:val="en-US" w:eastAsia="zh-CN"/>
        </w:rPr>
        <w:t xml:space="preserve">    </w:t>
      </w:r>
      <w:r>
        <w:rPr>
          <w:rFonts w:hint="eastAsia" w:ascii="宋体" w:hAnsi="宋体" w:cs="宋体"/>
          <w:kern w:val="0"/>
          <w:sz w:val="24"/>
          <w:szCs w:val="20"/>
        </w:rPr>
        <w:t>，</w:t>
      </w:r>
      <w:r>
        <w:rPr>
          <w:rFonts w:hint="eastAsia" w:ascii="宋体" w:hAnsi="宋体"/>
          <w:sz w:val="24"/>
        </w:rPr>
        <w:t>人民币大写</w:t>
      </w:r>
      <w:r>
        <w:rPr>
          <w:rFonts w:hint="eastAsia" w:ascii="宋体" w:hAnsi="宋体" w:cs="宋体"/>
          <w:kern w:val="0"/>
          <w:sz w:val="24"/>
          <w:szCs w:val="20"/>
        </w:rPr>
        <w:t>：</w:t>
      </w:r>
      <w:r>
        <w:rPr>
          <w:rFonts w:hint="eastAsia" w:ascii="宋体" w:hAnsi="宋体"/>
          <w:sz w:val="24"/>
          <w:u w:val="single"/>
          <w:lang w:val="en-US" w:eastAsia="zh-CN"/>
        </w:rPr>
        <w:t xml:space="preserve">    </w:t>
      </w:r>
      <w:r>
        <w:rPr>
          <w:rFonts w:hint="eastAsia" w:ascii="宋体" w:hAnsi="宋体" w:cs="宋体"/>
          <w:kern w:val="0"/>
          <w:sz w:val="24"/>
          <w:szCs w:val="20"/>
        </w:rPr>
        <w:t xml:space="preserve">。 </w:t>
      </w:r>
    </w:p>
    <w:p>
      <w:pPr>
        <w:widowControl/>
        <w:tabs>
          <w:tab w:val="left" w:pos="0"/>
        </w:tabs>
        <w:spacing w:line="500" w:lineRule="exact"/>
        <w:ind w:firstLine="420"/>
        <w:jc w:val="left"/>
        <w:rPr>
          <w:rFonts w:ascii="宋体" w:hAnsi="宋体"/>
          <w:sz w:val="24"/>
        </w:rPr>
      </w:pPr>
      <w:r>
        <w:rPr>
          <w:rFonts w:hint="eastAsia" w:ascii="宋体" w:hAnsi="宋体"/>
          <w:sz w:val="24"/>
        </w:rPr>
        <w:t>2.我方现提交的竞选文件：正本</w:t>
      </w:r>
      <w:r>
        <w:rPr>
          <w:rFonts w:hint="eastAsia" w:ascii="宋体" w:hAnsi="宋体"/>
          <w:sz w:val="24"/>
          <w:u w:val="single"/>
          <w:lang w:val="en-US" w:eastAsia="zh-CN"/>
        </w:rPr>
        <w:t xml:space="preserve">    </w:t>
      </w:r>
      <w:r>
        <w:rPr>
          <w:rFonts w:hint="eastAsia" w:ascii="宋体" w:hAnsi="宋体"/>
          <w:sz w:val="24"/>
        </w:rPr>
        <w:t>份；副本</w:t>
      </w:r>
      <w:r>
        <w:rPr>
          <w:rFonts w:hint="eastAsia" w:ascii="宋体" w:hAnsi="宋体"/>
          <w:sz w:val="24"/>
          <w:u w:val="single"/>
          <w:lang w:val="en-US" w:eastAsia="zh-CN"/>
        </w:rPr>
        <w:t xml:space="preserve">    </w:t>
      </w:r>
      <w:r>
        <w:rPr>
          <w:rFonts w:hint="eastAsia" w:ascii="宋体" w:hAnsi="宋体"/>
          <w:sz w:val="24"/>
        </w:rPr>
        <w:t>份。</w:t>
      </w:r>
    </w:p>
    <w:p>
      <w:pPr>
        <w:widowControl/>
        <w:tabs>
          <w:tab w:val="left" w:pos="0"/>
        </w:tabs>
        <w:spacing w:line="500" w:lineRule="exact"/>
        <w:ind w:firstLine="420"/>
        <w:jc w:val="left"/>
        <w:rPr>
          <w:rFonts w:ascii="宋体" w:hAnsi="宋体"/>
          <w:sz w:val="24"/>
        </w:rPr>
      </w:pPr>
      <w:r>
        <w:rPr>
          <w:rFonts w:hint="eastAsia" w:ascii="宋体" w:hAnsi="宋体"/>
          <w:sz w:val="24"/>
        </w:rPr>
        <w:t>3.如果我方竞选文件被接受，我方将履行比选文件中规定的各项要求，并按合同约定条款承担我方的责任。</w:t>
      </w:r>
    </w:p>
    <w:p>
      <w:pPr>
        <w:widowControl/>
        <w:tabs>
          <w:tab w:val="left" w:pos="0"/>
        </w:tabs>
        <w:spacing w:line="500" w:lineRule="exact"/>
        <w:ind w:firstLine="420"/>
        <w:jc w:val="left"/>
        <w:rPr>
          <w:rFonts w:ascii="宋体" w:hAnsi="宋体"/>
          <w:sz w:val="24"/>
        </w:rPr>
      </w:pPr>
      <w:r>
        <w:rPr>
          <w:rFonts w:hint="eastAsia" w:ascii="宋体" w:hAnsi="宋体"/>
          <w:sz w:val="24"/>
        </w:rPr>
        <w:t>4.我方愿意提供比选单位在比选文件中要求的所有资料，并对其真实性负责。</w:t>
      </w:r>
    </w:p>
    <w:p>
      <w:pPr>
        <w:widowControl/>
        <w:tabs>
          <w:tab w:val="left" w:pos="0"/>
        </w:tabs>
        <w:spacing w:line="500" w:lineRule="exact"/>
        <w:ind w:firstLine="420"/>
        <w:jc w:val="left"/>
        <w:rPr>
          <w:rFonts w:ascii="宋体" w:hAnsi="宋体"/>
          <w:sz w:val="24"/>
        </w:rPr>
      </w:pPr>
      <w:r>
        <w:rPr>
          <w:rFonts w:hint="eastAsia" w:ascii="宋体" w:hAnsi="宋体"/>
          <w:sz w:val="24"/>
        </w:rPr>
        <w:t>5.我方理解，最低报价不是中选的唯一条件。</w:t>
      </w:r>
    </w:p>
    <w:p>
      <w:pPr>
        <w:widowControl/>
        <w:tabs>
          <w:tab w:val="left" w:pos="0"/>
        </w:tabs>
        <w:spacing w:line="500" w:lineRule="exact"/>
        <w:ind w:firstLine="420"/>
        <w:jc w:val="left"/>
        <w:rPr>
          <w:rFonts w:ascii="宋体" w:hAnsi="宋体"/>
          <w:sz w:val="24"/>
        </w:rPr>
      </w:pPr>
      <w:r>
        <w:rPr>
          <w:rFonts w:hint="eastAsia" w:ascii="宋体" w:hAnsi="宋体"/>
          <w:sz w:val="24"/>
        </w:rPr>
        <w:t xml:space="preserve">6.我方同意按比选文件规定，交纳足额竞选保证金。 </w:t>
      </w:r>
    </w:p>
    <w:p>
      <w:pPr>
        <w:widowControl/>
        <w:tabs>
          <w:tab w:val="left" w:pos="0"/>
          <w:tab w:val="left" w:pos="6300"/>
        </w:tabs>
        <w:snapToGrid w:val="0"/>
        <w:spacing w:line="500" w:lineRule="exact"/>
        <w:ind w:firstLine="499" w:firstLineChars="208"/>
        <w:jc w:val="left"/>
        <w:textAlignment w:val="baseline"/>
        <w:rPr>
          <w:rFonts w:ascii="宋体" w:hAnsi="宋体"/>
          <w:sz w:val="24"/>
        </w:rPr>
      </w:pPr>
      <w:r>
        <w:rPr>
          <w:rFonts w:hint="eastAsia" w:ascii="宋体" w:hAnsi="宋体"/>
          <w:sz w:val="24"/>
        </w:rPr>
        <w:t> </w:t>
      </w:r>
    </w:p>
    <w:p>
      <w:pPr>
        <w:widowControl/>
        <w:tabs>
          <w:tab w:val="left" w:pos="0"/>
          <w:tab w:val="left" w:pos="6300"/>
        </w:tabs>
        <w:snapToGrid w:val="0"/>
        <w:spacing w:line="500" w:lineRule="exact"/>
        <w:ind w:firstLine="760"/>
        <w:jc w:val="left"/>
        <w:textAlignment w:val="baseline"/>
        <w:rPr>
          <w:rFonts w:ascii="宋体" w:hAnsi="宋体"/>
          <w:sz w:val="24"/>
        </w:rPr>
      </w:pPr>
      <w:r>
        <w:rPr>
          <w:rFonts w:hint="eastAsia" w:ascii="宋体" w:hAnsi="宋体"/>
          <w:sz w:val="24"/>
        </w:rPr>
        <w:t>竞选人（公章）：</w:t>
      </w:r>
    </w:p>
    <w:p>
      <w:pPr>
        <w:widowControl/>
        <w:tabs>
          <w:tab w:val="left" w:pos="0"/>
          <w:tab w:val="left" w:pos="6300"/>
        </w:tabs>
        <w:snapToGrid w:val="0"/>
        <w:spacing w:line="500" w:lineRule="exact"/>
        <w:ind w:firstLine="760"/>
        <w:jc w:val="left"/>
        <w:textAlignment w:val="baseline"/>
        <w:rPr>
          <w:rFonts w:ascii="宋体" w:hAnsi="宋体"/>
          <w:sz w:val="24"/>
        </w:rPr>
      </w:pPr>
      <w:r>
        <w:rPr>
          <w:rFonts w:hint="eastAsia" w:ascii="宋体" w:hAnsi="宋体"/>
          <w:sz w:val="24"/>
        </w:rPr>
        <w:t>法定代表人或其委托代理人（签字或盖章）：</w:t>
      </w:r>
    </w:p>
    <w:p>
      <w:pPr>
        <w:widowControl/>
        <w:tabs>
          <w:tab w:val="left" w:pos="0"/>
          <w:tab w:val="left" w:pos="6300"/>
        </w:tabs>
        <w:snapToGrid w:val="0"/>
        <w:spacing w:line="500" w:lineRule="exact"/>
        <w:ind w:firstLine="760"/>
        <w:jc w:val="left"/>
        <w:textAlignment w:val="baseline"/>
        <w:rPr>
          <w:rFonts w:ascii="宋体" w:hAnsi="宋体"/>
          <w:sz w:val="24"/>
        </w:rPr>
      </w:pPr>
      <w:r>
        <w:rPr>
          <w:rFonts w:hint="eastAsia" w:ascii="宋体" w:hAnsi="宋体"/>
          <w:sz w:val="24"/>
        </w:rPr>
        <w:t xml:space="preserve">地址：  </w:t>
      </w:r>
    </w:p>
    <w:p>
      <w:pPr>
        <w:widowControl/>
        <w:tabs>
          <w:tab w:val="left" w:pos="0"/>
          <w:tab w:val="left" w:pos="6300"/>
        </w:tabs>
        <w:snapToGrid w:val="0"/>
        <w:spacing w:line="500" w:lineRule="exact"/>
        <w:ind w:firstLine="760"/>
        <w:jc w:val="left"/>
        <w:textAlignment w:val="baseline"/>
        <w:rPr>
          <w:rFonts w:ascii="宋体" w:hAnsi="宋体"/>
          <w:sz w:val="24"/>
        </w:rPr>
      </w:pPr>
      <w:r>
        <w:rPr>
          <w:rFonts w:hint="eastAsia" w:ascii="宋体" w:hAnsi="宋体"/>
          <w:sz w:val="24"/>
        </w:rPr>
        <w:t xml:space="preserve">电话：                          </w:t>
      </w:r>
    </w:p>
    <w:p>
      <w:pPr>
        <w:widowControl/>
        <w:tabs>
          <w:tab w:val="left" w:pos="0"/>
          <w:tab w:val="left" w:pos="6300"/>
        </w:tabs>
        <w:snapToGrid w:val="0"/>
        <w:spacing w:line="500" w:lineRule="exact"/>
        <w:ind w:firstLine="760"/>
        <w:jc w:val="left"/>
        <w:textAlignment w:val="baseline"/>
        <w:rPr>
          <w:rFonts w:ascii="宋体" w:hAnsi="宋体"/>
          <w:sz w:val="24"/>
        </w:rPr>
      </w:pPr>
      <w:r>
        <w:rPr>
          <w:rFonts w:hint="eastAsia" w:ascii="宋体" w:hAnsi="宋体"/>
          <w:sz w:val="24"/>
        </w:rPr>
        <w:t>传真：</w:t>
      </w:r>
    </w:p>
    <w:p>
      <w:pPr>
        <w:widowControl/>
        <w:tabs>
          <w:tab w:val="left" w:pos="0"/>
          <w:tab w:val="left" w:pos="6300"/>
        </w:tabs>
        <w:snapToGrid w:val="0"/>
        <w:spacing w:line="500" w:lineRule="exact"/>
        <w:ind w:firstLine="760"/>
        <w:jc w:val="left"/>
        <w:textAlignment w:val="baseline"/>
        <w:rPr>
          <w:rFonts w:ascii="宋体" w:hAnsi="宋体"/>
          <w:sz w:val="24"/>
        </w:rPr>
      </w:pPr>
    </w:p>
    <w:p>
      <w:pPr>
        <w:widowControl/>
        <w:tabs>
          <w:tab w:val="left" w:pos="0"/>
          <w:tab w:val="left" w:pos="6300"/>
        </w:tabs>
        <w:snapToGrid w:val="0"/>
        <w:spacing w:line="500" w:lineRule="exact"/>
        <w:ind w:firstLine="570"/>
        <w:jc w:val="right"/>
        <w:textAlignment w:val="baseline"/>
        <w:rPr>
          <w:rFonts w:ascii="宋体" w:hAnsi="宋体"/>
          <w:sz w:val="24"/>
        </w:rPr>
      </w:pPr>
      <w:r>
        <w:rPr>
          <w:rFonts w:hint="eastAsia" w:ascii="宋体" w:hAnsi="宋体"/>
          <w:sz w:val="24"/>
        </w:rPr>
        <w:t> 年    月     日</w:t>
      </w:r>
    </w:p>
    <w:p>
      <w:pPr>
        <w:widowControl/>
        <w:rPr>
          <w:rFonts w:asciiTheme="minorEastAsia" w:hAnsiTheme="minorEastAsia" w:eastAsiaTheme="minorEastAsia"/>
        </w:rPr>
      </w:pPr>
      <w:r>
        <w:rPr>
          <w:rFonts w:asciiTheme="minorEastAsia" w:hAnsiTheme="minorEastAsia" w:eastAsiaTheme="minorEastAsia"/>
        </w:rPr>
        <w:br w:type="page"/>
      </w:r>
    </w:p>
    <w:p>
      <w:pPr>
        <w:pStyle w:val="2"/>
        <w:spacing w:line="525" w:lineRule="exact"/>
        <w:ind w:left="1828"/>
        <w:rPr>
          <w:rFonts w:asciiTheme="minorEastAsia" w:hAnsiTheme="minorEastAsia" w:eastAsiaTheme="minorEastAsia"/>
        </w:rPr>
      </w:pPr>
      <w:bookmarkStart w:id="180" w:name="_Toc10284"/>
      <w:r>
        <w:rPr>
          <w:rFonts w:asciiTheme="minorEastAsia" w:hAnsiTheme="minorEastAsia" w:eastAsiaTheme="minorEastAsia"/>
        </w:rPr>
        <w:t>二、法定代表人（单位负责人）身份证明</w:t>
      </w:r>
      <w:bookmarkEnd w:id="180"/>
    </w:p>
    <w:p>
      <w:pPr>
        <w:pStyle w:val="6"/>
        <w:rPr>
          <w:rFonts w:asciiTheme="minorEastAsia" w:hAnsiTheme="minorEastAsia" w:eastAsiaTheme="minorEastAsia"/>
          <w:b/>
          <w:sz w:val="32"/>
        </w:rPr>
      </w:pPr>
    </w:p>
    <w:p>
      <w:pPr>
        <w:pStyle w:val="6"/>
        <w:rPr>
          <w:rFonts w:asciiTheme="minorEastAsia" w:hAnsiTheme="minorEastAsia" w:eastAsiaTheme="minorEastAsia"/>
          <w:b/>
          <w:sz w:val="32"/>
        </w:rPr>
      </w:pPr>
    </w:p>
    <w:p>
      <w:pPr>
        <w:pStyle w:val="6"/>
        <w:spacing w:before="3"/>
        <w:rPr>
          <w:rFonts w:asciiTheme="minorEastAsia" w:hAnsiTheme="minorEastAsia" w:eastAsiaTheme="minorEastAsia"/>
          <w:b/>
          <w:sz w:val="18"/>
        </w:rPr>
      </w:pPr>
    </w:p>
    <w:p>
      <w:pPr>
        <w:pStyle w:val="6"/>
        <w:tabs>
          <w:tab w:val="left" w:pos="4228"/>
        </w:tabs>
        <w:ind w:left="400"/>
        <w:rPr>
          <w:rFonts w:asciiTheme="minorEastAsia" w:hAnsiTheme="minorEastAsia" w:eastAsiaTheme="minorEastAsia"/>
        </w:rPr>
      </w:pPr>
      <w:r>
        <w:rPr>
          <w:rFonts w:hint="eastAsia" w:asciiTheme="minorEastAsia" w:hAnsiTheme="minorEastAsia" w:eastAsiaTheme="minorEastAsia"/>
          <w:spacing w:val="-1"/>
        </w:rPr>
        <w:t>竞选</w:t>
      </w:r>
      <w:r>
        <w:rPr>
          <w:rFonts w:asciiTheme="minorEastAsia" w:hAnsiTheme="minorEastAsia" w:eastAsiaTheme="minorEastAsia"/>
          <w:spacing w:val="-3"/>
        </w:rPr>
        <w:t>人</w:t>
      </w:r>
      <w:r>
        <w:rPr>
          <w:rFonts w:asciiTheme="minorEastAsia" w:hAnsiTheme="minorEastAsia" w:eastAsiaTheme="minorEastAsia"/>
        </w:rPr>
        <w:t>名</w:t>
      </w:r>
      <w:r>
        <w:rPr>
          <w:rFonts w:asciiTheme="minorEastAsia" w:hAnsiTheme="minorEastAsia" w:eastAsiaTheme="minorEastAsia"/>
          <w:spacing w:val="-3"/>
        </w:rPr>
        <w:t>称</w:t>
      </w:r>
      <w:r>
        <w:rPr>
          <w:rFonts w:asciiTheme="minorEastAsia" w:hAnsiTheme="minorEastAsia" w:eastAsiaTheme="minorEastAsia"/>
        </w:rPr>
        <w:t>：</w:t>
      </w:r>
      <w:r>
        <w:rPr>
          <w:rFonts w:asciiTheme="minorEastAsia" w:hAnsiTheme="minorEastAsia" w:eastAsiaTheme="minorEastAsia"/>
          <w:u w:val="single"/>
        </w:rPr>
        <w:tab/>
      </w:r>
    </w:p>
    <w:p>
      <w:pPr>
        <w:pStyle w:val="6"/>
        <w:tabs>
          <w:tab w:val="left" w:pos="2712"/>
          <w:tab w:val="left" w:pos="4183"/>
          <w:tab w:val="left" w:pos="5652"/>
          <w:tab w:val="left" w:pos="7169"/>
        </w:tabs>
        <w:spacing w:before="170"/>
        <w:ind w:left="400"/>
        <w:rPr>
          <w:rFonts w:asciiTheme="minorEastAsia" w:hAnsiTheme="minorEastAsia" w:eastAsiaTheme="minorEastAsia"/>
        </w:rPr>
      </w:pPr>
      <w:r>
        <w:rPr>
          <w:rFonts w:asciiTheme="minorEastAsia" w:hAnsiTheme="minorEastAsia" w:eastAsiaTheme="minorEastAsia"/>
        </w:rPr>
        <w:t>姓名</w:t>
      </w:r>
      <w:r>
        <w:rPr>
          <w:rFonts w:asciiTheme="minorEastAsia" w:hAnsiTheme="minorEastAsia" w:eastAsiaTheme="minorEastAsia"/>
          <w:spacing w:val="-3"/>
        </w:rPr>
        <w:t>：</w:t>
      </w:r>
      <w:r>
        <w:rPr>
          <w:rFonts w:asciiTheme="minorEastAsia" w:hAnsiTheme="minorEastAsia" w:eastAsiaTheme="minorEastAsia"/>
          <w:spacing w:val="-3"/>
          <w:u w:val="single"/>
        </w:rPr>
        <w:tab/>
      </w:r>
      <w:r>
        <w:rPr>
          <w:rFonts w:asciiTheme="minorEastAsia" w:hAnsiTheme="minorEastAsia" w:eastAsiaTheme="minorEastAsia"/>
        </w:rPr>
        <w:t>性别</w:t>
      </w:r>
      <w:r>
        <w:rPr>
          <w:rFonts w:asciiTheme="minorEastAsia" w:hAnsiTheme="minorEastAsia" w:eastAsiaTheme="minorEastAsia"/>
          <w:spacing w:val="-3"/>
        </w:rPr>
        <w:t>：</w:t>
      </w:r>
      <w:r>
        <w:rPr>
          <w:rFonts w:asciiTheme="minorEastAsia" w:hAnsiTheme="minorEastAsia" w:eastAsiaTheme="minorEastAsia"/>
          <w:spacing w:val="-3"/>
          <w:u w:val="single"/>
        </w:rPr>
        <w:tab/>
      </w:r>
      <w:r>
        <w:rPr>
          <w:rFonts w:asciiTheme="minorEastAsia" w:hAnsiTheme="minorEastAsia" w:eastAsiaTheme="minorEastAsia"/>
        </w:rPr>
        <w:t>年</w:t>
      </w:r>
      <w:r>
        <w:rPr>
          <w:rFonts w:asciiTheme="minorEastAsia" w:hAnsiTheme="minorEastAsia" w:eastAsiaTheme="minorEastAsia"/>
          <w:spacing w:val="-3"/>
        </w:rPr>
        <w:t>龄</w:t>
      </w:r>
      <w:r>
        <w:rPr>
          <w:rFonts w:asciiTheme="minorEastAsia" w:hAnsiTheme="minorEastAsia" w:eastAsiaTheme="minorEastAsia"/>
        </w:rPr>
        <w:t>：</w:t>
      </w:r>
      <w:r>
        <w:rPr>
          <w:rFonts w:asciiTheme="minorEastAsia" w:hAnsiTheme="minorEastAsia" w:eastAsiaTheme="minorEastAsia"/>
          <w:u w:val="single"/>
        </w:rPr>
        <w:tab/>
      </w:r>
      <w:r>
        <w:rPr>
          <w:rFonts w:asciiTheme="minorEastAsia" w:hAnsiTheme="minorEastAsia" w:eastAsiaTheme="minorEastAsia"/>
          <w:spacing w:val="-1"/>
        </w:rPr>
        <w:t>职</w:t>
      </w:r>
      <w:r>
        <w:rPr>
          <w:rFonts w:asciiTheme="minorEastAsia" w:hAnsiTheme="minorEastAsia" w:eastAsiaTheme="minorEastAsia"/>
          <w:spacing w:val="-3"/>
        </w:rPr>
        <w:t>务</w:t>
      </w:r>
      <w:r>
        <w:rPr>
          <w:rFonts w:asciiTheme="minorEastAsia" w:hAnsiTheme="minorEastAsia" w:eastAsiaTheme="minorEastAsia"/>
        </w:rPr>
        <w:t>：</w:t>
      </w:r>
      <w:r>
        <w:rPr>
          <w:rFonts w:asciiTheme="minorEastAsia" w:hAnsiTheme="minorEastAsia" w:eastAsiaTheme="minorEastAsia"/>
          <w:u w:val="single"/>
        </w:rPr>
        <w:tab/>
      </w:r>
    </w:p>
    <w:p>
      <w:pPr>
        <w:pStyle w:val="6"/>
        <w:tabs>
          <w:tab w:val="left" w:pos="3132"/>
        </w:tabs>
        <w:spacing w:before="173"/>
        <w:ind w:left="400"/>
        <w:rPr>
          <w:rFonts w:asciiTheme="minorEastAsia" w:hAnsiTheme="minorEastAsia" w:eastAsiaTheme="minorEastAsia"/>
        </w:rPr>
      </w:pPr>
      <w:r>
        <w:rPr>
          <w:rFonts w:asciiTheme="minorEastAsia" w:hAnsiTheme="minorEastAsia" w:eastAsiaTheme="minorEastAsia"/>
        </w:rPr>
        <w:t>系</w:t>
      </w:r>
      <w:r>
        <w:rPr>
          <w:rFonts w:asciiTheme="minorEastAsia" w:hAnsiTheme="minorEastAsia" w:eastAsiaTheme="minorEastAsia"/>
          <w:u w:val="single"/>
        </w:rPr>
        <w:tab/>
      </w:r>
      <w:r>
        <w:rPr>
          <w:rFonts w:asciiTheme="minorEastAsia" w:hAnsiTheme="minorEastAsia" w:eastAsiaTheme="minorEastAsia"/>
          <w:spacing w:val="-3"/>
        </w:rPr>
        <w:t>（</w:t>
      </w:r>
      <w:r>
        <w:rPr>
          <w:rFonts w:hint="eastAsia" w:asciiTheme="minorEastAsia" w:hAnsiTheme="minorEastAsia" w:eastAsiaTheme="minorEastAsia"/>
        </w:rPr>
        <w:t>竞选</w:t>
      </w:r>
      <w:r>
        <w:rPr>
          <w:rFonts w:asciiTheme="minorEastAsia" w:hAnsiTheme="minorEastAsia" w:eastAsiaTheme="minorEastAsia"/>
        </w:rPr>
        <w:t>人</w:t>
      </w:r>
      <w:r>
        <w:rPr>
          <w:rFonts w:asciiTheme="minorEastAsia" w:hAnsiTheme="minorEastAsia" w:eastAsiaTheme="minorEastAsia"/>
          <w:spacing w:val="-3"/>
        </w:rPr>
        <w:t>名</w:t>
      </w:r>
      <w:r>
        <w:rPr>
          <w:rFonts w:asciiTheme="minorEastAsia" w:hAnsiTheme="minorEastAsia" w:eastAsiaTheme="minorEastAsia"/>
        </w:rPr>
        <w:t>称</w:t>
      </w:r>
      <w:r>
        <w:rPr>
          <w:rFonts w:asciiTheme="minorEastAsia" w:hAnsiTheme="minorEastAsia" w:eastAsiaTheme="minorEastAsia"/>
          <w:spacing w:val="-3"/>
        </w:rPr>
        <w:t>）</w:t>
      </w:r>
      <w:r>
        <w:rPr>
          <w:rFonts w:asciiTheme="minorEastAsia" w:hAnsiTheme="minorEastAsia" w:eastAsiaTheme="minorEastAsia"/>
        </w:rPr>
        <w:t>的</w:t>
      </w:r>
      <w:r>
        <w:rPr>
          <w:rFonts w:asciiTheme="minorEastAsia" w:hAnsiTheme="minorEastAsia" w:eastAsiaTheme="minorEastAsia"/>
          <w:spacing w:val="-3"/>
        </w:rPr>
        <w:t>法定</w:t>
      </w:r>
      <w:r>
        <w:rPr>
          <w:rFonts w:asciiTheme="minorEastAsia" w:hAnsiTheme="minorEastAsia" w:eastAsiaTheme="minorEastAsia"/>
        </w:rPr>
        <w:t>代表</w:t>
      </w:r>
      <w:r>
        <w:rPr>
          <w:rFonts w:asciiTheme="minorEastAsia" w:hAnsiTheme="minorEastAsia" w:eastAsiaTheme="minorEastAsia"/>
          <w:spacing w:val="-3"/>
        </w:rPr>
        <w:t>人</w:t>
      </w:r>
      <w:r>
        <w:rPr>
          <w:rFonts w:asciiTheme="minorEastAsia" w:hAnsiTheme="minorEastAsia" w:eastAsiaTheme="minorEastAsia"/>
        </w:rPr>
        <w:t>（</w:t>
      </w:r>
      <w:r>
        <w:rPr>
          <w:rFonts w:asciiTheme="minorEastAsia" w:hAnsiTheme="minorEastAsia" w:eastAsiaTheme="minorEastAsia"/>
          <w:spacing w:val="-3"/>
        </w:rPr>
        <w:t>单</w:t>
      </w:r>
      <w:r>
        <w:rPr>
          <w:rFonts w:asciiTheme="minorEastAsia" w:hAnsiTheme="minorEastAsia" w:eastAsiaTheme="minorEastAsia"/>
        </w:rPr>
        <w:t>位</w:t>
      </w:r>
      <w:r>
        <w:rPr>
          <w:rFonts w:asciiTheme="minorEastAsia" w:hAnsiTheme="minorEastAsia" w:eastAsiaTheme="minorEastAsia"/>
          <w:spacing w:val="-3"/>
        </w:rPr>
        <w:t>负</w:t>
      </w:r>
      <w:r>
        <w:rPr>
          <w:rFonts w:asciiTheme="minorEastAsia" w:hAnsiTheme="minorEastAsia" w:eastAsiaTheme="minorEastAsia"/>
        </w:rPr>
        <w:t>责</w:t>
      </w:r>
      <w:r>
        <w:rPr>
          <w:rFonts w:asciiTheme="minorEastAsia" w:hAnsiTheme="minorEastAsia" w:eastAsiaTheme="minorEastAsia"/>
          <w:spacing w:val="-3"/>
        </w:rPr>
        <w:t>人</w:t>
      </w:r>
      <w:r>
        <w:rPr>
          <w:rFonts w:asciiTheme="minorEastAsia" w:hAnsiTheme="minorEastAsia" w:eastAsiaTheme="minorEastAsia"/>
          <w:spacing w:val="-106"/>
        </w:rPr>
        <w:t>）</w:t>
      </w:r>
      <w:r>
        <w:rPr>
          <w:rFonts w:asciiTheme="minorEastAsia" w:hAnsiTheme="minorEastAsia" w:eastAsiaTheme="minorEastAsia"/>
        </w:rPr>
        <w:t>。</w:t>
      </w:r>
    </w:p>
    <w:p>
      <w:pPr>
        <w:pStyle w:val="6"/>
        <w:spacing w:before="170"/>
        <w:ind w:left="820"/>
        <w:rPr>
          <w:rFonts w:asciiTheme="minorEastAsia" w:hAnsiTheme="minorEastAsia" w:eastAsiaTheme="minorEastAsia"/>
        </w:rPr>
      </w:pPr>
      <w:r>
        <w:rPr>
          <w:rFonts w:asciiTheme="minorEastAsia" w:hAnsiTheme="minorEastAsia" w:eastAsiaTheme="minorEastAsia"/>
        </w:rPr>
        <w:t>特此证明。</w:t>
      </w:r>
    </w:p>
    <w:p>
      <w:pPr>
        <w:pStyle w:val="6"/>
        <w:rPr>
          <w:rFonts w:asciiTheme="minorEastAsia" w:hAnsiTheme="minorEastAsia" w:eastAsiaTheme="minorEastAsia"/>
          <w:sz w:val="20"/>
        </w:rPr>
      </w:pPr>
    </w:p>
    <w:p>
      <w:pPr>
        <w:pStyle w:val="6"/>
        <w:spacing w:before="10"/>
        <w:rPr>
          <w:rFonts w:asciiTheme="minorEastAsia" w:hAnsiTheme="minorEastAsia" w:eastAsiaTheme="minorEastAsia"/>
          <w:sz w:val="27"/>
        </w:rPr>
      </w:pPr>
    </w:p>
    <w:p>
      <w:pPr>
        <w:pStyle w:val="6"/>
        <w:ind w:left="400"/>
        <w:rPr>
          <w:rFonts w:asciiTheme="minorEastAsia" w:hAnsiTheme="minorEastAsia" w:eastAsiaTheme="minorEastAsia"/>
        </w:rPr>
      </w:pPr>
      <w:r>
        <w:rPr>
          <w:rFonts w:asciiTheme="minorEastAsia" w:hAnsiTheme="minorEastAsia" w:eastAsiaTheme="minorEastAsia"/>
        </w:rPr>
        <w:t>附：法定代表人（单位负责人）身份证复印件。</w:t>
      </w:r>
    </w:p>
    <w:p>
      <w:pPr>
        <w:pStyle w:val="6"/>
        <w:rPr>
          <w:rFonts w:asciiTheme="minorEastAsia" w:hAnsiTheme="minorEastAsia" w:eastAsiaTheme="minorEastAsia"/>
          <w:sz w:val="20"/>
        </w:rPr>
      </w:pPr>
    </w:p>
    <w:p>
      <w:pPr>
        <w:pStyle w:val="6"/>
        <w:spacing w:before="7"/>
        <w:rPr>
          <w:rFonts w:asciiTheme="minorEastAsia" w:hAnsiTheme="minorEastAsia" w:eastAsiaTheme="minorEastAsia"/>
          <w:sz w:val="27"/>
        </w:rPr>
      </w:pPr>
    </w:p>
    <w:p>
      <w:pPr>
        <w:pStyle w:val="6"/>
        <w:rPr>
          <w:rFonts w:asciiTheme="minorEastAsia" w:hAnsiTheme="minorEastAsia" w:eastAsiaTheme="minorEastAsia"/>
          <w:sz w:val="20"/>
        </w:rPr>
      </w:pPr>
    </w:p>
    <w:p>
      <w:pPr>
        <w:pStyle w:val="6"/>
        <w:rPr>
          <w:rFonts w:asciiTheme="minorEastAsia" w:hAnsiTheme="minorEastAsia" w:eastAsiaTheme="minorEastAsia"/>
          <w:sz w:val="20"/>
        </w:rPr>
      </w:pPr>
    </w:p>
    <w:p>
      <w:pPr>
        <w:pStyle w:val="6"/>
        <w:rPr>
          <w:rFonts w:asciiTheme="minorEastAsia" w:hAnsiTheme="minorEastAsia" w:eastAsiaTheme="minorEastAsia"/>
          <w:sz w:val="20"/>
        </w:rPr>
      </w:pPr>
    </w:p>
    <w:p>
      <w:pPr>
        <w:pStyle w:val="6"/>
        <w:spacing w:before="1"/>
        <w:rPr>
          <w:rFonts w:asciiTheme="minorEastAsia" w:hAnsiTheme="minorEastAsia" w:eastAsiaTheme="minorEastAsia"/>
          <w:sz w:val="22"/>
        </w:rPr>
      </w:pPr>
    </w:p>
    <w:p>
      <w:pPr>
        <w:pStyle w:val="6"/>
        <w:tabs>
          <w:tab w:val="left" w:pos="6821"/>
        </w:tabs>
        <w:ind w:left="4512"/>
        <w:rPr>
          <w:rFonts w:asciiTheme="minorEastAsia" w:hAnsiTheme="minorEastAsia" w:eastAsiaTheme="minorEastAsia"/>
        </w:rPr>
      </w:pPr>
      <w:r>
        <w:rPr>
          <w:rFonts w:hint="eastAsia" w:asciiTheme="minorEastAsia" w:hAnsiTheme="minorEastAsia" w:eastAsiaTheme="minorEastAsia"/>
          <w:spacing w:val="-3"/>
        </w:rPr>
        <w:t>竞选</w:t>
      </w:r>
      <w:r>
        <w:rPr>
          <w:rFonts w:asciiTheme="minorEastAsia" w:hAnsiTheme="minorEastAsia" w:eastAsiaTheme="minorEastAsia"/>
          <w:spacing w:val="-3"/>
        </w:rPr>
        <w:t>人</w:t>
      </w:r>
      <w:r>
        <w:rPr>
          <w:rFonts w:asciiTheme="minorEastAsia" w:hAnsiTheme="minorEastAsia" w:eastAsiaTheme="minorEastAsia"/>
        </w:rPr>
        <w:t>：</w:t>
      </w:r>
      <w:r>
        <w:rPr>
          <w:rFonts w:asciiTheme="minorEastAsia" w:hAnsiTheme="minorEastAsia" w:eastAsiaTheme="minorEastAsia"/>
          <w:u w:val="single"/>
        </w:rPr>
        <w:tab/>
      </w:r>
      <w:r>
        <w:rPr>
          <w:rFonts w:asciiTheme="minorEastAsia" w:hAnsiTheme="minorEastAsia" w:eastAsiaTheme="minorEastAsia"/>
        </w:rPr>
        <w:t>（单</w:t>
      </w:r>
      <w:r>
        <w:rPr>
          <w:rFonts w:asciiTheme="minorEastAsia" w:hAnsiTheme="minorEastAsia" w:eastAsiaTheme="minorEastAsia"/>
          <w:spacing w:val="-3"/>
        </w:rPr>
        <w:t>位</w:t>
      </w:r>
      <w:r>
        <w:rPr>
          <w:rFonts w:asciiTheme="minorEastAsia" w:hAnsiTheme="minorEastAsia" w:eastAsiaTheme="minorEastAsia"/>
        </w:rPr>
        <w:t>公</w:t>
      </w:r>
      <w:r>
        <w:rPr>
          <w:rFonts w:asciiTheme="minorEastAsia" w:hAnsiTheme="minorEastAsia" w:eastAsiaTheme="minorEastAsia"/>
          <w:spacing w:val="-3"/>
        </w:rPr>
        <w:t>章</w:t>
      </w:r>
      <w:r>
        <w:rPr>
          <w:rFonts w:asciiTheme="minorEastAsia" w:hAnsiTheme="minorEastAsia" w:eastAsiaTheme="minorEastAsia"/>
        </w:rPr>
        <w:t>）</w:t>
      </w:r>
    </w:p>
    <w:p>
      <w:pPr>
        <w:pStyle w:val="6"/>
        <w:rPr>
          <w:rFonts w:asciiTheme="minorEastAsia" w:hAnsiTheme="minorEastAsia" w:eastAsiaTheme="minorEastAsia"/>
          <w:sz w:val="20"/>
        </w:rPr>
      </w:pPr>
    </w:p>
    <w:p>
      <w:pPr>
        <w:pStyle w:val="6"/>
        <w:spacing w:before="2"/>
        <w:rPr>
          <w:rFonts w:asciiTheme="minorEastAsia" w:hAnsiTheme="minorEastAsia" w:eastAsiaTheme="minorEastAsia"/>
          <w:sz w:val="22"/>
        </w:rPr>
      </w:pPr>
      <w:r>
        <w:pict>
          <v:rect id="矩形 8" o:spid="_x0000_s2050" o:spt="1" style="position:absolute;left:0pt;margin-left:-9.55pt;margin-top:10.95pt;height:124.8pt;width:207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">
            <v:path/>
            <v:fill focussize="0,0"/>
            <v:stroke dashstyle="dashDot"/>
            <v:imagedata o:title=""/>
            <o:lock v:ext="edit"/>
          </v:rect>
        </w:pict>
      </w:r>
    </w:p>
    <w:p>
      <w:pPr>
        <w:spacing w:line="360" w:lineRule="auto"/>
        <w:jc w:val="left"/>
        <w:rPr>
          <w:sz w:val="24"/>
        </w:rPr>
      </w:pPr>
      <w:r>
        <w:rPr>
          <w:sz w:val="24"/>
        </w:rPr>
        <w:t>法定代表人身份证双面复印件</w:t>
      </w:r>
    </w:p>
    <w:p>
      <w:pPr>
        <w:spacing w:line="200" w:lineRule="exact"/>
        <w:jc w:val="left"/>
        <w:rPr>
          <w:sz w:val="24"/>
        </w:rPr>
      </w:pPr>
    </w:p>
    <w:p>
      <w:pPr>
        <w:spacing w:line="200" w:lineRule="exact"/>
        <w:jc w:val="left"/>
        <w:rPr>
          <w:sz w:val="24"/>
        </w:rPr>
      </w:pPr>
    </w:p>
    <w:p>
      <w:pPr>
        <w:spacing w:line="323" w:lineRule="exact"/>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autoSpaceDE w:val="0"/>
        <w:autoSpaceDN w:val="0"/>
        <w:adjustRightInd w:val="0"/>
        <w:snapToGrid w:val="0"/>
        <w:spacing w:line="360" w:lineRule="auto"/>
        <w:jc w:val="left"/>
        <w:rPr>
          <w:rFonts w:ascii="宋体" w:hAnsi="宋体" w:cs="宋体"/>
          <w:kern w:val="0"/>
          <w:szCs w:val="21"/>
        </w:rPr>
      </w:pPr>
      <w:r>
        <w:rPr>
          <w:rFonts w:hint="eastAsia" w:ascii="宋体" w:hAnsi="宋体" w:cs="宋体"/>
          <w:b/>
          <w:szCs w:val="21"/>
        </w:rPr>
        <w:t>注：法定代表人身份证明需按上述格式填写完整，不可缺少内容。在此基础上增加内容的不影响其有效性。</w:t>
      </w:r>
    </w:p>
    <w:p>
      <w:pPr>
        <w:pStyle w:val="6"/>
        <w:tabs>
          <w:tab w:val="left" w:pos="5652"/>
          <w:tab w:val="left" w:pos="6492"/>
          <w:tab w:val="left" w:pos="7332"/>
        </w:tabs>
        <w:spacing w:before="71"/>
        <w:ind w:left="5021"/>
        <w:rPr>
          <w:rFonts w:asciiTheme="minorEastAsia" w:hAnsiTheme="minorEastAsia" w:eastAsiaTheme="minorEastAsia"/>
        </w:rPr>
      </w:pPr>
    </w:p>
    <w:p>
      <w:pPr>
        <w:rPr>
          <w:rFonts w:asciiTheme="minorEastAsia" w:hAnsiTheme="minorEastAsia" w:eastAsiaTheme="minorEastAsia"/>
        </w:rPr>
        <w:sectPr>
          <w:pgSz w:w="12240" w:h="15840"/>
          <w:pgMar w:top="1400" w:right="1100" w:bottom="1120" w:left="1400" w:header="0" w:footer="841" w:gutter="0"/>
          <w:cols w:space="720" w:num="1"/>
        </w:sectPr>
      </w:pPr>
    </w:p>
    <w:p>
      <w:pPr>
        <w:pStyle w:val="2"/>
        <w:spacing w:line="525" w:lineRule="exact"/>
        <w:ind w:right="299"/>
        <w:jc w:val="center"/>
        <w:rPr>
          <w:rFonts w:asciiTheme="minorEastAsia" w:hAnsiTheme="minorEastAsia" w:eastAsiaTheme="minorEastAsia"/>
        </w:rPr>
      </w:pPr>
      <w:bookmarkStart w:id="181" w:name="_bookmark158"/>
      <w:bookmarkEnd w:id="181"/>
      <w:bookmarkStart w:id="182" w:name="_Toc15709"/>
      <w:bookmarkStart w:id="183" w:name="_Toc17299"/>
      <w:r>
        <w:rPr>
          <w:rFonts w:asciiTheme="minorEastAsia" w:hAnsiTheme="minorEastAsia" w:eastAsiaTheme="minorEastAsia"/>
        </w:rPr>
        <w:t>授权委托书</w:t>
      </w:r>
      <w:bookmarkEnd w:id="182"/>
      <w:bookmarkEnd w:id="183"/>
    </w:p>
    <w:p>
      <w:pPr>
        <w:pStyle w:val="6"/>
        <w:rPr>
          <w:rFonts w:asciiTheme="minorEastAsia" w:hAnsiTheme="minorEastAsia" w:eastAsiaTheme="minorEastAsia"/>
          <w:b/>
          <w:sz w:val="32"/>
        </w:rPr>
      </w:pPr>
    </w:p>
    <w:p>
      <w:pPr>
        <w:pStyle w:val="6"/>
        <w:spacing w:before="5"/>
        <w:rPr>
          <w:rFonts w:asciiTheme="minorEastAsia" w:hAnsiTheme="minorEastAsia" w:eastAsiaTheme="minorEastAsia"/>
          <w:b/>
          <w:sz w:val="26"/>
        </w:rPr>
      </w:pPr>
    </w:p>
    <w:p>
      <w:pPr>
        <w:pStyle w:val="6"/>
        <w:tabs>
          <w:tab w:val="left" w:pos="2721"/>
          <w:tab w:val="left" w:pos="5885"/>
        </w:tabs>
        <w:ind w:left="820"/>
        <w:rPr>
          <w:rFonts w:asciiTheme="minorEastAsia" w:hAnsiTheme="minorEastAsia" w:eastAsiaTheme="minorEastAsia"/>
        </w:rPr>
      </w:pPr>
      <w:r>
        <w:rPr>
          <w:rFonts w:asciiTheme="minorEastAsia" w:hAnsiTheme="minorEastAsia" w:eastAsiaTheme="minorEastAsia"/>
        </w:rPr>
        <w:t>本人</w:t>
      </w:r>
      <w:r>
        <w:rPr>
          <w:rFonts w:asciiTheme="minorEastAsia" w:hAnsiTheme="minorEastAsia" w:eastAsiaTheme="minorEastAsia"/>
          <w:u w:val="single"/>
        </w:rPr>
        <w:tab/>
      </w:r>
      <w:r>
        <w:rPr>
          <w:rFonts w:asciiTheme="minorEastAsia" w:hAnsiTheme="minorEastAsia" w:eastAsiaTheme="minorEastAsia"/>
        </w:rPr>
        <w:t>（</w:t>
      </w:r>
      <w:r>
        <w:rPr>
          <w:rFonts w:asciiTheme="minorEastAsia" w:hAnsiTheme="minorEastAsia" w:eastAsiaTheme="minorEastAsia"/>
          <w:spacing w:val="-3"/>
        </w:rPr>
        <w:t>姓</w:t>
      </w:r>
      <w:r>
        <w:rPr>
          <w:rFonts w:asciiTheme="minorEastAsia" w:hAnsiTheme="minorEastAsia" w:eastAsiaTheme="minorEastAsia"/>
        </w:rPr>
        <w:t>名）系</w:t>
      </w:r>
      <w:r>
        <w:rPr>
          <w:rFonts w:asciiTheme="minorEastAsia" w:hAnsiTheme="minorEastAsia" w:eastAsiaTheme="minorEastAsia"/>
          <w:u w:val="single"/>
        </w:rPr>
        <w:tab/>
      </w:r>
      <w:r>
        <w:rPr>
          <w:rFonts w:asciiTheme="minorEastAsia" w:hAnsiTheme="minorEastAsia" w:eastAsiaTheme="minorEastAsia"/>
        </w:rPr>
        <w:t>（</w:t>
      </w:r>
      <w:r>
        <w:rPr>
          <w:rFonts w:hint="eastAsia" w:asciiTheme="minorEastAsia" w:hAnsiTheme="minorEastAsia" w:eastAsiaTheme="minorEastAsia"/>
        </w:rPr>
        <w:t>竞选</w:t>
      </w:r>
      <w:r>
        <w:rPr>
          <w:rFonts w:asciiTheme="minorEastAsia" w:hAnsiTheme="minorEastAsia" w:eastAsiaTheme="minorEastAsia"/>
        </w:rPr>
        <w:t>人</w:t>
      </w:r>
      <w:r>
        <w:rPr>
          <w:rFonts w:asciiTheme="minorEastAsia" w:hAnsiTheme="minorEastAsia" w:eastAsiaTheme="minorEastAsia"/>
          <w:spacing w:val="-3"/>
        </w:rPr>
        <w:t>名</w:t>
      </w:r>
      <w:r>
        <w:rPr>
          <w:rFonts w:asciiTheme="minorEastAsia" w:hAnsiTheme="minorEastAsia" w:eastAsiaTheme="minorEastAsia"/>
        </w:rPr>
        <w:t>称）的</w:t>
      </w:r>
      <w:r>
        <w:rPr>
          <w:rFonts w:asciiTheme="minorEastAsia" w:hAnsiTheme="minorEastAsia" w:eastAsiaTheme="minorEastAsia"/>
          <w:spacing w:val="-3"/>
        </w:rPr>
        <w:t>法定</w:t>
      </w:r>
      <w:r>
        <w:rPr>
          <w:rFonts w:asciiTheme="minorEastAsia" w:hAnsiTheme="minorEastAsia" w:eastAsiaTheme="minorEastAsia"/>
        </w:rPr>
        <w:t>代表人</w:t>
      </w:r>
      <w:r>
        <w:rPr>
          <w:rFonts w:asciiTheme="minorEastAsia" w:hAnsiTheme="minorEastAsia" w:eastAsiaTheme="minorEastAsia"/>
          <w:spacing w:val="-3"/>
        </w:rPr>
        <w:t>（</w:t>
      </w:r>
      <w:r>
        <w:rPr>
          <w:rFonts w:asciiTheme="minorEastAsia" w:hAnsiTheme="minorEastAsia" w:eastAsiaTheme="minorEastAsia"/>
        </w:rPr>
        <w:t>单</w:t>
      </w:r>
    </w:p>
    <w:p>
      <w:pPr>
        <w:pStyle w:val="6"/>
        <w:tabs>
          <w:tab w:val="left" w:pos="3458"/>
        </w:tabs>
        <w:spacing w:before="170"/>
        <w:ind w:left="400"/>
        <w:rPr>
          <w:rFonts w:asciiTheme="minorEastAsia" w:hAnsiTheme="minorEastAsia" w:eastAsiaTheme="minorEastAsia"/>
        </w:rPr>
      </w:pPr>
      <w:r>
        <w:rPr>
          <w:rFonts w:asciiTheme="minorEastAsia" w:hAnsiTheme="minorEastAsia" w:eastAsiaTheme="minorEastAsia"/>
        </w:rPr>
        <w:t>位负责</w:t>
      </w:r>
      <w:r>
        <w:rPr>
          <w:rFonts w:asciiTheme="minorEastAsia" w:hAnsiTheme="minorEastAsia" w:eastAsiaTheme="minorEastAsia"/>
          <w:spacing w:val="-3"/>
        </w:rPr>
        <w:t>人</w:t>
      </w:r>
      <w:r>
        <w:rPr>
          <w:rFonts w:asciiTheme="minorEastAsia" w:hAnsiTheme="minorEastAsia" w:eastAsiaTheme="minorEastAsia"/>
          <w:spacing w:val="-104"/>
        </w:rPr>
        <w:t>）</w:t>
      </w:r>
      <w:r>
        <w:rPr>
          <w:rFonts w:asciiTheme="minorEastAsia" w:hAnsiTheme="minorEastAsia" w:eastAsiaTheme="minorEastAsia"/>
        </w:rPr>
        <w:t>，</w:t>
      </w:r>
      <w:r>
        <w:rPr>
          <w:rFonts w:asciiTheme="minorEastAsia" w:hAnsiTheme="minorEastAsia" w:eastAsiaTheme="minorEastAsia"/>
          <w:spacing w:val="-3"/>
        </w:rPr>
        <w:t>现</w:t>
      </w:r>
      <w:r>
        <w:rPr>
          <w:rFonts w:asciiTheme="minorEastAsia" w:hAnsiTheme="minorEastAsia" w:eastAsiaTheme="minorEastAsia"/>
        </w:rPr>
        <w:t>委</w:t>
      </w:r>
      <w:r>
        <w:rPr>
          <w:rFonts w:asciiTheme="minorEastAsia" w:hAnsiTheme="minorEastAsia" w:eastAsiaTheme="minorEastAsia"/>
          <w:spacing w:val="-1"/>
        </w:rPr>
        <w:t>托</w:t>
      </w:r>
      <w:r>
        <w:rPr>
          <w:rFonts w:asciiTheme="minorEastAsia" w:hAnsiTheme="minorEastAsia" w:eastAsiaTheme="minorEastAsia"/>
          <w:u w:val="single"/>
        </w:rPr>
        <w:tab/>
      </w:r>
      <w:r>
        <w:rPr>
          <w:rFonts w:asciiTheme="minorEastAsia" w:hAnsiTheme="minorEastAsia" w:eastAsiaTheme="minorEastAsia"/>
        </w:rPr>
        <w:t>（姓名）为我</w:t>
      </w:r>
      <w:r>
        <w:rPr>
          <w:rFonts w:asciiTheme="minorEastAsia" w:hAnsiTheme="minorEastAsia" w:eastAsiaTheme="minorEastAsia"/>
          <w:spacing w:val="-3"/>
        </w:rPr>
        <w:t>方代</w:t>
      </w:r>
      <w:r>
        <w:rPr>
          <w:rFonts w:asciiTheme="minorEastAsia" w:hAnsiTheme="minorEastAsia" w:eastAsiaTheme="minorEastAsia"/>
        </w:rPr>
        <w:t>理人。代理</w:t>
      </w:r>
      <w:r>
        <w:rPr>
          <w:rFonts w:asciiTheme="minorEastAsia" w:hAnsiTheme="minorEastAsia" w:eastAsiaTheme="minorEastAsia"/>
          <w:spacing w:val="-3"/>
        </w:rPr>
        <w:t>人</w:t>
      </w:r>
      <w:r>
        <w:rPr>
          <w:rFonts w:asciiTheme="minorEastAsia" w:hAnsiTheme="minorEastAsia" w:eastAsiaTheme="minorEastAsia"/>
        </w:rPr>
        <w:t>根据授</w:t>
      </w:r>
      <w:r>
        <w:rPr>
          <w:rFonts w:asciiTheme="minorEastAsia" w:hAnsiTheme="minorEastAsia" w:eastAsiaTheme="minorEastAsia"/>
          <w:spacing w:val="-3"/>
        </w:rPr>
        <w:t>权，</w:t>
      </w:r>
      <w:r>
        <w:rPr>
          <w:rFonts w:asciiTheme="minorEastAsia" w:hAnsiTheme="minorEastAsia" w:eastAsiaTheme="minorEastAsia"/>
        </w:rPr>
        <w:t>以我方名义</w:t>
      </w:r>
      <w:r>
        <w:rPr>
          <w:rFonts w:asciiTheme="minorEastAsia" w:hAnsiTheme="minorEastAsia" w:eastAsiaTheme="minorEastAsia"/>
          <w:spacing w:val="-3"/>
        </w:rPr>
        <w:t>签</w:t>
      </w:r>
      <w:r>
        <w:rPr>
          <w:rFonts w:asciiTheme="minorEastAsia" w:hAnsiTheme="minorEastAsia" w:eastAsiaTheme="minorEastAsia"/>
        </w:rPr>
        <w:t>署、</w:t>
      </w:r>
    </w:p>
    <w:p>
      <w:pPr>
        <w:pStyle w:val="6"/>
        <w:spacing w:before="170" w:line="393" w:lineRule="auto"/>
        <w:ind w:left="400" w:right="694"/>
        <w:rPr>
          <w:rFonts w:asciiTheme="minorEastAsia" w:hAnsiTheme="minorEastAsia" w:eastAsiaTheme="minorEastAsia"/>
        </w:rPr>
      </w:pPr>
      <w:r>
        <w:rPr>
          <w:rFonts w:asciiTheme="minorEastAsia" w:hAnsiTheme="minorEastAsia" w:eastAsiaTheme="minorEastAsia"/>
        </w:rPr>
        <w:t>澄清确认、递交、撤回、修改设备采购</w:t>
      </w:r>
      <w:r>
        <w:rPr>
          <w:rFonts w:hint="eastAsia" w:asciiTheme="minorEastAsia" w:hAnsiTheme="minorEastAsia" w:eastAsiaTheme="minorEastAsia"/>
        </w:rPr>
        <w:t>比选</w:t>
      </w:r>
      <w:r>
        <w:rPr>
          <w:rFonts w:asciiTheme="minorEastAsia" w:hAnsiTheme="minorEastAsia" w:eastAsiaTheme="minorEastAsia"/>
        </w:rPr>
        <w:t>项目</w:t>
      </w:r>
      <w:r>
        <w:rPr>
          <w:rFonts w:hint="eastAsia" w:asciiTheme="minorEastAsia" w:hAnsiTheme="minorEastAsia" w:eastAsiaTheme="minorEastAsia"/>
        </w:rPr>
        <w:t>竞选</w:t>
      </w:r>
      <w:r>
        <w:rPr>
          <w:rFonts w:asciiTheme="minorEastAsia" w:hAnsiTheme="minorEastAsia" w:eastAsiaTheme="minorEastAsia"/>
        </w:rPr>
        <w:t>文件、签订合同和处理有关事宜，其法律后果由我方承担。</w:t>
      </w:r>
    </w:p>
    <w:p>
      <w:pPr>
        <w:pStyle w:val="6"/>
        <w:tabs>
          <w:tab w:val="left" w:pos="3866"/>
        </w:tabs>
        <w:spacing w:line="268" w:lineRule="exact"/>
        <w:ind w:left="400"/>
        <w:rPr>
          <w:rFonts w:asciiTheme="minorEastAsia" w:hAnsiTheme="minorEastAsia" w:eastAsiaTheme="minorEastAsia"/>
        </w:rPr>
      </w:pPr>
      <w:r>
        <w:rPr>
          <w:rFonts w:asciiTheme="minorEastAsia" w:hAnsiTheme="minorEastAsia" w:eastAsiaTheme="minorEastAsia"/>
        </w:rPr>
        <w:t>委托</w:t>
      </w:r>
      <w:r>
        <w:rPr>
          <w:rFonts w:asciiTheme="minorEastAsia" w:hAnsiTheme="minorEastAsia" w:eastAsiaTheme="minorEastAsia"/>
          <w:spacing w:val="-3"/>
        </w:rPr>
        <w:t>期</w:t>
      </w:r>
      <w:r>
        <w:rPr>
          <w:rFonts w:asciiTheme="minorEastAsia" w:hAnsiTheme="minorEastAsia" w:eastAsiaTheme="minorEastAsia"/>
        </w:rPr>
        <w:t>限</w:t>
      </w:r>
      <w:r>
        <w:rPr>
          <w:rFonts w:asciiTheme="minorEastAsia" w:hAnsiTheme="minorEastAsia" w:eastAsiaTheme="minorEastAsia"/>
          <w:spacing w:val="-3"/>
        </w:rPr>
        <w:t>：</w:t>
      </w:r>
      <w:r>
        <w:rPr>
          <w:rFonts w:asciiTheme="minorEastAsia" w:hAnsiTheme="minorEastAsia" w:eastAsiaTheme="minorEastAsia"/>
          <w:spacing w:val="-3"/>
          <w:u w:val="single"/>
        </w:rPr>
        <w:tab/>
      </w:r>
      <w:r>
        <w:rPr>
          <w:rFonts w:asciiTheme="minorEastAsia" w:hAnsiTheme="minorEastAsia" w:eastAsiaTheme="minorEastAsia"/>
        </w:rPr>
        <w:t>。</w:t>
      </w:r>
    </w:p>
    <w:p>
      <w:pPr>
        <w:pStyle w:val="6"/>
        <w:spacing w:before="171"/>
        <w:ind w:left="820"/>
        <w:rPr>
          <w:rFonts w:asciiTheme="minorEastAsia" w:hAnsiTheme="minorEastAsia" w:eastAsiaTheme="minorEastAsia"/>
        </w:rPr>
      </w:pPr>
      <w:r>
        <w:rPr>
          <w:rFonts w:asciiTheme="minorEastAsia" w:hAnsiTheme="minorEastAsia" w:eastAsiaTheme="minorEastAsia"/>
        </w:rPr>
        <w:t>代理人无转委托权。</w:t>
      </w:r>
    </w:p>
    <w:p>
      <w:pPr>
        <w:pStyle w:val="6"/>
        <w:rPr>
          <w:rFonts w:asciiTheme="minorEastAsia" w:hAnsiTheme="minorEastAsia" w:eastAsiaTheme="minorEastAsia"/>
          <w:sz w:val="20"/>
        </w:rPr>
      </w:pPr>
    </w:p>
    <w:p>
      <w:pPr>
        <w:spacing w:line="200" w:lineRule="exact"/>
        <w:jc w:val="left"/>
        <w:rPr>
          <w:sz w:val="24"/>
        </w:rPr>
      </w:pPr>
      <w:bookmarkStart w:id="184" w:name="_bookmark159"/>
      <w:bookmarkEnd w:id="184"/>
      <w:bookmarkStart w:id="185" w:name="_Toc18717"/>
    </w:p>
    <w:p>
      <w:pPr>
        <w:spacing w:line="200" w:lineRule="exact"/>
        <w:jc w:val="left"/>
        <w:rPr>
          <w:sz w:val="24"/>
        </w:rPr>
      </w:pPr>
    </w:p>
    <w:p>
      <w:pPr>
        <w:spacing w:line="274" w:lineRule="exact"/>
        <w:jc w:val="left"/>
        <w:rPr>
          <w:sz w:val="24"/>
        </w:rPr>
      </w:pPr>
    </w:p>
    <w:tbl>
      <w:tblPr>
        <w:tblStyle w:val="18"/>
        <w:tblpPr w:leftFromText="180" w:rightFromText="180" w:vertAnchor="text" w:horzAnchor="margin" w:tblpXSpec="right" w:tblpY="104"/>
        <w:tblW w:w="4248"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248"/>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Ex>
        <w:trPr>
          <w:trHeight w:val="2340" w:hRule="atLeast"/>
        </w:trPr>
        <w:tc>
          <w:tcPr>
            <w:tcW w:w="4248" w:type="dxa"/>
            <w:tcBorders>
              <w:top w:val="dotDotDash" w:color="auto" w:sz="4" w:space="0"/>
              <w:left w:val="dotDotDash" w:color="auto" w:sz="4" w:space="0"/>
              <w:bottom w:val="dotDotDash" w:color="auto" w:sz="4" w:space="0"/>
              <w:right w:val="dotDotDash" w:color="auto" w:sz="4" w:space="0"/>
            </w:tcBorders>
          </w:tcPr>
          <w:p>
            <w:pPr>
              <w:adjustRightInd w:val="0"/>
              <w:snapToGrid w:val="0"/>
              <w:spacing w:line="360" w:lineRule="auto"/>
              <w:rPr>
                <w:rFonts w:ascii="宋体" w:hAnsi="宋体" w:cs="宋体"/>
                <w:b/>
                <w:sz w:val="24"/>
              </w:rPr>
            </w:pPr>
            <w:r>
              <w:rPr>
                <w:rFonts w:hint="eastAsia" w:ascii="宋体" w:hAnsi="宋体" w:cs="宋体"/>
                <w:b/>
                <w:sz w:val="24"/>
              </w:rPr>
              <w:t>委托代理人身份证双面复印件</w:t>
            </w:r>
          </w:p>
          <w:p>
            <w:pPr>
              <w:adjustRightInd w:val="0"/>
              <w:snapToGrid w:val="0"/>
              <w:spacing w:line="360" w:lineRule="auto"/>
              <w:ind w:firstLine="944" w:firstLineChars="392"/>
              <w:rPr>
                <w:rFonts w:ascii="宋体" w:hAnsi="宋体" w:cs="宋体"/>
                <w:b/>
                <w:sz w:val="24"/>
              </w:rPr>
            </w:pPr>
          </w:p>
          <w:p>
            <w:pPr>
              <w:adjustRightInd w:val="0"/>
              <w:snapToGrid w:val="0"/>
              <w:spacing w:line="360" w:lineRule="auto"/>
              <w:rPr>
                <w:rFonts w:ascii="宋体" w:hAnsi="宋体" w:cs="宋体"/>
                <w:b/>
                <w:sz w:val="28"/>
                <w:szCs w:val="28"/>
              </w:rPr>
            </w:pPr>
          </w:p>
          <w:p>
            <w:pPr>
              <w:adjustRightInd w:val="0"/>
              <w:snapToGrid w:val="0"/>
              <w:spacing w:line="360" w:lineRule="auto"/>
              <w:rPr>
                <w:rFonts w:ascii="宋体" w:hAnsi="宋体" w:cs="宋体"/>
                <w:b/>
                <w:sz w:val="28"/>
                <w:szCs w:val="28"/>
              </w:rPr>
            </w:pPr>
          </w:p>
          <w:p>
            <w:pPr>
              <w:adjustRightInd w:val="0"/>
              <w:snapToGrid w:val="0"/>
              <w:spacing w:line="360" w:lineRule="auto"/>
              <w:rPr>
                <w:rFonts w:ascii="宋体" w:hAnsi="宋体" w:cs="宋体"/>
                <w:b/>
                <w:sz w:val="28"/>
                <w:szCs w:val="28"/>
              </w:rPr>
            </w:pPr>
          </w:p>
        </w:tc>
      </w:tr>
    </w:tbl>
    <w:p>
      <w:pPr>
        <w:adjustRightInd w:val="0"/>
        <w:snapToGrid w:val="0"/>
        <w:spacing w:line="360" w:lineRule="auto"/>
        <w:rPr>
          <w:rFonts w:ascii="宋体" w:hAnsi="宋体"/>
          <w:vanish/>
        </w:rPr>
      </w:pPr>
    </w:p>
    <w:tbl>
      <w:tblPr>
        <w:tblStyle w:val="18"/>
        <w:tblpPr w:leftFromText="180" w:rightFromText="180" w:vertAnchor="text" w:horzAnchor="page" w:tblpX="996" w:tblpY="146"/>
        <w:tblW w:w="4246"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246"/>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Ex>
        <w:trPr>
          <w:trHeight w:val="2565" w:hRule="atLeast"/>
        </w:trPr>
        <w:tc>
          <w:tcPr>
            <w:tcW w:w="4246" w:type="dxa"/>
            <w:tcBorders>
              <w:top w:val="dotDotDash" w:color="auto" w:sz="4" w:space="0"/>
              <w:left w:val="dotDotDash" w:color="auto" w:sz="4" w:space="0"/>
              <w:bottom w:val="dotDotDash" w:color="auto" w:sz="4" w:space="0"/>
              <w:right w:val="dotDotDash" w:color="auto" w:sz="4" w:space="0"/>
            </w:tcBorders>
          </w:tcPr>
          <w:p>
            <w:pPr>
              <w:adjustRightInd w:val="0"/>
              <w:snapToGrid w:val="0"/>
              <w:spacing w:line="360" w:lineRule="auto"/>
              <w:ind w:firstLine="716" w:firstLineChars="297"/>
              <w:rPr>
                <w:rFonts w:ascii="宋体" w:hAnsi="宋体" w:cs="宋体"/>
                <w:b/>
                <w:sz w:val="24"/>
              </w:rPr>
            </w:pPr>
            <w:r>
              <w:rPr>
                <w:rFonts w:hint="eastAsia" w:ascii="宋体" w:hAnsi="宋体" w:cs="宋体"/>
                <w:b/>
                <w:sz w:val="24"/>
              </w:rPr>
              <w:t>法定代表人身份证双面复印件</w:t>
            </w:r>
          </w:p>
          <w:p>
            <w:pPr>
              <w:adjustRightInd w:val="0"/>
              <w:snapToGrid w:val="0"/>
              <w:spacing w:line="360" w:lineRule="auto"/>
              <w:ind w:firstLine="1070" w:firstLineChars="444"/>
              <w:rPr>
                <w:rFonts w:ascii="宋体" w:hAnsi="宋体" w:cs="宋体"/>
                <w:b/>
                <w:sz w:val="24"/>
              </w:rPr>
            </w:pPr>
          </w:p>
          <w:p>
            <w:pPr>
              <w:adjustRightInd w:val="0"/>
              <w:snapToGrid w:val="0"/>
              <w:spacing w:line="360" w:lineRule="auto"/>
              <w:rPr>
                <w:rFonts w:ascii="宋体" w:hAnsi="宋体" w:cs="宋体"/>
                <w:b/>
                <w:sz w:val="24"/>
              </w:rPr>
            </w:pPr>
          </w:p>
          <w:p>
            <w:pPr>
              <w:adjustRightInd w:val="0"/>
              <w:snapToGrid w:val="0"/>
              <w:spacing w:line="360" w:lineRule="auto"/>
              <w:rPr>
                <w:rFonts w:ascii="宋体" w:hAnsi="宋体" w:cs="宋体"/>
                <w:b/>
                <w:sz w:val="24"/>
              </w:rPr>
            </w:pPr>
          </w:p>
          <w:p>
            <w:pPr>
              <w:adjustRightInd w:val="0"/>
              <w:snapToGrid w:val="0"/>
              <w:spacing w:line="360" w:lineRule="auto"/>
              <w:rPr>
                <w:rFonts w:ascii="宋体" w:hAnsi="宋体" w:cs="宋体"/>
                <w:b/>
                <w:sz w:val="24"/>
              </w:rPr>
            </w:pPr>
          </w:p>
        </w:tc>
      </w:tr>
    </w:tbl>
    <w:p>
      <w:pPr>
        <w:tabs>
          <w:tab w:val="left" w:pos="4200"/>
          <w:tab w:val="left" w:pos="4620"/>
        </w:tabs>
        <w:autoSpaceDE w:val="0"/>
        <w:autoSpaceDN w:val="0"/>
        <w:adjustRightInd w:val="0"/>
        <w:snapToGrid w:val="0"/>
        <w:spacing w:line="360" w:lineRule="auto"/>
        <w:jc w:val="left"/>
        <w:rPr>
          <w:rFonts w:ascii="宋体" w:hAnsi="宋体" w:cs="宋体"/>
          <w:kern w:val="0"/>
          <w:szCs w:val="21"/>
        </w:rPr>
      </w:pPr>
    </w:p>
    <w:p>
      <w:pPr>
        <w:tabs>
          <w:tab w:val="left" w:pos="4200"/>
          <w:tab w:val="left" w:pos="4620"/>
        </w:tabs>
        <w:autoSpaceDE w:val="0"/>
        <w:autoSpaceDN w:val="0"/>
        <w:adjustRightInd w:val="0"/>
        <w:snapToGrid w:val="0"/>
        <w:spacing w:line="360" w:lineRule="auto"/>
        <w:jc w:val="left"/>
        <w:rPr>
          <w:rFonts w:ascii="宋体" w:hAnsi="宋体" w:cs="宋体"/>
          <w:kern w:val="0"/>
          <w:szCs w:val="21"/>
        </w:rPr>
      </w:pPr>
    </w:p>
    <w:p>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p>
    <w:p>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p>
    <w:p>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p>
    <w:p>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p>
    <w:p>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p>
    <w:p>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r>
        <w:rPr>
          <w:rFonts w:hint="eastAsia" w:ascii="宋体" w:hAnsi="宋体" w:cs="宋体"/>
          <w:kern w:val="0"/>
          <w:szCs w:val="21"/>
        </w:rPr>
        <w:t>竞选人：</w:t>
      </w:r>
      <w:r>
        <w:rPr>
          <w:rFonts w:hint="eastAsia" w:ascii="宋体" w:hAnsi="宋体" w:cs="宋体"/>
          <w:kern w:val="0"/>
          <w:szCs w:val="21"/>
          <w:u w:val="single"/>
        </w:rPr>
        <w:tab/>
      </w:r>
      <w:r>
        <w:rPr>
          <w:rFonts w:hint="eastAsia" w:ascii="宋体" w:hAnsi="宋体" w:cs="宋体"/>
          <w:kern w:val="0"/>
          <w:szCs w:val="21"/>
        </w:rPr>
        <w:t>（</w:t>
      </w:r>
      <w:r>
        <w:rPr>
          <w:rFonts w:hint="eastAsia" w:ascii="宋体" w:hAnsi="宋体" w:cs="宋体"/>
          <w:spacing w:val="-1"/>
          <w:kern w:val="0"/>
          <w:szCs w:val="21"/>
        </w:rPr>
        <w:t>盖</w:t>
      </w:r>
      <w:r>
        <w:rPr>
          <w:rFonts w:hint="eastAsia" w:ascii="宋体" w:hAnsi="宋体" w:cs="宋体"/>
          <w:kern w:val="0"/>
          <w:szCs w:val="21"/>
        </w:rPr>
        <w:t>单位章）</w:t>
      </w:r>
    </w:p>
    <w:p>
      <w:pPr>
        <w:tabs>
          <w:tab w:val="left" w:pos="6300"/>
        </w:tabs>
        <w:autoSpaceDE w:val="0"/>
        <w:autoSpaceDN w:val="0"/>
        <w:adjustRightInd w:val="0"/>
        <w:snapToGrid w:val="0"/>
        <w:spacing w:line="360" w:lineRule="auto"/>
        <w:ind w:firstLine="1680"/>
        <w:jc w:val="left"/>
        <w:rPr>
          <w:rFonts w:ascii="宋体" w:hAnsi="宋体" w:cs="宋体"/>
          <w:kern w:val="0"/>
          <w:szCs w:val="21"/>
        </w:rPr>
      </w:pPr>
      <w:r>
        <w:rPr>
          <w:rFonts w:hint="eastAsia" w:ascii="宋体" w:hAnsi="宋体" w:cs="宋体"/>
          <w:kern w:val="0"/>
          <w:szCs w:val="21"/>
        </w:rPr>
        <w:t>法定代表人：</w:t>
      </w:r>
      <w:r>
        <w:rPr>
          <w:rFonts w:hint="eastAsia" w:ascii="宋体" w:hAnsi="宋体" w:cs="宋体"/>
          <w:kern w:val="0"/>
          <w:szCs w:val="21"/>
          <w:u w:val="single"/>
        </w:rPr>
        <w:tab/>
      </w:r>
      <w:r>
        <w:rPr>
          <w:rFonts w:hint="eastAsia" w:ascii="宋体" w:hAnsi="宋体" w:cs="宋体"/>
          <w:kern w:val="0"/>
          <w:szCs w:val="21"/>
          <w:u w:val="single"/>
        </w:rPr>
        <w:tab/>
      </w:r>
      <w:r>
        <w:rPr>
          <w:rFonts w:hint="eastAsia" w:ascii="宋体" w:hAnsi="宋体" w:cs="宋体"/>
          <w:kern w:val="0"/>
          <w:szCs w:val="21"/>
        </w:rPr>
        <w:t>（签字或盖章）</w:t>
      </w:r>
    </w:p>
    <w:p>
      <w:pPr>
        <w:tabs>
          <w:tab w:val="left" w:pos="5260"/>
        </w:tabs>
        <w:autoSpaceDE w:val="0"/>
        <w:autoSpaceDN w:val="0"/>
        <w:adjustRightInd w:val="0"/>
        <w:snapToGrid w:val="0"/>
        <w:spacing w:line="360" w:lineRule="auto"/>
        <w:ind w:firstLine="1680"/>
        <w:jc w:val="left"/>
        <w:rPr>
          <w:rFonts w:ascii="宋体" w:hAnsi="宋体" w:cs="宋体"/>
          <w:kern w:val="0"/>
          <w:szCs w:val="21"/>
        </w:rPr>
      </w:pPr>
      <w:r>
        <w:rPr>
          <w:rFonts w:hint="eastAsia" w:ascii="宋体" w:hAnsi="宋体" w:cs="宋体"/>
          <w:kern w:val="0"/>
          <w:szCs w:val="21"/>
        </w:rPr>
        <w:t>身份证号码：</w:t>
      </w:r>
      <w:r>
        <w:rPr>
          <w:rFonts w:hint="eastAsia" w:ascii="宋体" w:hAnsi="宋体" w:cs="宋体"/>
          <w:kern w:val="0"/>
          <w:szCs w:val="21"/>
          <w:u w:val="single"/>
        </w:rPr>
        <w:tab/>
      </w:r>
    </w:p>
    <w:p>
      <w:pPr>
        <w:tabs>
          <w:tab w:val="left" w:pos="6720"/>
        </w:tabs>
        <w:autoSpaceDE w:val="0"/>
        <w:autoSpaceDN w:val="0"/>
        <w:adjustRightInd w:val="0"/>
        <w:snapToGrid w:val="0"/>
        <w:spacing w:line="360" w:lineRule="auto"/>
        <w:ind w:firstLine="1680"/>
        <w:jc w:val="left"/>
        <w:rPr>
          <w:rFonts w:ascii="宋体" w:hAnsi="宋体" w:cs="宋体"/>
          <w:kern w:val="0"/>
          <w:szCs w:val="21"/>
        </w:rPr>
      </w:pPr>
      <w:r>
        <w:rPr>
          <w:rFonts w:hint="eastAsia" w:ascii="宋体" w:hAnsi="宋体" w:cs="宋体"/>
          <w:kern w:val="0"/>
          <w:szCs w:val="21"/>
        </w:rPr>
        <w:t>委托代理人：</w:t>
      </w:r>
      <w:r>
        <w:rPr>
          <w:rFonts w:hint="eastAsia" w:ascii="宋体" w:hAnsi="宋体" w:cs="宋体"/>
          <w:kern w:val="0"/>
          <w:szCs w:val="21"/>
          <w:u w:val="single"/>
        </w:rPr>
        <w:tab/>
      </w:r>
      <w:r>
        <w:rPr>
          <w:rFonts w:hint="eastAsia" w:ascii="宋体" w:hAnsi="宋体" w:cs="宋体"/>
          <w:kern w:val="0"/>
          <w:szCs w:val="21"/>
        </w:rPr>
        <w:t>（签</w:t>
      </w:r>
      <w:r>
        <w:rPr>
          <w:rFonts w:hint="eastAsia" w:ascii="宋体" w:hAnsi="宋体" w:cs="宋体"/>
          <w:spacing w:val="-1"/>
          <w:kern w:val="0"/>
          <w:szCs w:val="21"/>
        </w:rPr>
        <w:t>字</w:t>
      </w:r>
      <w:r>
        <w:rPr>
          <w:rFonts w:hint="eastAsia" w:ascii="宋体" w:hAnsi="宋体" w:cs="宋体"/>
          <w:kern w:val="0"/>
          <w:szCs w:val="21"/>
        </w:rPr>
        <w:t>）</w:t>
      </w:r>
    </w:p>
    <w:p>
      <w:pPr>
        <w:tabs>
          <w:tab w:val="left" w:pos="6825"/>
        </w:tabs>
        <w:autoSpaceDE w:val="0"/>
        <w:autoSpaceDN w:val="0"/>
        <w:adjustRightInd w:val="0"/>
        <w:snapToGrid w:val="0"/>
        <w:spacing w:line="360" w:lineRule="auto"/>
        <w:ind w:firstLine="1680"/>
        <w:jc w:val="left"/>
        <w:rPr>
          <w:rFonts w:ascii="宋体" w:hAnsi="宋体" w:cs="宋体"/>
          <w:kern w:val="0"/>
          <w:szCs w:val="21"/>
        </w:rPr>
      </w:pPr>
      <w:r>
        <w:rPr>
          <w:rFonts w:hint="eastAsia" w:ascii="宋体" w:hAnsi="宋体" w:cs="宋体"/>
          <w:kern w:val="0"/>
          <w:szCs w:val="21"/>
        </w:rPr>
        <w:t>身份证号码：</w:t>
      </w:r>
      <w:r>
        <w:rPr>
          <w:rFonts w:hint="eastAsia" w:ascii="宋体" w:hAnsi="宋体" w:cs="宋体"/>
          <w:kern w:val="0"/>
          <w:szCs w:val="21"/>
          <w:u w:val="single"/>
        </w:rPr>
        <w:tab/>
      </w:r>
    </w:p>
    <w:p>
      <w:pPr>
        <w:tabs>
          <w:tab w:val="left" w:pos="4005"/>
          <w:tab w:val="left" w:pos="4100"/>
          <w:tab w:val="left" w:pos="5040"/>
        </w:tabs>
        <w:autoSpaceDE w:val="0"/>
        <w:autoSpaceDN w:val="0"/>
        <w:adjustRightInd w:val="0"/>
        <w:snapToGrid w:val="0"/>
        <w:spacing w:line="360" w:lineRule="auto"/>
        <w:ind w:firstLine="3780"/>
        <w:jc w:val="left"/>
        <w:rPr>
          <w:rFonts w:ascii="宋体" w:hAnsi="宋体" w:cs="宋体"/>
          <w:kern w:val="0"/>
          <w:szCs w:val="21"/>
        </w:rPr>
      </w:pPr>
      <w:r>
        <w:rPr>
          <w:rFonts w:hint="eastAsia" w:ascii="宋体" w:hAnsi="宋体" w:cs="宋体"/>
          <w:kern w:val="0"/>
          <w:szCs w:val="21"/>
          <w:u w:val="single"/>
        </w:rPr>
        <w:tab/>
      </w:r>
      <w:r>
        <w:rPr>
          <w:rFonts w:hint="eastAsia" w:ascii="宋体" w:hAnsi="宋体" w:cs="宋体"/>
          <w:kern w:val="0"/>
          <w:szCs w:val="21"/>
        </w:rPr>
        <w:t>年</w:t>
      </w:r>
      <w:r>
        <w:rPr>
          <w:rFonts w:hint="eastAsia" w:ascii="宋体" w:hAnsi="宋体" w:cs="宋体"/>
          <w:kern w:val="0"/>
          <w:szCs w:val="21"/>
          <w:u w:val="single"/>
        </w:rPr>
        <w:tab/>
      </w:r>
      <w:r>
        <w:rPr>
          <w:rFonts w:hint="eastAsia" w:ascii="宋体" w:hAnsi="宋体" w:cs="宋体"/>
          <w:kern w:val="0"/>
          <w:szCs w:val="21"/>
        </w:rPr>
        <w:t>月</w:t>
      </w:r>
      <w:r>
        <w:rPr>
          <w:rFonts w:hint="eastAsia" w:ascii="宋体" w:hAnsi="宋体" w:cs="宋体"/>
          <w:kern w:val="0"/>
          <w:szCs w:val="21"/>
          <w:u w:val="single"/>
        </w:rPr>
        <w:tab/>
      </w:r>
      <w:r>
        <w:rPr>
          <w:rFonts w:hint="eastAsia" w:ascii="宋体" w:hAnsi="宋体" w:cs="宋体"/>
          <w:kern w:val="0"/>
          <w:szCs w:val="21"/>
        </w:rPr>
        <w:t>日</w:t>
      </w:r>
    </w:p>
    <w:p>
      <w:pPr>
        <w:spacing w:line="200" w:lineRule="exact"/>
        <w:jc w:val="left"/>
        <w:rPr>
          <w:sz w:val="24"/>
        </w:rPr>
      </w:pPr>
    </w:p>
    <w:p>
      <w:pPr>
        <w:spacing w:line="270" w:lineRule="exact"/>
        <w:jc w:val="left"/>
        <w:rPr>
          <w:sz w:val="24"/>
        </w:rPr>
      </w:pPr>
    </w:p>
    <w:p>
      <w:pPr>
        <w:spacing w:line="200" w:lineRule="exact"/>
        <w:jc w:val="left"/>
        <w:rPr>
          <w:sz w:val="24"/>
        </w:rPr>
      </w:pPr>
    </w:p>
    <w:p>
      <w:pPr>
        <w:tabs>
          <w:tab w:val="left" w:pos="5760"/>
        </w:tabs>
        <w:autoSpaceDE w:val="0"/>
        <w:autoSpaceDN w:val="0"/>
        <w:adjustRightInd w:val="0"/>
        <w:snapToGrid w:val="0"/>
        <w:spacing w:line="360" w:lineRule="auto"/>
        <w:ind w:left="735" w:right="11" w:hanging="735" w:hangingChars="350"/>
        <w:rPr>
          <w:rFonts w:ascii="宋体" w:hAnsi="宋体" w:cs="宋体"/>
          <w:kern w:val="0"/>
          <w:szCs w:val="21"/>
        </w:rPr>
      </w:pPr>
      <w:r>
        <w:rPr>
          <w:rFonts w:hint="eastAsia" w:ascii="宋体" w:hAnsi="宋体" w:cs="宋体"/>
          <w:kern w:val="0"/>
          <w:szCs w:val="21"/>
        </w:rPr>
        <w:t>注：1、法定代表人参加竞选活动并签署文件的不需要授权委托书，只需提供法定代表人身份证明；非法定代表人参加竞选活动及签署文件的除提供法定代表人身份证明外还须提供授权委托书。</w:t>
      </w:r>
    </w:p>
    <w:p>
      <w:pPr>
        <w:numPr>
          <w:ilvl w:val="0"/>
          <w:numId w:val="22"/>
        </w:numPr>
        <w:tabs>
          <w:tab w:val="left" w:pos="5760"/>
        </w:tabs>
        <w:autoSpaceDE w:val="0"/>
        <w:autoSpaceDN w:val="0"/>
        <w:adjustRightInd w:val="0"/>
        <w:snapToGrid w:val="0"/>
        <w:spacing w:line="360" w:lineRule="auto"/>
        <w:ind w:left="820" w:leftChars="253" w:right="11" w:hanging="289" w:hangingChars="138"/>
        <w:rPr>
          <w:rFonts w:ascii="宋体" w:hAnsi="宋体" w:cs="宋体"/>
          <w:kern w:val="0"/>
          <w:szCs w:val="21"/>
        </w:rPr>
      </w:pPr>
      <w:r>
        <w:rPr>
          <w:rFonts w:hint="eastAsia" w:ascii="宋体" w:hAnsi="宋体" w:cs="宋体"/>
          <w:kern w:val="0"/>
          <w:szCs w:val="21"/>
        </w:rPr>
        <w:t>法定代表人身份证明及授权委托书原件除装入竞选文件一并递交外还应提交一份开标时以查验。</w:t>
      </w:r>
    </w:p>
    <w:p>
      <w:pPr>
        <w:numPr>
          <w:ilvl w:val="0"/>
          <w:numId w:val="22"/>
        </w:numPr>
        <w:tabs>
          <w:tab w:val="left" w:pos="5760"/>
        </w:tabs>
        <w:autoSpaceDE w:val="0"/>
        <w:autoSpaceDN w:val="0"/>
        <w:adjustRightInd w:val="0"/>
        <w:snapToGrid w:val="0"/>
        <w:spacing w:line="360" w:lineRule="auto"/>
        <w:ind w:left="820" w:leftChars="253" w:right="11" w:hanging="289" w:hangingChars="138"/>
        <w:rPr>
          <w:rFonts w:ascii="宋体" w:hAnsi="宋体" w:cs="宋体"/>
          <w:kern w:val="0"/>
          <w:szCs w:val="21"/>
        </w:rPr>
      </w:pPr>
      <w:r>
        <w:rPr>
          <w:rFonts w:hint="eastAsia" w:ascii="宋体" w:hAnsi="宋体" w:cs="宋体"/>
          <w:kern w:val="0"/>
          <w:szCs w:val="21"/>
        </w:rPr>
        <w:br w:type="page"/>
      </w:r>
    </w:p>
    <w:p>
      <w:pPr>
        <w:tabs>
          <w:tab w:val="left" w:pos="5760"/>
        </w:tabs>
        <w:autoSpaceDE w:val="0"/>
        <w:autoSpaceDN w:val="0"/>
        <w:adjustRightInd w:val="0"/>
        <w:snapToGrid w:val="0"/>
        <w:spacing w:line="360" w:lineRule="auto"/>
        <w:ind w:left="241" w:leftChars="115" w:right="11"/>
        <w:rPr>
          <w:rFonts w:ascii="宋体" w:hAnsi="宋体" w:cs="宋体"/>
          <w:kern w:val="0"/>
          <w:szCs w:val="21"/>
        </w:rPr>
      </w:pPr>
    </w:p>
    <w:p>
      <w:pPr>
        <w:tabs>
          <w:tab w:val="left" w:pos="5760"/>
        </w:tabs>
        <w:autoSpaceDE w:val="0"/>
        <w:autoSpaceDN w:val="0"/>
        <w:adjustRightInd w:val="0"/>
        <w:snapToGrid w:val="0"/>
        <w:spacing w:line="360" w:lineRule="auto"/>
        <w:ind w:left="241" w:leftChars="115" w:right="11"/>
        <w:rPr>
          <w:rFonts w:ascii="宋体" w:hAnsi="宋体" w:cs="宋体"/>
          <w:kern w:val="0"/>
          <w:szCs w:val="21"/>
        </w:rPr>
      </w:pPr>
    </w:p>
    <w:p>
      <w:pPr>
        <w:pStyle w:val="2"/>
        <w:spacing w:line="525" w:lineRule="exact"/>
        <w:ind w:left="3595"/>
        <w:rPr>
          <w:rFonts w:asciiTheme="minorEastAsia" w:hAnsiTheme="minorEastAsia" w:eastAsiaTheme="minorEastAsia"/>
        </w:rPr>
      </w:pPr>
      <w:bookmarkStart w:id="186" w:name="_Toc581"/>
      <w:r>
        <w:rPr>
          <w:rFonts w:asciiTheme="minorEastAsia" w:hAnsiTheme="minorEastAsia" w:eastAsiaTheme="minorEastAsia"/>
        </w:rPr>
        <w:t>三、</w:t>
      </w:r>
      <w:bookmarkEnd w:id="185"/>
      <w:bookmarkStart w:id="187" w:name="_Toc31429"/>
      <w:r>
        <w:rPr>
          <w:rFonts w:hint="eastAsia" w:asciiTheme="minorEastAsia" w:hAnsiTheme="minorEastAsia" w:eastAsiaTheme="minorEastAsia"/>
        </w:rPr>
        <w:t>竞选</w:t>
      </w:r>
      <w:r>
        <w:rPr>
          <w:rFonts w:asciiTheme="minorEastAsia" w:hAnsiTheme="minorEastAsia" w:eastAsiaTheme="minorEastAsia"/>
        </w:rPr>
        <w:t>保证金</w:t>
      </w:r>
      <w:bookmarkEnd w:id="186"/>
      <w:bookmarkEnd w:id="187"/>
    </w:p>
    <w:p>
      <w:pPr>
        <w:pStyle w:val="6"/>
        <w:spacing w:before="5"/>
        <w:rPr>
          <w:rFonts w:asciiTheme="minorEastAsia" w:hAnsiTheme="minorEastAsia" w:eastAsiaTheme="minorEastAsia"/>
          <w:b/>
          <w:sz w:val="34"/>
        </w:rPr>
      </w:pPr>
    </w:p>
    <w:p>
      <w:pPr>
        <w:pStyle w:val="6"/>
        <w:tabs>
          <w:tab w:val="left" w:pos="6734"/>
          <w:tab w:val="left" w:pos="7783"/>
          <w:tab w:val="left" w:pos="8833"/>
        </w:tabs>
        <w:spacing w:before="72"/>
        <w:rPr>
          <w:rFonts w:asciiTheme="minorEastAsia" w:hAnsiTheme="minorEastAsia" w:eastAsiaTheme="minorEastAsia"/>
        </w:rPr>
      </w:pPr>
      <w:r>
        <w:rPr>
          <w:rFonts w:asciiTheme="minorEastAsia" w:hAnsiTheme="minorEastAsia" w:eastAsiaTheme="minorEastAsia"/>
        </w:rPr>
        <w:t>提供汇款凭证的复印件。</w:t>
      </w:r>
    </w:p>
    <w:p>
      <w:pPr>
        <w:rPr>
          <w:rFonts w:asciiTheme="minorEastAsia" w:hAnsiTheme="minorEastAsia" w:eastAsiaTheme="minorEastAsia"/>
        </w:rPr>
        <w:sectPr>
          <w:pgSz w:w="12240" w:h="15840"/>
          <w:pgMar w:top="1400" w:right="1100" w:bottom="1120" w:left="1400" w:header="0" w:footer="841" w:gutter="0"/>
          <w:cols w:space="720" w:num="1"/>
        </w:sectPr>
      </w:pPr>
    </w:p>
    <w:p>
      <w:pPr>
        <w:pStyle w:val="2"/>
        <w:spacing w:line="525" w:lineRule="exact"/>
        <w:ind w:left="3113"/>
        <w:rPr>
          <w:rFonts w:asciiTheme="minorEastAsia" w:hAnsiTheme="minorEastAsia" w:eastAsiaTheme="minorEastAsia"/>
        </w:rPr>
      </w:pPr>
      <w:bookmarkStart w:id="188" w:name="_bookmark161"/>
      <w:bookmarkEnd w:id="188"/>
      <w:bookmarkStart w:id="189" w:name="_Toc9859"/>
      <w:bookmarkStart w:id="190" w:name="_Toc29869"/>
      <w:r>
        <w:rPr>
          <w:rFonts w:hint="eastAsia" w:asciiTheme="minorEastAsia" w:hAnsiTheme="minorEastAsia" w:eastAsiaTheme="minorEastAsia"/>
        </w:rPr>
        <w:t>四</w:t>
      </w:r>
      <w:r>
        <w:rPr>
          <w:rFonts w:asciiTheme="minorEastAsia" w:hAnsiTheme="minorEastAsia" w:eastAsiaTheme="minorEastAsia"/>
        </w:rPr>
        <w:t>、</w:t>
      </w:r>
      <w:bookmarkEnd w:id="189"/>
      <w:r>
        <w:rPr>
          <w:rFonts w:hint="eastAsia" w:asciiTheme="minorEastAsia" w:hAnsiTheme="minorEastAsia" w:eastAsiaTheme="minorEastAsia"/>
        </w:rPr>
        <w:t>技术规范响应表</w:t>
      </w:r>
      <w:bookmarkEnd w:id="190"/>
    </w:p>
    <w:tbl>
      <w:tblPr>
        <w:tblStyle w:val="34"/>
        <w:tblpPr w:leftFromText="180" w:rightFromText="180" w:vertAnchor="text" w:horzAnchor="page" w:tblpX="1914" w:tblpY="321"/>
        <w:tblOverlap w:val="never"/>
        <w:tblW w:w="92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7"/>
        <w:gridCol w:w="2520"/>
        <w:gridCol w:w="2787"/>
        <w:gridCol w:w="1521"/>
        <w:gridCol w:w="15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867" w:type="dxa"/>
          </w:tcPr>
          <w:p>
            <w:pPr>
              <w:pStyle w:val="33"/>
              <w:spacing w:before="104" w:line="319" w:lineRule="exact"/>
              <w:ind w:left="223" w:right="218"/>
              <w:jc w:val="center"/>
              <w:rPr>
                <w:rFonts w:asciiTheme="minorEastAsia" w:hAnsiTheme="minorEastAsia" w:eastAsiaTheme="minorEastAsia"/>
                <w:b/>
              </w:rPr>
            </w:pPr>
            <w:r>
              <w:rPr>
                <w:rFonts w:hint="eastAsia" w:asciiTheme="minorEastAsia" w:hAnsiTheme="minorEastAsia" w:eastAsiaTheme="minorEastAsia"/>
                <w:b/>
              </w:rPr>
              <w:t>序号</w:t>
            </w:r>
          </w:p>
        </w:tc>
        <w:tc>
          <w:tcPr>
            <w:tcW w:w="2520" w:type="dxa"/>
          </w:tcPr>
          <w:p>
            <w:pPr>
              <w:pStyle w:val="33"/>
              <w:spacing w:before="104" w:line="319" w:lineRule="exact"/>
              <w:ind w:left="290"/>
              <w:rPr>
                <w:rFonts w:asciiTheme="minorEastAsia" w:hAnsiTheme="minorEastAsia" w:eastAsiaTheme="minorEastAsia"/>
                <w:b/>
              </w:rPr>
            </w:pPr>
            <w:r>
              <w:rPr>
                <w:rFonts w:hint="eastAsia" w:asciiTheme="minorEastAsia" w:hAnsiTheme="minorEastAsia" w:eastAsiaTheme="minorEastAsia"/>
                <w:b/>
              </w:rPr>
              <w:t>比选文件章节及条款号</w:t>
            </w:r>
          </w:p>
        </w:tc>
        <w:tc>
          <w:tcPr>
            <w:tcW w:w="2787" w:type="dxa"/>
          </w:tcPr>
          <w:p>
            <w:pPr>
              <w:pStyle w:val="33"/>
              <w:spacing w:before="104" w:line="319" w:lineRule="exact"/>
              <w:ind w:left="435"/>
              <w:rPr>
                <w:rFonts w:asciiTheme="minorEastAsia" w:hAnsiTheme="minorEastAsia" w:eastAsiaTheme="minorEastAsia"/>
                <w:b/>
              </w:rPr>
            </w:pPr>
            <w:r>
              <w:rPr>
                <w:rFonts w:hint="eastAsia" w:asciiTheme="minorEastAsia" w:hAnsiTheme="minorEastAsia" w:eastAsiaTheme="minorEastAsia"/>
                <w:b/>
              </w:rPr>
              <w:t>竞选文件章节及条款号</w:t>
            </w:r>
          </w:p>
        </w:tc>
        <w:tc>
          <w:tcPr>
            <w:tcW w:w="1521" w:type="dxa"/>
          </w:tcPr>
          <w:p>
            <w:pPr>
              <w:pStyle w:val="33"/>
              <w:spacing w:before="104" w:line="319" w:lineRule="exact"/>
              <w:ind w:left="392"/>
              <w:rPr>
                <w:rFonts w:asciiTheme="minorEastAsia" w:hAnsiTheme="minorEastAsia" w:eastAsiaTheme="minorEastAsia"/>
                <w:b/>
              </w:rPr>
            </w:pPr>
            <w:r>
              <w:rPr>
                <w:rFonts w:hint="eastAsia" w:asciiTheme="minorEastAsia" w:hAnsiTheme="minorEastAsia" w:eastAsiaTheme="minorEastAsia"/>
                <w:b/>
              </w:rPr>
              <w:t>偏差说明</w:t>
            </w:r>
          </w:p>
        </w:tc>
        <w:tc>
          <w:tcPr>
            <w:tcW w:w="1516" w:type="dxa"/>
          </w:tcPr>
          <w:p>
            <w:pPr>
              <w:pStyle w:val="33"/>
              <w:spacing w:before="104" w:line="319" w:lineRule="exact"/>
              <w:ind w:left="392"/>
              <w:rPr>
                <w:rFonts w:asciiTheme="minorEastAsia" w:hAnsiTheme="minorEastAsia" w:eastAsiaTheme="minorEastAsia"/>
                <w:b/>
              </w:rPr>
            </w:pPr>
            <w:r>
              <w:rPr>
                <w:rFonts w:hint="eastAsia" w:asciiTheme="minorEastAsia" w:hAnsiTheme="minorEastAsia" w:eastAsiaTheme="minorEastAsia"/>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6" w:hRule="atLeast"/>
        </w:trPr>
        <w:tc>
          <w:tcPr>
            <w:tcW w:w="867" w:type="dxa"/>
          </w:tcPr>
          <w:p>
            <w:pPr>
              <w:pStyle w:val="33"/>
              <w:spacing w:before="197" w:line="229" w:lineRule="exact"/>
              <w:ind w:left="5"/>
              <w:jc w:val="center"/>
              <w:rPr>
                <w:rFonts w:asciiTheme="minorEastAsia" w:hAnsiTheme="minorEastAsia" w:eastAsiaTheme="minorEastAsia"/>
              </w:rPr>
            </w:pPr>
            <w:r>
              <w:rPr>
                <w:rFonts w:asciiTheme="minorEastAsia" w:hAnsiTheme="minorEastAsia" w:eastAsiaTheme="minorEastAsia"/>
              </w:rPr>
              <w:t>1</w:t>
            </w:r>
          </w:p>
        </w:tc>
        <w:tc>
          <w:tcPr>
            <w:tcW w:w="2520" w:type="dxa"/>
          </w:tcPr>
          <w:p>
            <w:pPr>
              <w:pStyle w:val="33"/>
              <w:rPr>
                <w:rFonts w:asciiTheme="minorEastAsia" w:hAnsiTheme="minorEastAsia" w:eastAsiaTheme="minorEastAsia"/>
              </w:rPr>
            </w:pPr>
          </w:p>
        </w:tc>
        <w:tc>
          <w:tcPr>
            <w:tcW w:w="2787" w:type="dxa"/>
          </w:tcPr>
          <w:p>
            <w:pPr>
              <w:pStyle w:val="33"/>
              <w:rPr>
                <w:rFonts w:asciiTheme="minorEastAsia" w:hAnsiTheme="minorEastAsia" w:eastAsiaTheme="minorEastAsia"/>
              </w:rPr>
            </w:pPr>
          </w:p>
        </w:tc>
        <w:tc>
          <w:tcPr>
            <w:tcW w:w="1521" w:type="dxa"/>
          </w:tcPr>
          <w:p>
            <w:pPr>
              <w:pStyle w:val="33"/>
              <w:rPr>
                <w:rFonts w:asciiTheme="minorEastAsia" w:hAnsiTheme="minorEastAsia" w:eastAsiaTheme="minorEastAsia"/>
              </w:rPr>
            </w:pPr>
          </w:p>
        </w:tc>
        <w:tc>
          <w:tcPr>
            <w:tcW w:w="1516" w:type="dxa"/>
          </w:tcPr>
          <w:p>
            <w:pPr>
              <w:pStyle w:val="33"/>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867" w:type="dxa"/>
          </w:tcPr>
          <w:p>
            <w:pPr>
              <w:pStyle w:val="33"/>
              <w:spacing w:before="195" w:line="229" w:lineRule="exact"/>
              <w:ind w:left="5"/>
              <w:jc w:val="center"/>
              <w:rPr>
                <w:rFonts w:asciiTheme="minorEastAsia" w:hAnsiTheme="minorEastAsia" w:eastAsiaTheme="minorEastAsia"/>
              </w:rPr>
            </w:pPr>
            <w:r>
              <w:rPr>
                <w:rFonts w:asciiTheme="minorEastAsia" w:hAnsiTheme="minorEastAsia" w:eastAsiaTheme="minorEastAsia"/>
              </w:rPr>
              <w:t>2</w:t>
            </w:r>
          </w:p>
        </w:tc>
        <w:tc>
          <w:tcPr>
            <w:tcW w:w="2520" w:type="dxa"/>
          </w:tcPr>
          <w:p>
            <w:pPr>
              <w:pStyle w:val="33"/>
              <w:rPr>
                <w:rFonts w:asciiTheme="minorEastAsia" w:hAnsiTheme="minorEastAsia" w:eastAsiaTheme="minorEastAsia"/>
              </w:rPr>
            </w:pPr>
          </w:p>
        </w:tc>
        <w:tc>
          <w:tcPr>
            <w:tcW w:w="2787" w:type="dxa"/>
          </w:tcPr>
          <w:p>
            <w:pPr>
              <w:pStyle w:val="33"/>
              <w:rPr>
                <w:rFonts w:asciiTheme="minorEastAsia" w:hAnsiTheme="minorEastAsia" w:eastAsiaTheme="minorEastAsia"/>
              </w:rPr>
            </w:pPr>
          </w:p>
        </w:tc>
        <w:tc>
          <w:tcPr>
            <w:tcW w:w="1521" w:type="dxa"/>
          </w:tcPr>
          <w:p>
            <w:pPr>
              <w:pStyle w:val="33"/>
              <w:rPr>
                <w:rFonts w:asciiTheme="minorEastAsia" w:hAnsiTheme="minorEastAsia" w:eastAsiaTheme="minorEastAsia"/>
              </w:rPr>
            </w:pPr>
          </w:p>
        </w:tc>
        <w:tc>
          <w:tcPr>
            <w:tcW w:w="1516" w:type="dxa"/>
          </w:tcPr>
          <w:p>
            <w:pPr>
              <w:pStyle w:val="33"/>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867" w:type="dxa"/>
          </w:tcPr>
          <w:p>
            <w:pPr>
              <w:pStyle w:val="33"/>
              <w:spacing w:before="195" w:line="229" w:lineRule="exact"/>
              <w:ind w:left="5"/>
              <w:jc w:val="center"/>
              <w:rPr>
                <w:rFonts w:asciiTheme="minorEastAsia" w:hAnsiTheme="minorEastAsia" w:eastAsiaTheme="minorEastAsia"/>
              </w:rPr>
            </w:pPr>
            <w:r>
              <w:rPr>
                <w:rFonts w:asciiTheme="minorEastAsia" w:hAnsiTheme="minorEastAsia" w:eastAsiaTheme="minorEastAsia"/>
              </w:rPr>
              <w:t>3</w:t>
            </w:r>
          </w:p>
        </w:tc>
        <w:tc>
          <w:tcPr>
            <w:tcW w:w="2520" w:type="dxa"/>
          </w:tcPr>
          <w:p>
            <w:pPr>
              <w:pStyle w:val="33"/>
              <w:rPr>
                <w:rFonts w:asciiTheme="minorEastAsia" w:hAnsiTheme="minorEastAsia" w:eastAsiaTheme="minorEastAsia"/>
              </w:rPr>
            </w:pPr>
          </w:p>
        </w:tc>
        <w:tc>
          <w:tcPr>
            <w:tcW w:w="2787" w:type="dxa"/>
          </w:tcPr>
          <w:p>
            <w:pPr>
              <w:pStyle w:val="33"/>
              <w:rPr>
                <w:rFonts w:asciiTheme="minorEastAsia" w:hAnsiTheme="minorEastAsia" w:eastAsiaTheme="minorEastAsia"/>
              </w:rPr>
            </w:pPr>
          </w:p>
        </w:tc>
        <w:tc>
          <w:tcPr>
            <w:tcW w:w="1521" w:type="dxa"/>
          </w:tcPr>
          <w:p>
            <w:pPr>
              <w:pStyle w:val="33"/>
              <w:rPr>
                <w:rFonts w:asciiTheme="minorEastAsia" w:hAnsiTheme="minorEastAsia" w:eastAsiaTheme="minorEastAsia"/>
              </w:rPr>
            </w:pPr>
          </w:p>
        </w:tc>
        <w:tc>
          <w:tcPr>
            <w:tcW w:w="1516" w:type="dxa"/>
          </w:tcPr>
          <w:p>
            <w:pPr>
              <w:pStyle w:val="33"/>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4" w:hRule="atLeast"/>
        </w:trPr>
        <w:tc>
          <w:tcPr>
            <w:tcW w:w="867" w:type="dxa"/>
          </w:tcPr>
          <w:p>
            <w:pPr>
              <w:pStyle w:val="33"/>
              <w:spacing w:before="195" w:line="229" w:lineRule="exact"/>
              <w:ind w:left="5"/>
              <w:jc w:val="center"/>
              <w:rPr>
                <w:rFonts w:asciiTheme="minorEastAsia" w:hAnsiTheme="minorEastAsia" w:eastAsiaTheme="minorEastAsia"/>
              </w:rPr>
            </w:pPr>
            <w:r>
              <w:rPr>
                <w:rFonts w:asciiTheme="minorEastAsia" w:hAnsiTheme="minorEastAsia" w:eastAsiaTheme="minorEastAsia"/>
              </w:rPr>
              <w:t>4</w:t>
            </w:r>
          </w:p>
        </w:tc>
        <w:tc>
          <w:tcPr>
            <w:tcW w:w="2520" w:type="dxa"/>
          </w:tcPr>
          <w:p>
            <w:pPr>
              <w:pStyle w:val="33"/>
              <w:rPr>
                <w:rFonts w:asciiTheme="minorEastAsia" w:hAnsiTheme="minorEastAsia" w:eastAsiaTheme="minorEastAsia"/>
              </w:rPr>
            </w:pPr>
          </w:p>
        </w:tc>
        <w:tc>
          <w:tcPr>
            <w:tcW w:w="2787" w:type="dxa"/>
          </w:tcPr>
          <w:p>
            <w:pPr>
              <w:pStyle w:val="33"/>
              <w:rPr>
                <w:rFonts w:asciiTheme="minorEastAsia" w:hAnsiTheme="minorEastAsia" w:eastAsiaTheme="minorEastAsia"/>
              </w:rPr>
            </w:pPr>
          </w:p>
        </w:tc>
        <w:tc>
          <w:tcPr>
            <w:tcW w:w="1521" w:type="dxa"/>
          </w:tcPr>
          <w:p>
            <w:pPr>
              <w:pStyle w:val="33"/>
              <w:rPr>
                <w:rFonts w:asciiTheme="minorEastAsia" w:hAnsiTheme="minorEastAsia" w:eastAsiaTheme="minorEastAsia"/>
              </w:rPr>
            </w:pPr>
          </w:p>
        </w:tc>
        <w:tc>
          <w:tcPr>
            <w:tcW w:w="1516" w:type="dxa"/>
          </w:tcPr>
          <w:p>
            <w:pPr>
              <w:pStyle w:val="33"/>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867" w:type="dxa"/>
          </w:tcPr>
          <w:p>
            <w:pPr>
              <w:pStyle w:val="33"/>
              <w:spacing w:before="197" w:line="226" w:lineRule="exact"/>
              <w:ind w:left="5"/>
              <w:jc w:val="center"/>
              <w:rPr>
                <w:rFonts w:asciiTheme="minorEastAsia" w:hAnsiTheme="minorEastAsia" w:eastAsiaTheme="minorEastAsia"/>
              </w:rPr>
            </w:pPr>
            <w:r>
              <w:rPr>
                <w:rFonts w:asciiTheme="minorEastAsia" w:hAnsiTheme="minorEastAsia" w:eastAsiaTheme="minorEastAsia"/>
              </w:rPr>
              <w:t>5</w:t>
            </w:r>
          </w:p>
        </w:tc>
        <w:tc>
          <w:tcPr>
            <w:tcW w:w="2520" w:type="dxa"/>
          </w:tcPr>
          <w:p>
            <w:pPr>
              <w:pStyle w:val="33"/>
              <w:rPr>
                <w:rFonts w:asciiTheme="minorEastAsia" w:hAnsiTheme="minorEastAsia" w:eastAsiaTheme="minorEastAsia"/>
              </w:rPr>
            </w:pPr>
          </w:p>
        </w:tc>
        <w:tc>
          <w:tcPr>
            <w:tcW w:w="2787" w:type="dxa"/>
          </w:tcPr>
          <w:p>
            <w:pPr>
              <w:pStyle w:val="33"/>
              <w:rPr>
                <w:rFonts w:asciiTheme="minorEastAsia" w:hAnsiTheme="minorEastAsia" w:eastAsiaTheme="minorEastAsia"/>
              </w:rPr>
            </w:pPr>
          </w:p>
        </w:tc>
        <w:tc>
          <w:tcPr>
            <w:tcW w:w="1521" w:type="dxa"/>
          </w:tcPr>
          <w:p>
            <w:pPr>
              <w:pStyle w:val="33"/>
              <w:rPr>
                <w:rFonts w:asciiTheme="minorEastAsia" w:hAnsiTheme="minorEastAsia" w:eastAsiaTheme="minorEastAsia"/>
              </w:rPr>
            </w:pPr>
          </w:p>
        </w:tc>
        <w:tc>
          <w:tcPr>
            <w:tcW w:w="1516" w:type="dxa"/>
          </w:tcPr>
          <w:p>
            <w:pPr>
              <w:pStyle w:val="33"/>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6" w:hRule="atLeast"/>
        </w:trPr>
        <w:tc>
          <w:tcPr>
            <w:tcW w:w="867" w:type="dxa"/>
          </w:tcPr>
          <w:p>
            <w:pPr>
              <w:pStyle w:val="33"/>
              <w:spacing w:before="197" w:line="229" w:lineRule="exact"/>
              <w:ind w:left="228" w:right="218"/>
              <w:jc w:val="center"/>
              <w:rPr>
                <w:rFonts w:asciiTheme="minorEastAsia" w:hAnsiTheme="minorEastAsia" w:eastAsiaTheme="minorEastAsia"/>
                <w:i/>
              </w:rPr>
            </w:pPr>
            <w:r>
              <w:rPr>
                <w:rFonts w:asciiTheme="minorEastAsia" w:hAnsiTheme="minorEastAsia" w:eastAsiaTheme="minorEastAsia"/>
                <w:i/>
                <w:w w:val="115"/>
              </w:rPr>
              <w:t>……</w:t>
            </w:r>
          </w:p>
        </w:tc>
        <w:tc>
          <w:tcPr>
            <w:tcW w:w="2520" w:type="dxa"/>
          </w:tcPr>
          <w:p>
            <w:pPr>
              <w:pStyle w:val="33"/>
              <w:rPr>
                <w:rFonts w:asciiTheme="minorEastAsia" w:hAnsiTheme="minorEastAsia" w:eastAsiaTheme="minorEastAsia"/>
              </w:rPr>
            </w:pPr>
          </w:p>
        </w:tc>
        <w:tc>
          <w:tcPr>
            <w:tcW w:w="2787" w:type="dxa"/>
          </w:tcPr>
          <w:p>
            <w:pPr>
              <w:pStyle w:val="33"/>
              <w:rPr>
                <w:rFonts w:asciiTheme="minorEastAsia" w:hAnsiTheme="minorEastAsia" w:eastAsiaTheme="minorEastAsia"/>
              </w:rPr>
            </w:pPr>
          </w:p>
        </w:tc>
        <w:tc>
          <w:tcPr>
            <w:tcW w:w="1521" w:type="dxa"/>
          </w:tcPr>
          <w:p>
            <w:pPr>
              <w:pStyle w:val="33"/>
              <w:rPr>
                <w:rFonts w:asciiTheme="minorEastAsia" w:hAnsiTheme="minorEastAsia" w:eastAsiaTheme="minorEastAsia"/>
              </w:rPr>
            </w:pPr>
          </w:p>
        </w:tc>
        <w:tc>
          <w:tcPr>
            <w:tcW w:w="1516" w:type="dxa"/>
          </w:tcPr>
          <w:p>
            <w:pPr>
              <w:pStyle w:val="33"/>
              <w:rPr>
                <w:rFonts w:asciiTheme="minorEastAsia" w:hAnsiTheme="minorEastAsia" w:eastAsiaTheme="minorEastAsia"/>
              </w:rPr>
            </w:pPr>
          </w:p>
        </w:tc>
      </w:tr>
    </w:tbl>
    <w:p>
      <w:pPr>
        <w:pStyle w:val="6"/>
        <w:spacing w:before="9"/>
        <w:rPr>
          <w:rFonts w:asciiTheme="minorEastAsia" w:hAnsiTheme="minorEastAsia" w:eastAsiaTheme="minorEastAsia"/>
          <w:b/>
          <w:sz w:val="26"/>
        </w:rPr>
      </w:pPr>
    </w:p>
    <w:p>
      <w:pPr>
        <w:pStyle w:val="6"/>
        <w:spacing w:before="16"/>
        <w:rPr>
          <w:rFonts w:asciiTheme="minorEastAsia" w:hAnsiTheme="minorEastAsia" w:eastAsiaTheme="minorEastAsia"/>
          <w:b/>
          <w:sz w:val="3"/>
        </w:rPr>
      </w:pPr>
    </w:p>
    <w:p>
      <w:pPr>
        <w:pStyle w:val="6"/>
        <w:spacing w:before="71"/>
        <w:ind w:left="820"/>
        <w:rPr>
          <w:rFonts w:asciiTheme="minorEastAsia" w:hAnsiTheme="minorEastAsia" w:eastAsiaTheme="minorEastAsia"/>
        </w:rPr>
      </w:pPr>
      <w:r>
        <w:rPr>
          <w:rFonts w:hint="eastAsia" w:asciiTheme="minorEastAsia" w:hAnsiTheme="minorEastAsia" w:eastAsiaTheme="minorEastAsia"/>
        </w:rPr>
        <w:t>注：按比选文件第三章要求提供★条款的证明材料。</w:t>
      </w:r>
      <w:bookmarkStart w:id="191" w:name="_bookmark162"/>
      <w:bookmarkEnd w:id="191"/>
      <w:bookmarkStart w:id="192" w:name="_Toc10768"/>
    </w:p>
    <w:p>
      <w:pPr>
        <w:pStyle w:val="6"/>
        <w:spacing w:before="71"/>
        <w:ind w:left="820"/>
        <w:rPr>
          <w:rFonts w:asciiTheme="minorEastAsia" w:hAnsiTheme="minorEastAsia" w:eastAsiaTheme="minorEastAsia"/>
        </w:rPr>
      </w:pPr>
      <w:r>
        <w:rPr>
          <w:rFonts w:hint="eastAsia" w:asciiTheme="minorEastAsia" w:hAnsiTheme="minorEastAsia" w:eastAsiaTheme="minorEastAsia"/>
        </w:rPr>
        <w:br w:type="page"/>
      </w:r>
    </w:p>
    <w:p>
      <w:pPr>
        <w:pStyle w:val="6"/>
        <w:spacing w:before="71"/>
        <w:ind w:left="820"/>
        <w:rPr>
          <w:rFonts w:asciiTheme="minorEastAsia" w:hAnsiTheme="minorEastAsia" w:eastAsiaTheme="minorEastAsia"/>
        </w:rPr>
      </w:pPr>
    </w:p>
    <w:p>
      <w:pPr>
        <w:pStyle w:val="2"/>
        <w:spacing w:line="538" w:lineRule="exact"/>
        <w:ind w:right="301"/>
        <w:jc w:val="center"/>
        <w:rPr>
          <w:rFonts w:asciiTheme="minorEastAsia" w:hAnsiTheme="minorEastAsia" w:eastAsiaTheme="minorEastAsia"/>
        </w:rPr>
      </w:pPr>
      <w:bookmarkStart w:id="193" w:name="_Toc11887"/>
      <w:r>
        <w:rPr>
          <w:rFonts w:hint="eastAsia" w:asciiTheme="minorEastAsia" w:hAnsiTheme="minorEastAsia" w:eastAsiaTheme="minorEastAsia"/>
        </w:rPr>
        <w:t>五</w:t>
      </w:r>
      <w:r>
        <w:rPr>
          <w:rFonts w:asciiTheme="minorEastAsia" w:hAnsiTheme="minorEastAsia" w:eastAsiaTheme="minorEastAsia"/>
        </w:rPr>
        <w:t>、资格审查资料</w:t>
      </w:r>
      <w:bookmarkEnd w:id="192"/>
      <w:bookmarkEnd w:id="193"/>
    </w:p>
    <w:p>
      <w:pPr>
        <w:pStyle w:val="6"/>
        <w:spacing w:before="5"/>
        <w:rPr>
          <w:rFonts w:asciiTheme="minorEastAsia" w:hAnsiTheme="minorEastAsia" w:eastAsiaTheme="minorEastAsia"/>
          <w:b/>
          <w:sz w:val="10"/>
        </w:rPr>
      </w:pPr>
    </w:p>
    <w:p>
      <w:pPr>
        <w:widowControl/>
        <w:tabs>
          <w:tab w:val="left" w:pos="0"/>
        </w:tabs>
        <w:spacing w:line="360" w:lineRule="auto"/>
        <w:rPr>
          <w:sz w:val="24"/>
          <w:szCs w:val="20"/>
        </w:rPr>
      </w:pPr>
      <w:bookmarkStart w:id="194" w:name="_bookmark172"/>
      <w:bookmarkEnd w:id="194"/>
      <w:bookmarkStart w:id="195" w:name="_bookmark164"/>
      <w:bookmarkEnd w:id="195"/>
      <w:r>
        <w:rPr>
          <w:rFonts w:hint="eastAsia"/>
          <w:sz w:val="24"/>
          <w:szCs w:val="20"/>
        </w:rPr>
        <w:t>按比选文件第二章竞选人须知要求（格式自定）。</w:t>
      </w:r>
    </w:p>
    <w:p>
      <w:pPr>
        <w:pStyle w:val="2"/>
        <w:spacing w:line="525" w:lineRule="exact"/>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pStyle w:val="2"/>
        <w:spacing w:line="538" w:lineRule="exact"/>
        <w:ind w:right="301"/>
        <w:jc w:val="center"/>
        <w:rPr>
          <w:rFonts w:asciiTheme="minorEastAsia" w:hAnsiTheme="minorEastAsia" w:eastAsiaTheme="minorEastAsia"/>
        </w:rPr>
      </w:pPr>
      <w:bookmarkStart w:id="196" w:name="_Toc14568"/>
      <w:r>
        <w:rPr>
          <w:rFonts w:hint="eastAsia" w:asciiTheme="minorEastAsia" w:hAnsiTheme="minorEastAsia" w:eastAsiaTheme="minorEastAsia"/>
        </w:rPr>
        <w:t>六、商务部分证明材料</w:t>
      </w:r>
      <w:bookmarkEnd w:id="196"/>
    </w:p>
    <w:p>
      <w:pPr>
        <w:rPr>
          <w:rFonts w:asciiTheme="minorEastAsia" w:hAnsiTheme="minorEastAsia" w:eastAsiaTheme="minorEastAsia"/>
        </w:rPr>
      </w:pPr>
    </w:p>
    <w:p>
      <w:pPr>
        <w:rPr>
          <w:rFonts w:asciiTheme="minorEastAsia" w:hAnsiTheme="minorEastAsia" w:eastAsiaTheme="minorEastAsia"/>
        </w:rPr>
      </w:pPr>
    </w:p>
    <w:p>
      <w:pPr>
        <w:widowControl/>
        <w:tabs>
          <w:tab w:val="left" w:pos="0"/>
        </w:tabs>
        <w:spacing w:line="360" w:lineRule="auto"/>
        <w:rPr>
          <w:sz w:val="24"/>
          <w:szCs w:val="20"/>
        </w:rPr>
      </w:pPr>
      <w:r>
        <w:rPr>
          <w:rFonts w:hint="eastAsia"/>
          <w:sz w:val="24"/>
          <w:szCs w:val="20"/>
        </w:rPr>
        <w:t>按比选文件第三章评分办法中商务评审标准提供相关证明材料，格式自拟。</w:t>
      </w:r>
    </w:p>
    <w:p>
      <w:pPr>
        <w:widowControl/>
        <w:tabs>
          <w:tab w:val="left" w:pos="0"/>
        </w:tabs>
        <w:spacing w:line="360" w:lineRule="auto"/>
        <w:rPr>
          <w:sz w:val="24"/>
          <w:szCs w:val="20"/>
        </w:rPr>
      </w:pPr>
    </w:p>
    <w:p>
      <w:pPr>
        <w:widowControl/>
        <w:tabs>
          <w:tab w:val="left" w:pos="0"/>
        </w:tabs>
        <w:spacing w:line="360" w:lineRule="auto"/>
        <w:rPr>
          <w:sz w:val="24"/>
          <w:szCs w:val="20"/>
        </w:rPr>
      </w:pPr>
    </w:p>
    <w:p>
      <w:pPr>
        <w:widowControl/>
        <w:tabs>
          <w:tab w:val="left" w:pos="0"/>
        </w:tabs>
        <w:spacing w:line="360" w:lineRule="auto"/>
        <w:rPr>
          <w:sz w:val="24"/>
          <w:szCs w:val="20"/>
        </w:rPr>
      </w:pPr>
    </w:p>
    <w:p>
      <w:pPr>
        <w:widowControl/>
        <w:tabs>
          <w:tab w:val="left" w:pos="0"/>
        </w:tabs>
        <w:spacing w:line="360" w:lineRule="auto"/>
        <w:rPr>
          <w:sz w:val="24"/>
          <w:szCs w:val="20"/>
        </w:rPr>
      </w:pPr>
    </w:p>
    <w:p>
      <w:pPr>
        <w:widowControl/>
        <w:tabs>
          <w:tab w:val="left" w:pos="0"/>
        </w:tabs>
        <w:spacing w:line="360" w:lineRule="auto"/>
        <w:rPr>
          <w:sz w:val="24"/>
          <w:szCs w:val="20"/>
        </w:rPr>
      </w:pPr>
    </w:p>
    <w:p>
      <w:pPr>
        <w:widowControl/>
        <w:tabs>
          <w:tab w:val="left" w:pos="0"/>
        </w:tabs>
        <w:spacing w:line="360" w:lineRule="auto"/>
        <w:rPr>
          <w:sz w:val="24"/>
          <w:szCs w:val="20"/>
        </w:rPr>
      </w:pPr>
    </w:p>
    <w:p>
      <w:pPr>
        <w:widowControl/>
        <w:tabs>
          <w:tab w:val="left" w:pos="0"/>
        </w:tabs>
        <w:spacing w:line="360" w:lineRule="auto"/>
        <w:rPr>
          <w:sz w:val="24"/>
          <w:szCs w:val="20"/>
        </w:rPr>
      </w:pPr>
    </w:p>
    <w:p>
      <w:pPr>
        <w:widowControl/>
        <w:tabs>
          <w:tab w:val="left" w:pos="0"/>
        </w:tabs>
        <w:spacing w:line="360" w:lineRule="auto"/>
        <w:rPr>
          <w:sz w:val="24"/>
          <w:szCs w:val="20"/>
        </w:rPr>
      </w:pPr>
    </w:p>
    <w:p>
      <w:pPr>
        <w:widowControl/>
        <w:tabs>
          <w:tab w:val="left" w:pos="0"/>
        </w:tabs>
        <w:spacing w:line="360" w:lineRule="auto"/>
        <w:rPr>
          <w:sz w:val="24"/>
          <w:szCs w:val="20"/>
        </w:rPr>
      </w:pPr>
    </w:p>
    <w:p>
      <w:pPr>
        <w:widowControl/>
        <w:tabs>
          <w:tab w:val="left" w:pos="0"/>
        </w:tabs>
        <w:spacing w:line="360" w:lineRule="auto"/>
        <w:rPr>
          <w:sz w:val="24"/>
          <w:szCs w:val="20"/>
        </w:rPr>
      </w:pPr>
    </w:p>
    <w:p>
      <w:pPr>
        <w:widowControl/>
        <w:tabs>
          <w:tab w:val="left" w:pos="0"/>
        </w:tabs>
        <w:spacing w:line="360" w:lineRule="auto"/>
        <w:rPr>
          <w:sz w:val="24"/>
          <w:szCs w:val="20"/>
        </w:rPr>
      </w:pPr>
    </w:p>
    <w:p>
      <w:pPr>
        <w:widowControl/>
        <w:tabs>
          <w:tab w:val="left" w:pos="0"/>
        </w:tabs>
        <w:spacing w:line="360" w:lineRule="auto"/>
        <w:rPr>
          <w:sz w:val="24"/>
          <w:szCs w:val="20"/>
        </w:rPr>
      </w:pPr>
    </w:p>
    <w:p>
      <w:pPr>
        <w:widowControl/>
        <w:tabs>
          <w:tab w:val="left" w:pos="0"/>
        </w:tabs>
        <w:spacing w:line="360" w:lineRule="auto"/>
        <w:rPr>
          <w:sz w:val="24"/>
          <w:szCs w:val="20"/>
        </w:rPr>
      </w:pPr>
    </w:p>
    <w:p>
      <w:pPr>
        <w:widowControl/>
        <w:tabs>
          <w:tab w:val="left" w:pos="0"/>
        </w:tabs>
        <w:spacing w:line="360" w:lineRule="auto"/>
        <w:rPr>
          <w:sz w:val="24"/>
          <w:szCs w:val="20"/>
        </w:rPr>
      </w:pPr>
    </w:p>
    <w:p>
      <w:pPr>
        <w:widowControl/>
        <w:tabs>
          <w:tab w:val="left" w:pos="0"/>
        </w:tabs>
        <w:spacing w:line="360" w:lineRule="auto"/>
        <w:rPr>
          <w:sz w:val="24"/>
          <w:szCs w:val="20"/>
        </w:rPr>
      </w:pPr>
    </w:p>
    <w:p>
      <w:pPr>
        <w:widowControl/>
        <w:tabs>
          <w:tab w:val="left" w:pos="0"/>
        </w:tabs>
        <w:spacing w:line="360" w:lineRule="auto"/>
        <w:rPr>
          <w:sz w:val="24"/>
          <w:szCs w:val="20"/>
        </w:rPr>
      </w:pPr>
    </w:p>
    <w:p>
      <w:pPr>
        <w:widowControl/>
        <w:tabs>
          <w:tab w:val="left" w:pos="0"/>
        </w:tabs>
        <w:spacing w:line="360" w:lineRule="auto"/>
        <w:rPr>
          <w:sz w:val="24"/>
          <w:szCs w:val="20"/>
        </w:rPr>
      </w:pPr>
    </w:p>
    <w:p>
      <w:pPr>
        <w:widowControl/>
        <w:tabs>
          <w:tab w:val="left" w:pos="0"/>
        </w:tabs>
        <w:spacing w:line="360" w:lineRule="auto"/>
        <w:rPr>
          <w:sz w:val="24"/>
          <w:szCs w:val="20"/>
        </w:rPr>
      </w:pPr>
    </w:p>
    <w:p>
      <w:pPr>
        <w:widowControl/>
        <w:tabs>
          <w:tab w:val="left" w:pos="0"/>
        </w:tabs>
        <w:spacing w:line="360" w:lineRule="auto"/>
        <w:rPr>
          <w:sz w:val="24"/>
          <w:szCs w:val="20"/>
        </w:rPr>
      </w:pPr>
    </w:p>
    <w:p>
      <w:pPr>
        <w:widowControl/>
        <w:tabs>
          <w:tab w:val="left" w:pos="0"/>
        </w:tabs>
        <w:spacing w:line="360" w:lineRule="auto"/>
        <w:rPr>
          <w:sz w:val="24"/>
          <w:szCs w:val="20"/>
        </w:rPr>
      </w:pPr>
    </w:p>
    <w:p>
      <w:pPr>
        <w:widowControl/>
        <w:tabs>
          <w:tab w:val="left" w:pos="0"/>
        </w:tabs>
        <w:spacing w:line="360" w:lineRule="auto"/>
        <w:rPr>
          <w:sz w:val="24"/>
          <w:szCs w:val="20"/>
        </w:rPr>
      </w:pPr>
    </w:p>
    <w:p>
      <w:pPr>
        <w:widowControl/>
        <w:tabs>
          <w:tab w:val="left" w:pos="0"/>
        </w:tabs>
        <w:spacing w:line="360" w:lineRule="auto"/>
        <w:rPr>
          <w:sz w:val="24"/>
          <w:szCs w:val="20"/>
        </w:rPr>
      </w:pPr>
    </w:p>
    <w:p>
      <w:pPr>
        <w:widowControl/>
        <w:tabs>
          <w:tab w:val="left" w:pos="0"/>
        </w:tabs>
        <w:spacing w:line="360" w:lineRule="auto"/>
        <w:rPr>
          <w:sz w:val="24"/>
          <w:szCs w:val="20"/>
        </w:rPr>
      </w:pPr>
    </w:p>
    <w:p>
      <w:pPr>
        <w:widowControl/>
        <w:tabs>
          <w:tab w:val="left" w:pos="0"/>
        </w:tabs>
        <w:spacing w:line="360" w:lineRule="auto"/>
        <w:rPr>
          <w:sz w:val="24"/>
          <w:szCs w:val="20"/>
        </w:rPr>
      </w:pPr>
    </w:p>
    <w:p>
      <w:pPr>
        <w:widowControl/>
        <w:tabs>
          <w:tab w:val="left" w:pos="0"/>
        </w:tabs>
        <w:spacing w:line="360" w:lineRule="auto"/>
        <w:rPr>
          <w:sz w:val="24"/>
          <w:szCs w:val="20"/>
        </w:rPr>
      </w:pPr>
    </w:p>
    <w:p>
      <w:pPr>
        <w:pStyle w:val="2"/>
        <w:spacing w:line="538" w:lineRule="exact"/>
        <w:ind w:right="301"/>
        <w:jc w:val="center"/>
        <w:rPr>
          <w:rFonts w:asciiTheme="minorEastAsia" w:hAnsiTheme="minorEastAsia" w:eastAsiaTheme="minorEastAsia"/>
        </w:rPr>
      </w:pPr>
      <w:r>
        <w:rPr>
          <w:rFonts w:hint="eastAsia" w:asciiTheme="minorEastAsia" w:hAnsiTheme="minorEastAsia" w:eastAsiaTheme="minorEastAsia"/>
        </w:rPr>
        <w:br w:type="page"/>
      </w:r>
    </w:p>
    <w:p>
      <w:pPr>
        <w:pStyle w:val="2"/>
        <w:spacing w:line="538" w:lineRule="exact"/>
        <w:ind w:right="301"/>
        <w:jc w:val="center"/>
        <w:rPr>
          <w:rFonts w:asciiTheme="minorEastAsia" w:hAnsiTheme="minorEastAsia" w:eastAsiaTheme="minorEastAsia"/>
        </w:rPr>
      </w:pPr>
      <w:bookmarkStart w:id="197" w:name="_Toc29231"/>
      <w:r>
        <w:rPr>
          <w:rFonts w:hint="eastAsia" w:asciiTheme="minorEastAsia" w:hAnsiTheme="minorEastAsia" w:eastAsiaTheme="minorEastAsia"/>
        </w:rPr>
        <w:t>七、其他</w:t>
      </w:r>
      <w:bookmarkEnd w:id="197"/>
    </w:p>
    <w:p/>
    <w:sectPr>
      <w:footerReference r:id="rId5" w:type="default"/>
      <w:pgSz w:w="11906" w:h="16838"/>
      <w:pgMar w:top="1440" w:right="1298"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Microsoft JhengHei">
    <w:panose1 w:val="020B0604030504040204"/>
    <w:charset w:val="88"/>
    <w:family w:val="swiss"/>
    <w:pitch w:val="default"/>
    <w:sig w:usb0="00000087" w:usb1="28AF4000" w:usb2="00000016" w:usb3="00000000" w:csb0="00100009"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MingLiUfalt">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Quad Arrow 3073" o:spid="_x0000_s4097"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Q+V+SdAAAAAD&#10;AQAADwAAAAAAAAABACAAAAAiAAAAZHJzL2Rvd25yZXYueG1sUEsBAhQAFAAAAAgAh07iQJOGTayy&#10;AQAAVgMAAA4AAAAAAAAAAQAgAAAAHwEAAGRycy9lMm9Eb2MueG1sUEsFBgAAAAAGAAYAWQEAAEMF&#10;AAAAAA==&#10;">
          <v:path/>
          <v:fill on="f" focussize="0,0"/>
          <v:stroke on="f" joinstyle="miter"/>
          <v:imagedata o:title=""/>
          <o:lock v:ext="edit"/>
          <v:textbox inset="0mm,0mm,0mm,0mm" style="mso-fit-shape-to-text:t;">
            <w:txbxContent>
              <w:p>
                <w:pPr>
                  <w:pStyle w:val="10"/>
                  <w:jc w:val="center"/>
                </w:pPr>
                <w:r>
                  <w:fldChar w:fldCharType="begin"/>
                </w:r>
                <w:r>
                  <w:instrText xml:space="preserve"> PAGE   \* MERGEFORMAT </w:instrText>
                </w:r>
                <w:r>
                  <w:fldChar w:fldCharType="separate"/>
                </w:r>
                <w:r>
                  <w:t>57</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DDC"/>
    <w:multiLevelType w:val="multilevel"/>
    <w:tmpl w:val="00000DDC"/>
    <w:lvl w:ilvl="0" w:tentative="0">
      <w:start w:val="10"/>
      <w:numFmt w:val="decimal"/>
      <w:lvlText w:val="%1."/>
      <w:lvlJc w:val="left"/>
      <w:pPr>
        <w:tabs>
          <w:tab w:val="left" w:pos="720"/>
        </w:tabs>
        <w:ind w:left="720" w:hanging="360"/>
      </w:pPr>
      <w:rPr>
        <w:rFonts w:hint="default"/>
        <w:u w:val="none"/>
      </w:rPr>
    </w:lvl>
    <w:lvl w:ilvl="1" w:tentative="0">
      <w:start w:val="1"/>
      <w:numFmt w:val="decimal"/>
      <w:lvlText w:val="10.%2"/>
      <w:lvlJc w:val="left"/>
      <w:pPr>
        <w:tabs>
          <w:tab w:val="left" w:pos="1440"/>
        </w:tabs>
        <w:ind w:left="1440" w:hanging="360"/>
      </w:pPr>
      <w:rPr>
        <w:rFonts w:hint="default"/>
        <w:u w:val="none"/>
      </w:rPr>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00005F32"/>
    <w:multiLevelType w:val="multilevel"/>
    <w:tmpl w:val="00005F32"/>
    <w:lvl w:ilvl="0" w:tentative="0">
      <w:start w:val="4"/>
      <w:numFmt w:val="decimal"/>
      <w:lvlText w:val="4.%1"/>
      <w:lvlJc w:val="left"/>
      <w:pPr>
        <w:tabs>
          <w:tab w:val="left" w:pos="720"/>
        </w:tabs>
        <w:ind w:left="720" w:hanging="360"/>
      </w:pPr>
      <w:rPr>
        <w:rFonts w:hint="default"/>
        <w:u w:val="none"/>
      </w:rPr>
    </w:lvl>
    <w:lvl w:ilvl="1" w:tentative="0">
      <w:start w:val="1"/>
      <w:numFmt w:val="decimal"/>
      <w:lvlText w:val="4.4.%2"/>
      <w:lvlJc w:val="left"/>
      <w:pPr>
        <w:tabs>
          <w:tab w:val="left" w:pos="1440"/>
        </w:tabs>
        <w:ind w:left="1440" w:hanging="360"/>
      </w:pPr>
      <w:rPr>
        <w:rFonts w:hint="default"/>
        <w:u w:val="none"/>
      </w:rPr>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00006B36"/>
    <w:multiLevelType w:val="multilevel"/>
    <w:tmpl w:val="00006B36"/>
    <w:lvl w:ilvl="0" w:tentative="0">
      <w:start w:val="3"/>
      <w:numFmt w:val="decimal"/>
      <w:lvlText w:val="%1."/>
      <w:lvlJc w:val="left"/>
      <w:pPr>
        <w:tabs>
          <w:tab w:val="left" w:pos="720"/>
        </w:tabs>
        <w:ind w:left="720" w:hanging="360"/>
      </w:pPr>
      <w:rPr>
        <w:rFonts w:hint="default"/>
        <w:u w:val="none"/>
      </w:rPr>
    </w:lvl>
    <w:lvl w:ilvl="1" w:tentative="0">
      <w:start w:val="1"/>
      <w:numFmt w:val="decimal"/>
      <w:lvlText w:val="3.%2"/>
      <w:lvlJc w:val="left"/>
      <w:pPr>
        <w:tabs>
          <w:tab w:val="left" w:pos="1440"/>
        </w:tabs>
        <w:ind w:left="1440" w:hanging="360"/>
      </w:pPr>
      <w:rPr>
        <w:rFonts w:hint="default"/>
        <w:u w:val="none"/>
      </w:rPr>
    </w:lvl>
    <w:lvl w:ilvl="2" w:tentative="0">
      <w:start w:val="1"/>
      <w:numFmt w:val="decimal"/>
      <w:lvlText w:val="3.1.%3"/>
      <w:lvlJc w:val="left"/>
      <w:pPr>
        <w:tabs>
          <w:tab w:val="left" w:pos="2160"/>
        </w:tabs>
        <w:ind w:left="2160" w:hanging="360"/>
      </w:pPr>
      <w:rPr>
        <w:rFonts w:hint="default"/>
        <w:u w:val="none"/>
      </w:rPr>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01E84F70"/>
    <w:multiLevelType w:val="multilevel"/>
    <w:tmpl w:val="01E84F70"/>
    <w:lvl w:ilvl="0" w:tentative="0">
      <w:start w:val="1"/>
      <w:numFmt w:val="decimal"/>
      <w:lvlText w:val="%1."/>
      <w:lvlJc w:val="left"/>
      <w:pPr>
        <w:ind w:left="906" w:hanging="401"/>
        <w:jc w:val="right"/>
      </w:pPr>
      <w:rPr>
        <w:rFonts w:hint="default" w:ascii="Times New Roman" w:hAnsi="Times New Roman" w:eastAsia="Times New Roman" w:cs="Times New Roman"/>
        <w:b/>
        <w:bCs/>
        <w:w w:val="99"/>
        <w:sz w:val="32"/>
        <w:szCs w:val="32"/>
        <w:lang w:val="zh-CN" w:eastAsia="zh-CN" w:bidi="zh-CN"/>
      </w:rPr>
    </w:lvl>
    <w:lvl w:ilvl="1" w:tentative="0">
      <w:start w:val="1"/>
      <w:numFmt w:val="decimal"/>
      <w:lvlText w:val="%1.%2"/>
      <w:lvlJc w:val="left"/>
      <w:pPr>
        <w:ind w:left="1026" w:hanging="490"/>
      </w:pPr>
      <w:rPr>
        <w:rFonts w:hint="default" w:ascii="Times New Roman" w:hAnsi="Times New Roman" w:eastAsia="Times New Roman" w:cs="Times New Roman"/>
        <w:w w:val="100"/>
        <w:sz w:val="28"/>
        <w:szCs w:val="28"/>
        <w:lang w:val="zh-CN" w:eastAsia="zh-CN" w:bidi="zh-CN"/>
      </w:rPr>
    </w:lvl>
    <w:lvl w:ilvl="2" w:tentative="0">
      <w:start w:val="1"/>
      <w:numFmt w:val="decimal"/>
      <w:lvlText w:val="%1.%2.%3"/>
      <w:lvlJc w:val="left"/>
      <w:pPr>
        <w:ind w:left="400" w:hanging="526"/>
      </w:pPr>
      <w:rPr>
        <w:rFonts w:hint="default"/>
        <w:w w:val="100"/>
        <w:lang w:val="zh-CN" w:eastAsia="zh-CN" w:bidi="zh-CN"/>
      </w:rPr>
    </w:lvl>
    <w:lvl w:ilvl="3" w:tentative="0">
      <w:start w:val="1"/>
      <w:numFmt w:val="decimal"/>
      <w:lvlText w:val="%1.%2.%3.%4"/>
      <w:lvlJc w:val="left"/>
      <w:pPr>
        <w:ind w:left="400" w:hanging="526"/>
      </w:pPr>
      <w:rPr>
        <w:rFonts w:hint="default" w:ascii="Times New Roman" w:hAnsi="Times New Roman" w:eastAsia="Times New Roman" w:cs="Times New Roman"/>
        <w:w w:val="100"/>
        <w:sz w:val="21"/>
        <w:szCs w:val="21"/>
        <w:lang w:val="zh-CN" w:eastAsia="zh-CN" w:bidi="zh-CN"/>
      </w:rPr>
    </w:lvl>
    <w:lvl w:ilvl="4" w:tentative="0">
      <w:start w:val="0"/>
      <w:numFmt w:val="bullet"/>
      <w:lvlText w:val="•"/>
      <w:lvlJc w:val="left"/>
      <w:pPr>
        <w:ind w:left="2540" w:hanging="526"/>
      </w:pPr>
      <w:rPr>
        <w:rFonts w:hint="default"/>
        <w:lang w:val="zh-CN" w:eastAsia="zh-CN" w:bidi="zh-CN"/>
      </w:rPr>
    </w:lvl>
    <w:lvl w:ilvl="5" w:tentative="0">
      <w:start w:val="0"/>
      <w:numFmt w:val="bullet"/>
      <w:lvlText w:val="•"/>
      <w:lvlJc w:val="left"/>
      <w:pPr>
        <w:ind w:left="3740" w:hanging="526"/>
      </w:pPr>
      <w:rPr>
        <w:rFonts w:hint="default"/>
        <w:lang w:val="zh-CN" w:eastAsia="zh-CN" w:bidi="zh-CN"/>
      </w:rPr>
    </w:lvl>
    <w:lvl w:ilvl="6" w:tentative="0">
      <w:start w:val="0"/>
      <w:numFmt w:val="bullet"/>
      <w:lvlText w:val="•"/>
      <w:lvlJc w:val="left"/>
      <w:pPr>
        <w:ind w:left="4940" w:hanging="526"/>
      </w:pPr>
      <w:rPr>
        <w:rFonts w:hint="default"/>
        <w:lang w:val="zh-CN" w:eastAsia="zh-CN" w:bidi="zh-CN"/>
      </w:rPr>
    </w:lvl>
    <w:lvl w:ilvl="7" w:tentative="0">
      <w:start w:val="0"/>
      <w:numFmt w:val="bullet"/>
      <w:lvlText w:val="•"/>
      <w:lvlJc w:val="left"/>
      <w:pPr>
        <w:ind w:left="6140" w:hanging="526"/>
      </w:pPr>
      <w:rPr>
        <w:rFonts w:hint="default"/>
        <w:lang w:val="zh-CN" w:eastAsia="zh-CN" w:bidi="zh-CN"/>
      </w:rPr>
    </w:lvl>
    <w:lvl w:ilvl="8" w:tentative="0">
      <w:start w:val="0"/>
      <w:numFmt w:val="bullet"/>
      <w:lvlText w:val="•"/>
      <w:lvlJc w:val="left"/>
      <w:pPr>
        <w:ind w:left="7340" w:hanging="526"/>
      </w:pPr>
      <w:rPr>
        <w:rFonts w:hint="default"/>
        <w:lang w:val="zh-CN" w:eastAsia="zh-CN" w:bidi="zh-CN"/>
      </w:rPr>
    </w:lvl>
  </w:abstractNum>
  <w:abstractNum w:abstractNumId="4">
    <w:nsid w:val="093F65E5"/>
    <w:multiLevelType w:val="multilevel"/>
    <w:tmpl w:val="093F65E5"/>
    <w:lvl w:ilvl="0" w:tentative="0">
      <w:start w:val="1"/>
      <w:numFmt w:val="decimal"/>
      <w:lvlText w:val="%1"/>
      <w:lvlJc w:val="left"/>
      <w:pPr>
        <w:ind w:left="1348" w:hanging="526"/>
      </w:pPr>
      <w:rPr>
        <w:rFonts w:hint="default"/>
        <w:lang w:val="zh-CN" w:eastAsia="zh-CN" w:bidi="zh-CN"/>
      </w:rPr>
    </w:lvl>
    <w:lvl w:ilvl="1" w:tentative="0">
      <w:start w:val="1"/>
      <w:numFmt w:val="decimal"/>
      <w:lvlText w:val="%1.%2"/>
      <w:lvlJc w:val="left"/>
      <w:pPr>
        <w:ind w:left="1348" w:hanging="526"/>
      </w:pPr>
      <w:rPr>
        <w:rFonts w:hint="default"/>
        <w:lang w:val="zh-CN" w:eastAsia="zh-CN" w:bidi="zh-CN"/>
      </w:rPr>
    </w:lvl>
    <w:lvl w:ilvl="2" w:tentative="0">
      <w:start w:val="3"/>
      <w:numFmt w:val="decimal"/>
      <w:lvlText w:val="%1.%2.%3"/>
      <w:lvlJc w:val="left"/>
      <w:pPr>
        <w:ind w:left="1348" w:hanging="526"/>
      </w:pPr>
      <w:rPr>
        <w:rFonts w:hint="default" w:ascii="Times New Roman" w:hAnsi="Times New Roman" w:eastAsia="Times New Roman" w:cs="Times New Roman"/>
        <w:b/>
        <w:bCs/>
        <w:w w:val="100"/>
        <w:sz w:val="21"/>
        <w:szCs w:val="21"/>
        <w:lang w:val="zh-CN" w:eastAsia="zh-CN" w:bidi="zh-CN"/>
      </w:rPr>
    </w:lvl>
    <w:lvl w:ilvl="3" w:tentative="0">
      <w:start w:val="1"/>
      <w:numFmt w:val="decimal"/>
      <w:lvlText w:val="%1.%2.%3.%4"/>
      <w:lvlJc w:val="left"/>
      <w:pPr>
        <w:ind w:left="1504" w:hanging="684"/>
      </w:pPr>
      <w:rPr>
        <w:rFonts w:hint="default" w:ascii="Times New Roman" w:hAnsi="Times New Roman" w:eastAsia="Times New Roman" w:cs="Times New Roman"/>
        <w:w w:val="100"/>
        <w:sz w:val="21"/>
        <w:szCs w:val="21"/>
        <w:lang w:val="zh-CN" w:eastAsia="zh-CN" w:bidi="zh-CN"/>
      </w:rPr>
    </w:lvl>
    <w:lvl w:ilvl="4" w:tentative="0">
      <w:start w:val="0"/>
      <w:numFmt w:val="bullet"/>
      <w:lvlText w:val="•"/>
      <w:lvlJc w:val="left"/>
      <w:pPr>
        <w:ind w:left="4246" w:hanging="684"/>
      </w:pPr>
      <w:rPr>
        <w:rFonts w:hint="default"/>
        <w:lang w:val="zh-CN" w:eastAsia="zh-CN" w:bidi="zh-CN"/>
      </w:rPr>
    </w:lvl>
    <w:lvl w:ilvl="5" w:tentative="0">
      <w:start w:val="0"/>
      <w:numFmt w:val="bullet"/>
      <w:lvlText w:val="•"/>
      <w:lvlJc w:val="left"/>
      <w:pPr>
        <w:ind w:left="5162" w:hanging="684"/>
      </w:pPr>
      <w:rPr>
        <w:rFonts w:hint="default"/>
        <w:lang w:val="zh-CN" w:eastAsia="zh-CN" w:bidi="zh-CN"/>
      </w:rPr>
    </w:lvl>
    <w:lvl w:ilvl="6" w:tentative="0">
      <w:start w:val="0"/>
      <w:numFmt w:val="bullet"/>
      <w:lvlText w:val="•"/>
      <w:lvlJc w:val="left"/>
      <w:pPr>
        <w:ind w:left="6077" w:hanging="684"/>
      </w:pPr>
      <w:rPr>
        <w:rFonts w:hint="default"/>
        <w:lang w:val="zh-CN" w:eastAsia="zh-CN" w:bidi="zh-CN"/>
      </w:rPr>
    </w:lvl>
    <w:lvl w:ilvl="7" w:tentative="0">
      <w:start w:val="0"/>
      <w:numFmt w:val="bullet"/>
      <w:lvlText w:val="•"/>
      <w:lvlJc w:val="left"/>
      <w:pPr>
        <w:ind w:left="6993" w:hanging="684"/>
      </w:pPr>
      <w:rPr>
        <w:rFonts w:hint="default"/>
        <w:lang w:val="zh-CN" w:eastAsia="zh-CN" w:bidi="zh-CN"/>
      </w:rPr>
    </w:lvl>
    <w:lvl w:ilvl="8" w:tentative="0">
      <w:start w:val="0"/>
      <w:numFmt w:val="bullet"/>
      <w:lvlText w:val="•"/>
      <w:lvlJc w:val="left"/>
      <w:pPr>
        <w:ind w:left="7908" w:hanging="684"/>
      </w:pPr>
      <w:rPr>
        <w:rFonts w:hint="default"/>
        <w:lang w:val="zh-CN" w:eastAsia="zh-CN" w:bidi="zh-CN"/>
      </w:rPr>
    </w:lvl>
  </w:abstractNum>
  <w:abstractNum w:abstractNumId="5">
    <w:nsid w:val="0F0D1E8C"/>
    <w:multiLevelType w:val="multilevel"/>
    <w:tmpl w:val="0F0D1E8C"/>
    <w:lvl w:ilvl="0" w:tentative="0">
      <w:start w:val="1"/>
      <w:numFmt w:val="japaneseCounting"/>
      <w:lvlText w:val="%1、"/>
      <w:lvlJc w:val="left"/>
      <w:pPr>
        <w:ind w:left="580" w:hanging="5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BAE2698"/>
    <w:multiLevelType w:val="multilevel"/>
    <w:tmpl w:val="1BAE2698"/>
    <w:lvl w:ilvl="0" w:tentative="0">
      <w:start w:val="1"/>
      <w:numFmt w:val="decimal"/>
      <w:lvlText w:val="%1."/>
      <w:lvlJc w:val="left"/>
      <w:pPr>
        <w:ind w:left="400" w:hanging="264"/>
      </w:pPr>
      <w:rPr>
        <w:rFonts w:hint="default" w:ascii="Times New Roman" w:hAnsi="Times New Roman" w:eastAsia="Times New Roman" w:cs="Times New Roman"/>
        <w:w w:val="100"/>
        <w:sz w:val="21"/>
        <w:szCs w:val="21"/>
        <w:lang w:val="zh-CN" w:eastAsia="zh-CN" w:bidi="zh-CN"/>
      </w:rPr>
    </w:lvl>
    <w:lvl w:ilvl="1" w:tentative="0">
      <w:start w:val="0"/>
      <w:numFmt w:val="bullet"/>
      <w:lvlText w:val="•"/>
      <w:lvlJc w:val="left"/>
      <w:pPr>
        <w:ind w:left="1334" w:hanging="264"/>
      </w:pPr>
      <w:rPr>
        <w:rFonts w:hint="default"/>
        <w:lang w:val="zh-CN" w:eastAsia="zh-CN" w:bidi="zh-CN"/>
      </w:rPr>
    </w:lvl>
    <w:lvl w:ilvl="2" w:tentative="0">
      <w:start w:val="0"/>
      <w:numFmt w:val="bullet"/>
      <w:lvlText w:val="•"/>
      <w:lvlJc w:val="left"/>
      <w:pPr>
        <w:ind w:left="2268" w:hanging="264"/>
      </w:pPr>
      <w:rPr>
        <w:rFonts w:hint="default"/>
        <w:lang w:val="zh-CN" w:eastAsia="zh-CN" w:bidi="zh-CN"/>
      </w:rPr>
    </w:lvl>
    <w:lvl w:ilvl="3" w:tentative="0">
      <w:start w:val="0"/>
      <w:numFmt w:val="bullet"/>
      <w:lvlText w:val="•"/>
      <w:lvlJc w:val="left"/>
      <w:pPr>
        <w:ind w:left="3202" w:hanging="264"/>
      </w:pPr>
      <w:rPr>
        <w:rFonts w:hint="default"/>
        <w:lang w:val="zh-CN" w:eastAsia="zh-CN" w:bidi="zh-CN"/>
      </w:rPr>
    </w:lvl>
    <w:lvl w:ilvl="4" w:tentative="0">
      <w:start w:val="0"/>
      <w:numFmt w:val="bullet"/>
      <w:lvlText w:val="•"/>
      <w:lvlJc w:val="left"/>
      <w:pPr>
        <w:ind w:left="4136" w:hanging="264"/>
      </w:pPr>
      <w:rPr>
        <w:rFonts w:hint="default"/>
        <w:lang w:val="zh-CN" w:eastAsia="zh-CN" w:bidi="zh-CN"/>
      </w:rPr>
    </w:lvl>
    <w:lvl w:ilvl="5" w:tentative="0">
      <w:start w:val="0"/>
      <w:numFmt w:val="bullet"/>
      <w:lvlText w:val="•"/>
      <w:lvlJc w:val="left"/>
      <w:pPr>
        <w:ind w:left="5070" w:hanging="264"/>
      </w:pPr>
      <w:rPr>
        <w:rFonts w:hint="default"/>
        <w:lang w:val="zh-CN" w:eastAsia="zh-CN" w:bidi="zh-CN"/>
      </w:rPr>
    </w:lvl>
    <w:lvl w:ilvl="6" w:tentative="0">
      <w:start w:val="0"/>
      <w:numFmt w:val="bullet"/>
      <w:lvlText w:val="•"/>
      <w:lvlJc w:val="left"/>
      <w:pPr>
        <w:ind w:left="6004" w:hanging="264"/>
      </w:pPr>
      <w:rPr>
        <w:rFonts w:hint="default"/>
        <w:lang w:val="zh-CN" w:eastAsia="zh-CN" w:bidi="zh-CN"/>
      </w:rPr>
    </w:lvl>
    <w:lvl w:ilvl="7" w:tentative="0">
      <w:start w:val="0"/>
      <w:numFmt w:val="bullet"/>
      <w:lvlText w:val="•"/>
      <w:lvlJc w:val="left"/>
      <w:pPr>
        <w:ind w:left="6938" w:hanging="264"/>
      </w:pPr>
      <w:rPr>
        <w:rFonts w:hint="default"/>
        <w:lang w:val="zh-CN" w:eastAsia="zh-CN" w:bidi="zh-CN"/>
      </w:rPr>
    </w:lvl>
    <w:lvl w:ilvl="8" w:tentative="0">
      <w:start w:val="0"/>
      <w:numFmt w:val="bullet"/>
      <w:lvlText w:val="•"/>
      <w:lvlJc w:val="left"/>
      <w:pPr>
        <w:ind w:left="7872" w:hanging="264"/>
      </w:pPr>
      <w:rPr>
        <w:rFonts w:hint="default"/>
        <w:lang w:val="zh-CN" w:eastAsia="zh-CN" w:bidi="zh-CN"/>
      </w:rPr>
    </w:lvl>
  </w:abstractNum>
  <w:abstractNum w:abstractNumId="7">
    <w:nsid w:val="1CC73C4C"/>
    <w:multiLevelType w:val="multilevel"/>
    <w:tmpl w:val="1CC73C4C"/>
    <w:lvl w:ilvl="0" w:tentative="0">
      <w:start w:val="1"/>
      <w:numFmt w:val="decimal"/>
      <w:lvlText w:val="%1"/>
      <w:lvlJc w:val="left"/>
      <w:pPr>
        <w:ind w:left="400" w:hanging="632"/>
      </w:pPr>
      <w:rPr>
        <w:rFonts w:hint="default"/>
        <w:lang w:val="zh-CN" w:eastAsia="zh-CN" w:bidi="zh-CN"/>
      </w:rPr>
    </w:lvl>
    <w:lvl w:ilvl="1" w:tentative="0">
      <w:start w:val="1"/>
      <w:numFmt w:val="decimal"/>
      <w:lvlText w:val="%1.%2"/>
      <w:lvlJc w:val="left"/>
      <w:pPr>
        <w:ind w:left="400" w:hanging="632"/>
        <w:jc w:val="right"/>
      </w:pPr>
      <w:rPr>
        <w:rFonts w:hint="default"/>
        <w:lang w:val="zh-CN" w:eastAsia="zh-CN" w:bidi="zh-CN"/>
      </w:rPr>
    </w:lvl>
    <w:lvl w:ilvl="2" w:tentative="0">
      <w:start w:val="14"/>
      <w:numFmt w:val="decimal"/>
      <w:lvlText w:val="%1.%2.%3"/>
      <w:lvlJc w:val="left"/>
      <w:pPr>
        <w:ind w:left="400" w:hanging="632"/>
      </w:pPr>
      <w:rPr>
        <w:rFonts w:hint="default" w:ascii="Times New Roman" w:hAnsi="Times New Roman" w:eastAsia="Times New Roman" w:cs="Times New Roman"/>
        <w:w w:val="100"/>
        <w:sz w:val="21"/>
        <w:szCs w:val="21"/>
        <w:lang w:val="zh-CN" w:eastAsia="zh-CN" w:bidi="zh-CN"/>
      </w:rPr>
    </w:lvl>
    <w:lvl w:ilvl="3" w:tentative="0">
      <w:start w:val="0"/>
      <w:numFmt w:val="bullet"/>
      <w:lvlText w:val="•"/>
      <w:lvlJc w:val="left"/>
      <w:pPr>
        <w:ind w:left="3202" w:hanging="632"/>
      </w:pPr>
      <w:rPr>
        <w:rFonts w:hint="default"/>
        <w:lang w:val="zh-CN" w:eastAsia="zh-CN" w:bidi="zh-CN"/>
      </w:rPr>
    </w:lvl>
    <w:lvl w:ilvl="4" w:tentative="0">
      <w:start w:val="0"/>
      <w:numFmt w:val="bullet"/>
      <w:lvlText w:val="•"/>
      <w:lvlJc w:val="left"/>
      <w:pPr>
        <w:ind w:left="4136" w:hanging="632"/>
      </w:pPr>
      <w:rPr>
        <w:rFonts w:hint="default"/>
        <w:lang w:val="zh-CN" w:eastAsia="zh-CN" w:bidi="zh-CN"/>
      </w:rPr>
    </w:lvl>
    <w:lvl w:ilvl="5" w:tentative="0">
      <w:start w:val="0"/>
      <w:numFmt w:val="bullet"/>
      <w:lvlText w:val="•"/>
      <w:lvlJc w:val="left"/>
      <w:pPr>
        <w:ind w:left="5070" w:hanging="632"/>
      </w:pPr>
      <w:rPr>
        <w:rFonts w:hint="default"/>
        <w:lang w:val="zh-CN" w:eastAsia="zh-CN" w:bidi="zh-CN"/>
      </w:rPr>
    </w:lvl>
    <w:lvl w:ilvl="6" w:tentative="0">
      <w:start w:val="0"/>
      <w:numFmt w:val="bullet"/>
      <w:lvlText w:val="•"/>
      <w:lvlJc w:val="left"/>
      <w:pPr>
        <w:ind w:left="6004" w:hanging="632"/>
      </w:pPr>
      <w:rPr>
        <w:rFonts w:hint="default"/>
        <w:lang w:val="zh-CN" w:eastAsia="zh-CN" w:bidi="zh-CN"/>
      </w:rPr>
    </w:lvl>
    <w:lvl w:ilvl="7" w:tentative="0">
      <w:start w:val="0"/>
      <w:numFmt w:val="bullet"/>
      <w:lvlText w:val="•"/>
      <w:lvlJc w:val="left"/>
      <w:pPr>
        <w:ind w:left="6938" w:hanging="632"/>
      </w:pPr>
      <w:rPr>
        <w:rFonts w:hint="default"/>
        <w:lang w:val="zh-CN" w:eastAsia="zh-CN" w:bidi="zh-CN"/>
      </w:rPr>
    </w:lvl>
    <w:lvl w:ilvl="8" w:tentative="0">
      <w:start w:val="0"/>
      <w:numFmt w:val="bullet"/>
      <w:lvlText w:val="•"/>
      <w:lvlJc w:val="left"/>
      <w:pPr>
        <w:ind w:left="7872" w:hanging="632"/>
      </w:pPr>
      <w:rPr>
        <w:rFonts w:hint="default"/>
        <w:lang w:val="zh-CN" w:eastAsia="zh-CN" w:bidi="zh-CN"/>
      </w:rPr>
    </w:lvl>
  </w:abstractNum>
  <w:abstractNum w:abstractNumId="8">
    <w:nsid w:val="332851B0"/>
    <w:multiLevelType w:val="multilevel"/>
    <w:tmpl w:val="332851B0"/>
    <w:lvl w:ilvl="0" w:tentative="0">
      <w:start w:val="1"/>
      <w:numFmt w:val="decimal"/>
      <w:lvlText w:val="%1"/>
      <w:lvlJc w:val="left"/>
      <w:pPr>
        <w:ind w:left="400" w:hanging="526"/>
      </w:pPr>
      <w:rPr>
        <w:rFonts w:hint="default"/>
        <w:lang w:val="zh-CN" w:eastAsia="zh-CN" w:bidi="zh-CN"/>
      </w:rPr>
    </w:lvl>
    <w:lvl w:ilvl="1" w:tentative="0">
      <w:start w:val="4"/>
      <w:numFmt w:val="decimal"/>
      <w:lvlText w:val="%1.%2"/>
      <w:lvlJc w:val="left"/>
      <w:pPr>
        <w:ind w:left="400" w:hanging="526"/>
        <w:jc w:val="right"/>
      </w:pPr>
      <w:rPr>
        <w:rFonts w:hint="default"/>
        <w:lang w:val="zh-CN" w:eastAsia="zh-CN" w:bidi="zh-CN"/>
      </w:rPr>
    </w:lvl>
    <w:lvl w:ilvl="2" w:tentative="0">
      <w:start w:val="1"/>
      <w:numFmt w:val="decimal"/>
      <w:lvlText w:val="%1.%2.%3"/>
      <w:lvlJc w:val="left"/>
      <w:pPr>
        <w:ind w:left="400" w:hanging="526"/>
      </w:pPr>
      <w:rPr>
        <w:rFonts w:hint="default" w:ascii="Times New Roman" w:hAnsi="Times New Roman" w:eastAsia="Times New Roman" w:cs="Times New Roman"/>
        <w:w w:val="100"/>
        <w:sz w:val="21"/>
        <w:szCs w:val="21"/>
        <w:lang w:val="zh-CN" w:eastAsia="zh-CN" w:bidi="zh-CN"/>
      </w:rPr>
    </w:lvl>
    <w:lvl w:ilvl="3" w:tentative="0">
      <w:start w:val="0"/>
      <w:numFmt w:val="bullet"/>
      <w:lvlText w:val="•"/>
      <w:lvlJc w:val="left"/>
      <w:pPr>
        <w:ind w:left="3202" w:hanging="526"/>
      </w:pPr>
      <w:rPr>
        <w:rFonts w:hint="default"/>
        <w:lang w:val="zh-CN" w:eastAsia="zh-CN" w:bidi="zh-CN"/>
      </w:rPr>
    </w:lvl>
    <w:lvl w:ilvl="4" w:tentative="0">
      <w:start w:val="0"/>
      <w:numFmt w:val="bullet"/>
      <w:lvlText w:val="•"/>
      <w:lvlJc w:val="left"/>
      <w:pPr>
        <w:ind w:left="4136" w:hanging="526"/>
      </w:pPr>
      <w:rPr>
        <w:rFonts w:hint="default"/>
        <w:lang w:val="zh-CN" w:eastAsia="zh-CN" w:bidi="zh-CN"/>
      </w:rPr>
    </w:lvl>
    <w:lvl w:ilvl="5" w:tentative="0">
      <w:start w:val="0"/>
      <w:numFmt w:val="bullet"/>
      <w:lvlText w:val="•"/>
      <w:lvlJc w:val="left"/>
      <w:pPr>
        <w:ind w:left="5070" w:hanging="526"/>
      </w:pPr>
      <w:rPr>
        <w:rFonts w:hint="default"/>
        <w:lang w:val="zh-CN" w:eastAsia="zh-CN" w:bidi="zh-CN"/>
      </w:rPr>
    </w:lvl>
    <w:lvl w:ilvl="6" w:tentative="0">
      <w:start w:val="0"/>
      <w:numFmt w:val="bullet"/>
      <w:lvlText w:val="•"/>
      <w:lvlJc w:val="left"/>
      <w:pPr>
        <w:ind w:left="6004" w:hanging="526"/>
      </w:pPr>
      <w:rPr>
        <w:rFonts w:hint="default"/>
        <w:lang w:val="zh-CN" w:eastAsia="zh-CN" w:bidi="zh-CN"/>
      </w:rPr>
    </w:lvl>
    <w:lvl w:ilvl="7" w:tentative="0">
      <w:start w:val="0"/>
      <w:numFmt w:val="bullet"/>
      <w:lvlText w:val="•"/>
      <w:lvlJc w:val="left"/>
      <w:pPr>
        <w:ind w:left="6938" w:hanging="526"/>
      </w:pPr>
      <w:rPr>
        <w:rFonts w:hint="default"/>
        <w:lang w:val="zh-CN" w:eastAsia="zh-CN" w:bidi="zh-CN"/>
      </w:rPr>
    </w:lvl>
    <w:lvl w:ilvl="8" w:tentative="0">
      <w:start w:val="0"/>
      <w:numFmt w:val="bullet"/>
      <w:lvlText w:val="•"/>
      <w:lvlJc w:val="left"/>
      <w:pPr>
        <w:ind w:left="7872" w:hanging="526"/>
      </w:pPr>
      <w:rPr>
        <w:rFonts w:hint="default"/>
        <w:lang w:val="zh-CN" w:eastAsia="zh-CN" w:bidi="zh-CN"/>
      </w:rPr>
    </w:lvl>
  </w:abstractNum>
  <w:abstractNum w:abstractNumId="9">
    <w:nsid w:val="3EED4B72"/>
    <w:multiLevelType w:val="multilevel"/>
    <w:tmpl w:val="3EED4B72"/>
    <w:lvl w:ilvl="0" w:tentative="0">
      <w:start w:val="6"/>
      <w:numFmt w:val="decimal"/>
      <w:lvlText w:val="%1."/>
      <w:lvlJc w:val="left"/>
      <w:pPr>
        <w:ind w:left="801" w:hanging="401"/>
      </w:pPr>
      <w:rPr>
        <w:rFonts w:hint="default" w:ascii="Times New Roman" w:hAnsi="Times New Roman" w:eastAsia="Times New Roman" w:cs="Times New Roman"/>
        <w:b/>
        <w:bCs/>
        <w:w w:val="99"/>
        <w:sz w:val="32"/>
        <w:szCs w:val="32"/>
        <w:lang w:val="zh-CN" w:eastAsia="zh-CN" w:bidi="zh-CN"/>
      </w:rPr>
    </w:lvl>
    <w:lvl w:ilvl="1" w:tentative="0">
      <w:start w:val="1"/>
      <w:numFmt w:val="decimal"/>
      <w:lvlText w:val="%1.%2"/>
      <w:lvlJc w:val="left"/>
      <w:pPr>
        <w:ind w:left="400" w:hanging="473"/>
      </w:pPr>
      <w:rPr>
        <w:rFonts w:hint="default"/>
        <w:w w:val="100"/>
        <w:lang w:val="zh-CN" w:eastAsia="zh-CN" w:bidi="zh-CN"/>
      </w:rPr>
    </w:lvl>
    <w:lvl w:ilvl="2" w:tentative="0">
      <w:start w:val="1"/>
      <w:numFmt w:val="decimal"/>
      <w:lvlText w:val="%1.%2.%3"/>
      <w:lvlJc w:val="left"/>
      <w:pPr>
        <w:ind w:left="400" w:hanging="473"/>
      </w:pPr>
      <w:rPr>
        <w:rFonts w:hint="default" w:ascii="Times New Roman" w:hAnsi="Times New Roman" w:eastAsia="Times New Roman" w:cs="Times New Roman"/>
        <w:w w:val="100"/>
        <w:sz w:val="21"/>
        <w:szCs w:val="21"/>
        <w:lang w:val="zh-CN" w:eastAsia="zh-CN" w:bidi="zh-CN"/>
      </w:rPr>
    </w:lvl>
    <w:lvl w:ilvl="3" w:tentative="0">
      <w:start w:val="0"/>
      <w:numFmt w:val="bullet"/>
      <w:lvlText w:val="•"/>
      <w:lvlJc w:val="left"/>
      <w:pPr>
        <w:ind w:left="2110" w:hanging="473"/>
      </w:pPr>
      <w:rPr>
        <w:rFonts w:hint="default"/>
        <w:lang w:val="zh-CN" w:eastAsia="zh-CN" w:bidi="zh-CN"/>
      </w:rPr>
    </w:lvl>
    <w:lvl w:ilvl="4" w:tentative="0">
      <w:start w:val="0"/>
      <w:numFmt w:val="bullet"/>
      <w:lvlText w:val="•"/>
      <w:lvlJc w:val="left"/>
      <w:pPr>
        <w:ind w:left="3200" w:hanging="473"/>
      </w:pPr>
      <w:rPr>
        <w:rFonts w:hint="default"/>
        <w:lang w:val="zh-CN" w:eastAsia="zh-CN" w:bidi="zh-CN"/>
      </w:rPr>
    </w:lvl>
    <w:lvl w:ilvl="5" w:tentative="0">
      <w:start w:val="0"/>
      <w:numFmt w:val="bullet"/>
      <w:lvlText w:val="•"/>
      <w:lvlJc w:val="left"/>
      <w:pPr>
        <w:ind w:left="4290" w:hanging="473"/>
      </w:pPr>
      <w:rPr>
        <w:rFonts w:hint="default"/>
        <w:lang w:val="zh-CN" w:eastAsia="zh-CN" w:bidi="zh-CN"/>
      </w:rPr>
    </w:lvl>
    <w:lvl w:ilvl="6" w:tentative="0">
      <w:start w:val="0"/>
      <w:numFmt w:val="bullet"/>
      <w:lvlText w:val="•"/>
      <w:lvlJc w:val="left"/>
      <w:pPr>
        <w:ind w:left="5380" w:hanging="473"/>
      </w:pPr>
      <w:rPr>
        <w:rFonts w:hint="default"/>
        <w:lang w:val="zh-CN" w:eastAsia="zh-CN" w:bidi="zh-CN"/>
      </w:rPr>
    </w:lvl>
    <w:lvl w:ilvl="7" w:tentative="0">
      <w:start w:val="0"/>
      <w:numFmt w:val="bullet"/>
      <w:lvlText w:val="•"/>
      <w:lvlJc w:val="left"/>
      <w:pPr>
        <w:ind w:left="6470" w:hanging="473"/>
      </w:pPr>
      <w:rPr>
        <w:rFonts w:hint="default"/>
        <w:lang w:val="zh-CN" w:eastAsia="zh-CN" w:bidi="zh-CN"/>
      </w:rPr>
    </w:lvl>
    <w:lvl w:ilvl="8" w:tentative="0">
      <w:start w:val="0"/>
      <w:numFmt w:val="bullet"/>
      <w:lvlText w:val="•"/>
      <w:lvlJc w:val="left"/>
      <w:pPr>
        <w:ind w:left="7560" w:hanging="473"/>
      </w:pPr>
      <w:rPr>
        <w:rFonts w:hint="default"/>
        <w:lang w:val="zh-CN" w:eastAsia="zh-CN" w:bidi="zh-CN"/>
      </w:rPr>
    </w:lvl>
  </w:abstractNum>
  <w:abstractNum w:abstractNumId="10">
    <w:nsid w:val="55DA7E40"/>
    <w:multiLevelType w:val="singleLevel"/>
    <w:tmpl w:val="55DA7E40"/>
    <w:lvl w:ilvl="0" w:tentative="0">
      <w:start w:val="2"/>
      <w:numFmt w:val="decimal"/>
      <w:suff w:val="nothing"/>
      <w:lvlText w:val="%1、"/>
      <w:lvlJc w:val="left"/>
      <w:rPr>
        <w:rFonts w:cs="Times New Roman"/>
      </w:rPr>
    </w:lvl>
  </w:abstractNum>
  <w:abstractNum w:abstractNumId="11">
    <w:nsid w:val="55E66055"/>
    <w:multiLevelType w:val="singleLevel"/>
    <w:tmpl w:val="55E66055"/>
    <w:lvl w:ilvl="0" w:tentative="0">
      <w:start w:val="1"/>
      <w:numFmt w:val="decimal"/>
      <w:suff w:val="nothing"/>
      <w:lvlText w:val="%1、"/>
      <w:lvlJc w:val="left"/>
      <w:rPr>
        <w:rFonts w:cs="Times New Roman"/>
        <w:color w:val="000000"/>
      </w:rPr>
    </w:lvl>
  </w:abstractNum>
  <w:abstractNum w:abstractNumId="12">
    <w:nsid w:val="572856D7"/>
    <w:multiLevelType w:val="multilevel"/>
    <w:tmpl w:val="572856D7"/>
    <w:lvl w:ilvl="0" w:tentative="0">
      <w:start w:val="6"/>
      <w:numFmt w:val="decimal"/>
      <w:lvlText w:val="%1"/>
      <w:lvlJc w:val="left"/>
      <w:pPr>
        <w:ind w:left="400" w:hanging="370"/>
        <w:jc w:val="right"/>
      </w:pPr>
      <w:rPr>
        <w:rFonts w:hint="default"/>
        <w:lang w:val="zh-CN" w:eastAsia="zh-CN" w:bidi="zh-CN"/>
      </w:rPr>
    </w:lvl>
    <w:lvl w:ilvl="1" w:tentative="0">
      <w:start w:val="1"/>
      <w:numFmt w:val="decimal"/>
      <w:lvlText w:val="%1.%2"/>
      <w:lvlJc w:val="left"/>
      <w:pPr>
        <w:ind w:left="1610" w:hanging="370"/>
      </w:pPr>
      <w:rPr>
        <w:rFonts w:hint="default" w:ascii="Times New Roman" w:hAnsi="Times New Roman" w:eastAsia="Times New Roman" w:cs="Times New Roman"/>
        <w:w w:val="100"/>
        <w:sz w:val="21"/>
        <w:szCs w:val="21"/>
        <w:lang w:val="zh-CN" w:eastAsia="zh-CN" w:bidi="zh-CN"/>
      </w:rPr>
    </w:lvl>
    <w:lvl w:ilvl="2" w:tentative="0">
      <w:start w:val="0"/>
      <w:numFmt w:val="bullet"/>
      <w:lvlText w:val="•"/>
      <w:lvlJc w:val="left"/>
      <w:pPr>
        <w:ind w:left="2522" w:hanging="370"/>
      </w:pPr>
      <w:rPr>
        <w:rFonts w:hint="default"/>
        <w:lang w:val="zh-CN" w:eastAsia="zh-CN" w:bidi="zh-CN"/>
      </w:rPr>
    </w:lvl>
    <w:lvl w:ilvl="3" w:tentative="0">
      <w:start w:val="0"/>
      <w:numFmt w:val="bullet"/>
      <w:lvlText w:val="•"/>
      <w:lvlJc w:val="left"/>
      <w:pPr>
        <w:ind w:left="3424" w:hanging="370"/>
      </w:pPr>
      <w:rPr>
        <w:rFonts w:hint="default"/>
        <w:lang w:val="zh-CN" w:eastAsia="zh-CN" w:bidi="zh-CN"/>
      </w:rPr>
    </w:lvl>
    <w:lvl w:ilvl="4" w:tentative="0">
      <w:start w:val="0"/>
      <w:numFmt w:val="bullet"/>
      <w:lvlText w:val="•"/>
      <w:lvlJc w:val="left"/>
      <w:pPr>
        <w:ind w:left="4326" w:hanging="370"/>
      </w:pPr>
      <w:rPr>
        <w:rFonts w:hint="default"/>
        <w:lang w:val="zh-CN" w:eastAsia="zh-CN" w:bidi="zh-CN"/>
      </w:rPr>
    </w:lvl>
    <w:lvl w:ilvl="5" w:tentative="0">
      <w:start w:val="0"/>
      <w:numFmt w:val="bullet"/>
      <w:lvlText w:val="•"/>
      <w:lvlJc w:val="left"/>
      <w:pPr>
        <w:ind w:left="5228" w:hanging="370"/>
      </w:pPr>
      <w:rPr>
        <w:rFonts w:hint="default"/>
        <w:lang w:val="zh-CN" w:eastAsia="zh-CN" w:bidi="zh-CN"/>
      </w:rPr>
    </w:lvl>
    <w:lvl w:ilvl="6" w:tentative="0">
      <w:start w:val="0"/>
      <w:numFmt w:val="bullet"/>
      <w:lvlText w:val="•"/>
      <w:lvlJc w:val="left"/>
      <w:pPr>
        <w:ind w:left="6131" w:hanging="370"/>
      </w:pPr>
      <w:rPr>
        <w:rFonts w:hint="default"/>
        <w:lang w:val="zh-CN" w:eastAsia="zh-CN" w:bidi="zh-CN"/>
      </w:rPr>
    </w:lvl>
    <w:lvl w:ilvl="7" w:tentative="0">
      <w:start w:val="0"/>
      <w:numFmt w:val="bullet"/>
      <w:lvlText w:val="•"/>
      <w:lvlJc w:val="left"/>
      <w:pPr>
        <w:ind w:left="7033" w:hanging="370"/>
      </w:pPr>
      <w:rPr>
        <w:rFonts w:hint="default"/>
        <w:lang w:val="zh-CN" w:eastAsia="zh-CN" w:bidi="zh-CN"/>
      </w:rPr>
    </w:lvl>
    <w:lvl w:ilvl="8" w:tentative="0">
      <w:start w:val="0"/>
      <w:numFmt w:val="bullet"/>
      <w:lvlText w:val="•"/>
      <w:lvlJc w:val="left"/>
      <w:pPr>
        <w:ind w:left="7935" w:hanging="370"/>
      </w:pPr>
      <w:rPr>
        <w:rFonts w:hint="default"/>
        <w:lang w:val="zh-CN" w:eastAsia="zh-CN" w:bidi="zh-CN"/>
      </w:rPr>
    </w:lvl>
  </w:abstractNum>
  <w:abstractNum w:abstractNumId="13">
    <w:nsid w:val="5820293B"/>
    <w:multiLevelType w:val="singleLevel"/>
    <w:tmpl w:val="5820293B"/>
    <w:lvl w:ilvl="0" w:tentative="0">
      <w:start w:val="1"/>
      <w:numFmt w:val="decimal"/>
      <w:lvlText w:val="%1)"/>
      <w:lvlJc w:val="left"/>
      <w:pPr>
        <w:ind w:left="425" w:hanging="425"/>
      </w:pPr>
      <w:rPr>
        <w:rFonts w:hint="default"/>
      </w:rPr>
    </w:lvl>
  </w:abstractNum>
  <w:abstractNum w:abstractNumId="14">
    <w:nsid w:val="59EDD1B7"/>
    <w:multiLevelType w:val="multilevel"/>
    <w:tmpl w:val="59EDD1B7"/>
    <w:lvl w:ilvl="0" w:tentative="0">
      <w:start w:val="3"/>
      <w:numFmt w:val="decimal"/>
      <w:lvlText w:val="%1."/>
      <w:lvlJc w:val="left"/>
      <w:pPr>
        <w:tabs>
          <w:tab w:val="left" w:pos="312"/>
        </w:tabs>
      </w:pPr>
    </w:lvl>
    <w:lvl w:ilvl="1" w:tentative="0">
      <w:start w:val="1"/>
      <w:numFmt w:val="decimal"/>
      <w:isLgl/>
      <w:lvlText w:val="%1.%2"/>
      <w:lvlJc w:val="left"/>
      <w:pPr>
        <w:ind w:left="557" w:hanging="420"/>
      </w:pPr>
      <w:rPr>
        <w:rFonts w:hint="default" w:ascii="宋体" w:hAnsi="宋体" w:eastAsia="宋体"/>
      </w:rPr>
    </w:lvl>
    <w:lvl w:ilvl="2" w:tentative="0">
      <w:start w:val="1"/>
      <w:numFmt w:val="decimal"/>
      <w:isLgl/>
      <w:lvlText w:val="%1.%2.%3"/>
      <w:lvlJc w:val="left"/>
      <w:pPr>
        <w:ind w:left="994" w:hanging="720"/>
      </w:pPr>
      <w:rPr>
        <w:rFonts w:hint="default" w:ascii="宋体" w:hAnsi="宋体" w:eastAsia="宋体"/>
      </w:rPr>
    </w:lvl>
    <w:lvl w:ilvl="3" w:tentative="0">
      <w:start w:val="1"/>
      <w:numFmt w:val="decimal"/>
      <w:isLgl/>
      <w:lvlText w:val="%1.%2.%3.%4"/>
      <w:lvlJc w:val="left"/>
      <w:pPr>
        <w:ind w:left="1131" w:hanging="720"/>
      </w:pPr>
      <w:rPr>
        <w:rFonts w:hint="default" w:ascii="宋体" w:hAnsi="宋体" w:eastAsia="宋体"/>
      </w:rPr>
    </w:lvl>
    <w:lvl w:ilvl="4" w:tentative="0">
      <w:start w:val="1"/>
      <w:numFmt w:val="decimal"/>
      <w:isLgl/>
      <w:lvlText w:val="%1.%2.%3.%4.%5"/>
      <w:lvlJc w:val="left"/>
      <w:pPr>
        <w:ind w:left="1628" w:hanging="1080"/>
      </w:pPr>
      <w:rPr>
        <w:rFonts w:hint="default" w:ascii="宋体" w:hAnsi="宋体" w:eastAsia="宋体"/>
      </w:rPr>
    </w:lvl>
    <w:lvl w:ilvl="5" w:tentative="0">
      <w:start w:val="1"/>
      <w:numFmt w:val="decimal"/>
      <w:isLgl/>
      <w:lvlText w:val="%1.%2.%3.%4.%5.%6"/>
      <w:lvlJc w:val="left"/>
      <w:pPr>
        <w:ind w:left="1765" w:hanging="1080"/>
      </w:pPr>
      <w:rPr>
        <w:rFonts w:hint="default" w:ascii="宋体" w:hAnsi="宋体" w:eastAsia="宋体"/>
      </w:rPr>
    </w:lvl>
    <w:lvl w:ilvl="6" w:tentative="0">
      <w:start w:val="1"/>
      <w:numFmt w:val="decimal"/>
      <w:isLgl/>
      <w:lvlText w:val="%1.%2.%3.%4.%5.%6.%7"/>
      <w:lvlJc w:val="left"/>
      <w:pPr>
        <w:ind w:left="1902" w:hanging="1080"/>
      </w:pPr>
      <w:rPr>
        <w:rFonts w:hint="default" w:ascii="宋体" w:hAnsi="宋体" w:eastAsia="宋体"/>
      </w:rPr>
    </w:lvl>
    <w:lvl w:ilvl="7" w:tentative="0">
      <w:start w:val="1"/>
      <w:numFmt w:val="decimal"/>
      <w:isLgl/>
      <w:lvlText w:val="%1.%2.%3.%4.%5.%6.%7.%8"/>
      <w:lvlJc w:val="left"/>
      <w:pPr>
        <w:ind w:left="2399" w:hanging="1440"/>
      </w:pPr>
      <w:rPr>
        <w:rFonts w:hint="default" w:ascii="宋体" w:hAnsi="宋体" w:eastAsia="宋体"/>
      </w:rPr>
    </w:lvl>
    <w:lvl w:ilvl="8" w:tentative="0">
      <w:start w:val="1"/>
      <w:numFmt w:val="decimal"/>
      <w:isLgl/>
      <w:lvlText w:val="%1.%2.%3.%4.%5.%6.%7.%8.%9"/>
      <w:lvlJc w:val="left"/>
      <w:pPr>
        <w:ind w:left="2536" w:hanging="1440"/>
      </w:pPr>
      <w:rPr>
        <w:rFonts w:hint="default" w:ascii="宋体" w:hAnsi="宋体" w:eastAsia="宋体"/>
      </w:rPr>
    </w:lvl>
  </w:abstractNum>
  <w:abstractNum w:abstractNumId="15">
    <w:nsid w:val="59EDD20D"/>
    <w:multiLevelType w:val="singleLevel"/>
    <w:tmpl w:val="59EDD20D"/>
    <w:lvl w:ilvl="0" w:tentative="0">
      <w:start w:val="1"/>
      <w:numFmt w:val="decimal"/>
      <w:suff w:val="space"/>
      <w:lvlText w:val="%1."/>
      <w:lvlJc w:val="left"/>
    </w:lvl>
  </w:abstractNum>
  <w:abstractNum w:abstractNumId="16">
    <w:nsid w:val="59EDD327"/>
    <w:multiLevelType w:val="singleLevel"/>
    <w:tmpl w:val="59EDD327"/>
    <w:lvl w:ilvl="0" w:tentative="0">
      <w:start w:val="4"/>
      <w:numFmt w:val="decimal"/>
      <w:lvlText w:val="%1."/>
      <w:lvlJc w:val="left"/>
      <w:pPr>
        <w:tabs>
          <w:tab w:val="left" w:pos="312"/>
        </w:tabs>
      </w:pPr>
    </w:lvl>
  </w:abstractNum>
  <w:abstractNum w:abstractNumId="17">
    <w:nsid w:val="5A43BDD5"/>
    <w:multiLevelType w:val="singleLevel"/>
    <w:tmpl w:val="5A43BDD5"/>
    <w:lvl w:ilvl="0" w:tentative="0">
      <w:start w:val="2"/>
      <w:numFmt w:val="decimal"/>
      <w:suff w:val="nothing"/>
      <w:lvlText w:val="%1、"/>
      <w:lvlJc w:val="left"/>
    </w:lvl>
  </w:abstractNum>
  <w:abstractNum w:abstractNumId="18">
    <w:nsid w:val="5A7FF1AF"/>
    <w:multiLevelType w:val="singleLevel"/>
    <w:tmpl w:val="5A7FF1AF"/>
    <w:lvl w:ilvl="0" w:tentative="0">
      <w:start w:val="1"/>
      <w:numFmt w:val="decimal"/>
      <w:lvlText w:val="%1."/>
      <w:lvlJc w:val="left"/>
      <w:pPr>
        <w:tabs>
          <w:tab w:val="left" w:pos="312"/>
        </w:tabs>
      </w:pPr>
    </w:lvl>
  </w:abstractNum>
  <w:abstractNum w:abstractNumId="19">
    <w:nsid w:val="67F45117"/>
    <w:multiLevelType w:val="multilevel"/>
    <w:tmpl w:val="67F45117"/>
    <w:lvl w:ilvl="0" w:tentative="0">
      <w:start w:val="1"/>
      <w:numFmt w:val="decimal"/>
      <w:lvlText w:val="%1"/>
      <w:lvlJc w:val="left"/>
      <w:pPr>
        <w:ind w:left="1348" w:hanging="526"/>
      </w:pPr>
      <w:rPr>
        <w:rFonts w:hint="default"/>
        <w:lang w:val="zh-CN" w:eastAsia="zh-CN" w:bidi="zh-CN"/>
      </w:rPr>
    </w:lvl>
    <w:lvl w:ilvl="1" w:tentative="0">
      <w:start w:val="1"/>
      <w:numFmt w:val="decimal"/>
      <w:lvlText w:val="%1.%2"/>
      <w:lvlJc w:val="left"/>
      <w:pPr>
        <w:ind w:left="1348" w:hanging="526"/>
      </w:pPr>
      <w:rPr>
        <w:rFonts w:hint="default"/>
        <w:lang w:val="zh-CN" w:eastAsia="zh-CN" w:bidi="zh-CN"/>
      </w:rPr>
    </w:lvl>
    <w:lvl w:ilvl="2" w:tentative="0">
      <w:start w:val="2"/>
      <w:numFmt w:val="decimal"/>
      <w:lvlText w:val="%1.%2.%3"/>
      <w:lvlJc w:val="left"/>
      <w:pPr>
        <w:ind w:left="1348" w:hanging="526"/>
      </w:pPr>
      <w:rPr>
        <w:rFonts w:hint="default" w:ascii="Times New Roman" w:hAnsi="Times New Roman" w:eastAsia="Times New Roman" w:cs="Times New Roman"/>
        <w:b/>
        <w:bCs/>
        <w:w w:val="100"/>
        <w:sz w:val="21"/>
        <w:szCs w:val="21"/>
        <w:lang w:val="zh-CN" w:eastAsia="zh-CN" w:bidi="zh-CN"/>
      </w:rPr>
    </w:lvl>
    <w:lvl w:ilvl="3" w:tentative="0">
      <w:start w:val="1"/>
      <w:numFmt w:val="decimal"/>
      <w:lvlText w:val="%1.%2.%3.%4"/>
      <w:lvlJc w:val="left"/>
      <w:pPr>
        <w:ind w:left="400" w:hanging="684"/>
      </w:pPr>
      <w:rPr>
        <w:rFonts w:hint="default" w:ascii="Times New Roman" w:hAnsi="Times New Roman" w:eastAsia="Times New Roman" w:cs="Times New Roman"/>
        <w:w w:val="100"/>
        <w:sz w:val="21"/>
        <w:szCs w:val="21"/>
        <w:lang w:val="zh-CN" w:eastAsia="zh-CN" w:bidi="zh-CN"/>
      </w:rPr>
    </w:lvl>
    <w:lvl w:ilvl="4" w:tentative="0">
      <w:start w:val="0"/>
      <w:numFmt w:val="bullet"/>
      <w:lvlText w:val="•"/>
      <w:lvlJc w:val="left"/>
      <w:pPr>
        <w:ind w:left="4140" w:hanging="684"/>
      </w:pPr>
      <w:rPr>
        <w:rFonts w:hint="default"/>
        <w:lang w:val="zh-CN" w:eastAsia="zh-CN" w:bidi="zh-CN"/>
      </w:rPr>
    </w:lvl>
    <w:lvl w:ilvl="5" w:tentative="0">
      <w:start w:val="0"/>
      <w:numFmt w:val="bullet"/>
      <w:lvlText w:val="•"/>
      <w:lvlJc w:val="left"/>
      <w:pPr>
        <w:ind w:left="5073" w:hanging="684"/>
      </w:pPr>
      <w:rPr>
        <w:rFonts w:hint="default"/>
        <w:lang w:val="zh-CN" w:eastAsia="zh-CN" w:bidi="zh-CN"/>
      </w:rPr>
    </w:lvl>
    <w:lvl w:ilvl="6" w:tentative="0">
      <w:start w:val="0"/>
      <w:numFmt w:val="bullet"/>
      <w:lvlText w:val="•"/>
      <w:lvlJc w:val="left"/>
      <w:pPr>
        <w:ind w:left="6006" w:hanging="684"/>
      </w:pPr>
      <w:rPr>
        <w:rFonts w:hint="default"/>
        <w:lang w:val="zh-CN" w:eastAsia="zh-CN" w:bidi="zh-CN"/>
      </w:rPr>
    </w:lvl>
    <w:lvl w:ilvl="7" w:tentative="0">
      <w:start w:val="0"/>
      <w:numFmt w:val="bullet"/>
      <w:lvlText w:val="•"/>
      <w:lvlJc w:val="left"/>
      <w:pPr>
        <w:ind w:left="6940" w:hanging="684"/>
      </w:pPr>
      <w:rPr>
        <w:rFonts w:hint="default"/>
        <w:lang w:val="zh-CN" w:eastAsia="zh-CN" w:bidi="zh-CN"/>
      </w:rPr>
    </w:lvl>
    <w:lvl w:ilvl="8" w:tentative="0">
      <w:start w:val="0"/>
      <w:numFmt w:val="bullet"/>
      <w:lvlText w:val="•"/>
      <w:lvlJc w:val="left"/>
      <w:pPr>
        <w:ind w:left="7873" w:hanging="684"/>
      </w:pPr>
      <w:rPr>
        <w:rFonts w:hint="default"/>
        <w:lang w:val="zh-CN" w:eastAsia="zh-CN" w:bidi="zh-CN"/>
      </w:rPr>
    </w:lvl>
  </w:abstractNum>
  <w:abstractNum w:abstractNumId="20">
    <w:nsid w:val="71022DED"/>
    <w:multiLevelType w:val="multilevel"/>
    <w:tmpl w:val="71022DED"/>
    <w:lvl w:ilvl="0" w:tentative="0">
      <w:start w:val="1"/>
      <w:numFmt w:val="decimal"/>
      <w:lvlText w:val="%1"/>
      <w:lvlJc w:val="left"/>
      <w:pPr>
        <w:ind w:left="400" w:hanging="526"/>
      </w:pPr>
      <w:rPr>
        <w:rFonts w:hint="default"/>
        <w:lang w:val="zh-CN" w:eastAsia="zh-CN" w:bidi="zh-CN"/>
      </w:rPr>
    </w:lvl>
    <w:lvl w:ilvl="1" w:tentative="0">
      <w:start w:val="1"/>
      <w:numFmt w:val="decimal"/>
      <w:lvlText w:val="%1.%2"/>
      <w:lvlJc w:val="left"/>
      <w:pPr>
        <w:ind w:left="400" w:hanging="526"/>
      </w:pPr>
      <w:rPr>
        <w:rFonts w:hint="default"/>
        <w:lang w:val="zh-CN" w:eastAsia="zh-CN" w:bidi="zh-CN"/>
      </w:rPr>
    </w:lvl>
    <w:lvl w:ilvl="2" w:tentative="0">
      <w:start w:val="4"/>
      <w:numFmt w:val="decimal"/>
      <w:lvlText w:val="%1.%2.%3"/>
      <w:lvlJc w:val="left"/>
      <w:pPr>
        <w:ind w:left="400" w:hanging="526"/>
      </w:pPr>
      <w:rPr>
        <w:rFonts w:hint="default"/>
        <w:w w:val="100"/>
        <w:lang w:val="zh-CN" w:eastAsia="zh-CN" w:bidi="zh-CN"/>
      </w:rPr>
    </w:lvl>
    <w:lvl w:ilvl="3" w:tentative="0">
      <w:start w:val="1"/>
      <w:numFmt w:val="decimal"/>
      <w:lvlText w:val="%1.%2.%3.%4"/>
      <w:lvlJc w:val="left"/>
      <w:pPr>
        <w:ind w:left="1610" w:hanging="790"/>
      </w:pPr>
      <w:rPr>
        <w:rFonts w:hint="default" w:ascii="Times New Roman" w:hAnsi="Times New Roman" w:eastAsia="Times New Roman" w:cs="Times New Roman"/>
        <w:spacing w:val="-3"/>
        <w:w w:val="100"/>
        <w:sz w:val="21"/>
        <w:szCs w:val="21"/>
        <w:lang w:val="zh-CN" w:eastAsia="zh-CN" w:bidi="zh-CN"/>
      </w:rPr>
    </w:lvl>
    <w:lvl w:ilvl="4" w:tentative="0">
      <w:start w:val="0"/>
      <w:numFmt w:val="bullet"/>
      <w:lvlText w:val="•"/>
      <w:lvlJc w:val="left"/>
      <w:pPr>
        <w:ind w:left="4326" w:hanging="790"/>
      </w:pPr>
      <w:rPr>
        <w:rFonts w:hint="default"/>
        <w:lang w:val="zh-CN" w:eastAsia="zh-CN" w:bidi="zh-CN"/>
      </w:rPr>
    </w:lvl>
    <w:lvl w:ilvl="5" w:tentative="0">
      <w:start w:val="0"/>
      <w:numFmt w:val="bullet"/>
      <w:lvlText w:val="•"/>
      <w:lvlJc w:val="left"/>
      <w:pPr>
        <w:ind w:left="5228" w:hanging="790"/>
      </w:pPr>
      <w:rPr>
        <w:rFonts w:hint="default"/>
        <w:lang w:val="zh-CN" w:eastAsia="zh-CN" w:bidi="zh-CN"/>
      </w:rPr>
    </w:lvl>
    <w:lvl w:ilvl="6" w:tentative="0">
      <w:start w:val="0"/>
      <w:numFmt w:val="bullet"/>
      <w:lvlText w:val="•"/>
      <w:lvlJc w:val="left"/>
      <w:pPr>
        <w:ind w:left="6131" w:hanging="790"/>
      </w:pPr>
      <w:rPr>
        <w:rFonts w:hint="default"/>
        <w:lang w:val="zh-CN" w:eastAsia="zh-CN" w:bidi="zh-CN"/>
      </w:rPr>
    </w:lvl>
    <w:lvl w:ilvl="7" w:tentative="0">
      <w:start w:val="0"/>
      <w:numFmt w:val="bullet"/>
      <w:lvlText w:val="•"/>
      <w:lvlJc w:val="left"/>
      <w:pPr>
        <w:ind w:left="7033" w:hanging="790"/>
      </w:pPr>
      <w:rPr>
        <w:rFonts w:hint="default"/>
        <w:lang w:val="zh-CN" w:eastAsia="zh-CN" w:bidi="zh-CN"/>
      </w:rPr>
    </w:lvl>
    <w:lvl w:ilvl="8" w:tentative="0">
      <w:start w:val="0"/>
      <w:numFmt w:val="bullet"/>
      <w:lvlText w:val="•"/>
      <w:lvlJc w:val="left"/>
      <w:pPr>
        <w:ind w:left="7935" w:hanging="790"/>
      </w:pPr>
      <w:rPr>
        <w:rFonts w:hint="default"/>
        <w:lang w:val="zh-CN" w:eastAsia="zh-CN" w:bidi="zh-CN"/>
      </w:rPr>
    </w:lvl>
  </w:abstractNum>
  <w:abstractNum w:abstractNumId="21">
    <w:nsid w:val="769341A9"/>
    <w:multiLevelType w:val="multilevel"/>
    <w:tmpl w:val="769341A9"/>
    <w:lvl w:ilvl="0" w:tentative="0">
      <w:start w:val="5"/>
      <w:numFmt w:val="decimal"/>
      <w:lvlText w:val="%1"/>
      <w:lvlJc w:val="left"/>
      <w:pPr>
        <w:ind w:left="1026" w:hanging="490"/>
      </w:pPr>
      <w:rPr>
        <w:rFonts w:hint="default"/>
        <w:lang w:val="zh-CN" w:eastAsia="zh-CN" w:bidi="zh-CN"/>
      </w:rPr>
    </w:lvl>
    <w:lvl w:ilvl="1" w:tentative="0">
      <w:start w:val="1"/>
      <w:numFmt w:val="decimal"/>
      <w:lvlText w:val="%1.%2"/>
      <w:lvlJc w:val="left"/>
      <w:pPr>
        <w:ind w:left="1026" w:hanging="490"/>
      </w:pPr>
      <w:rPr>
        <w:rFonts w:hint="default" w:ascii="Times New Roman" w:hAnsi="Times New Roman" w:eastAsia="Times New Roman" w:cs="Times New Roman"/>
        <w:w w:val="100"/>
        <w:sz w:val="28"/>
        <w:szCs w:val="28"/>
        <w:lang w:val="zh-CN" w:eastAsia="zh-CN" w:bidi="zh-CN"/>
      </w:rPr>
    </w:lvl>
    <w:lvl w:ilvl="2" w:tentative="0">
      <w:start w:val="1"/>
      <w:numFmt w:val="decimal"/>
      <w:lvlText w:val="%1.%2.%3"/>
      <w:lvlJc w:val="left"/>
      <w:pPr>
        <w:ind w:left="400" w:hanging="526"/>
      </w:pPr>
      <w:rPr>
        <w:rFonts w:hint="default" w:ascii="Times New Roman" w:hAnsi="Times New Roman" w:eastAsia="Times New Roman" w:cs="Times New Roman"/>
        <w:w w:val="100"/>
        <w:sz w:val="21"/>
        <w:szCs w:val="21"/>
        <w:lang w:val="zh-CN" w:eastAsia="zh-CN" w:bidi="zh-CN"/>
      </w:rPr>
    </w:lvl>
    <w:lvl w:ilvl="3" w:tentative="0">
      <w:start w:val="0"/>
      <w:numFmt w:val="bullet"/>
      <w:lvlText w:val="•"/>
      <w:lvlJc w:val="left"/>
      <w:pPr>
        <w:ind w:left="2957" w:hanging="526"/>
      </w:pPr>
      <w:rPr>
        <w:rFonts w:hint="default"/>
        <w:lang w:val="zh-CN" w:eastAsia="zh-CN" w:bidi="zh-CN"/>
      </w:rPr>
    </w:lvl>
    <w:lvl w:ilvl="4" w:tentative="0">
      <w:start w:val="0"/>
      <w:numFmt w:val="bullet"/>
      <w:lvlText w:val="•"/>
      <w:lvlJc w:val="left"/>
      <w:pPr>
        <w:ind w:left="3926" w:hanging="526"/>
      </w:pPr>
      <w:rPr>
        <w:rFonts w:hint="default"/>
        <w:lang w:val="zh-CN" w:eastAsia="zh-CN" w:bidi="zh-CN"/>
      </w:rPr>
    </w:lvl>
    <w:lvl w:ilvl="5" w:tentative="0">
      <w:start w:val="0"/>
      <w:numFmt w:val="bullet"/>
      <w:lvlText w:val="•"/>
      <w:lvlJc w:val="left"/>
      <w:pPr>
        <w:ind w:left="4895" w:hanging="526"/>
      </w:pPr>
      <w:rPr>
        <w:rFonts w:hint="default"/>
        <w:lang w:val="zh-CN" w:eastAsia="zh-CN" w:bidi="zh-CN"/>
      </w:rPr>
    </w:lvl>
    <w:lvl w:ilvl="6" w:tentative="0">
      <w:start w:val="0"/>
      <w:numFmt w:val="bullet"/>
      <w:lvlText w:val="•"/>
      <w:lvlJc w:val="left"/>
      <w:pPr>
        <w:ind w:left="5864" w:hanging="526"/>
      </w:pPr>
      <w:rPr>
        <w:rFonts w:hint="default"/>
        <w:lang w:val="zh-CN" w:eastAsia="zh-CN" w:bidi="zh-CN"/>
      </w:rPr>
    </w:lvl>
    <w:lvl w:ilvl="7" w:tentative="0">
      <w:start w:val="0"/>
      <w:numFmt w:val="bullet"/>
      <w:lvlText w:val="•"/>
      <w:lvlJc w:val="left"/>
      <w:pPr>
        <w:ind w:left="6833" w:hanging="526"/>
      </w:pPr>
      <w:rPr>
        <w:rFonts w:hint="default"/>
        <w:lang w:val="zh-CN" w:eastAsia="zh-CN" w:bidi="zh-CN"/>
      </w:rPr>
    </w:lvl>
    <w:lvl w:ilvl="8" w:tentative="0">
      <w:start w:val="0"/>
      <w:numFmt w:val="bullet"/>
      <w:lvlText w:val="•"/>
      <w:lvlJc w:val="left"/>
      <w:pPr>
        <w:ind w:left="7802" w:hanging="526"/>
      </w:pPr>
      <w:rPr>
        <w:rFonts w:hint="default"/>
        <w:lang w:val="zh-CN" w:eastAsia="zh-CN" w:bidi="zh-CN"/>
      </w:rPr>
    </w:lvl>
  </w:abstractNum>
  <w:num w:numId="1">
    <w:abstractNumId w:val="11"/>
  </w:num>
  <w:num w:numId="2">
    <w:abstractNumId w:val="10"/>
  </w:num>
  <w:num w:numId="3">
    <w:abstractNumId w:val="18"/>
  </w:num>
  <w:num w:numId="4">
    <w:abstractNumId w:val="13"/>
  </w:num>
  <w:num w:numId="5">
    <w:abstractNumId w:val="3"/>
  </w:num>
  <w:num w:numId="6">
    <w:abstractNumId w:val="19"/>
  </w:num>
  <w:num w:numId="7">
    <w:abstractNumId w:val="4"/>
  </w:num>
  <w:num w:numId="8">
    <w:abstractNumId w:val="20"/>
  </w:num>
  <w:num w:numId="9">
    <w:abstractNumId w:val="7"/>
  </w:num>
  <w:num w:numId="10">
    <w:abstractNumId w:val="8"/>
  </w:num>
  <w:num w:numId="11">
    <w:abstractNumId w:val="21"/>
  </w:num>
  <w:num w:numId="12">
    <w:abstractNumId w:val="9"/>
  </w:num>
  <w:num w:numId="13">
    <w:abstractNumId w:val="12"/>
  </w:num>
  <w:num w:numId="14">
    <w:abstractNumId w:val="15"/>
  </w:num>
  <w:num w:numId="15">
    <w:abstractNumId w:val="14"/>
  </w:num>
  <w:num w:numId="16">
    <w:abstractNumId w:val="2"/>
  </w:num>
  <w:num w:numId="17">
    <w:abstractNumId w:val="16"/>
  </w:num>
  <w:num w:numId="18">
    <w:abstractNumId w:val="1"/>
  </w:num>
  <w:num w:numId="19">
    <w:abstractNumId w:val="0"/>
  </w:num>
  <w:num w:numId="20">
    <w:abstractNumId w:val="6"/>
  </w:num>
  <w:num w:numId="21">
    <w:abstractNumId w:val="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24C12A2D"/>
    <w:rsid w:val="0006241B"/>
    <w:rsid w:val="0009131A"/>
    <w:rsid w:val="000D03AA"/>
    <w:rsid w:val="00181DA4"/>
    <w:rsid w:val="0025504F"/>
    <w:rsid w:val="00283870"/>
    <w:rsid w:val="002B116A"/>
    <w:rsid w:val="003C2139"/>
    <w:rsid w:val="004D6EAA"/>
    <w:rsid w:val="004E16DD"/>
    <w:rsid w:val="004E6FB0"/>
    <w:rsid w:val="005A3BFA"/>
    <w:rsid w:val="005C3DAA"/>
    <w:rsid w:val="00647238"/>
    <w:rsid w:val="007E2640"/>
    <w:rsid w:val="00810168"/>
    <w:rsid w:val="0088075E"/>
    <w:rsid w:val="008B2A64"/>
    <w:rsid w:val="0093200B"/>
    <w:rsid w:val="00974ECF"/>
    <w:rsid w:val="009F3466"/>
    <w:rsid w:val="009F5DBC"/>
    <w:rsid w:val="00A60897"/>
    <w:rsid w:val="00A71D29"/>
    <w:rsid w:val="00A721C1"/>
    <w:rsid w:val="00B33F12"/>
    <w:rsid w:val="00B72712"/>
    <w:rsid w:val="00B93BF2"/>
    <w:rsid w:val="00C05A5E"/>
    <w:rsid w:val="00CB1DCF"/>
    <w:rsid w:val="00D33DE2"/>
    <w:rsid w:val="00D82FDF"/>
    <w:rsid w:val="00D90FC8"/>
    <w:rsid w:val="00E652A1"/>
    <w:rsid w:val="00E955A5"/>
    <w:rsid w:val="00EE0AE3"/>
    <w:rsid w:val="00EE6E3D"/>
    <w:rsid w:val="00EF6E37"/>
    <w:rsid w:val="00F70C02"/>
    <w:rsid w:val="00FA1AB1"/>
    <w:rsid w:val="04640214"/>
    <w:rsid w:val="06636EA8"/>
    <w:rsid w:val="06A6270C"/>
    <w:rsid w:val="096E47DE"/>
    <w:rsid w:val="0D561F97"/>
    <w:rsid w:val="100E32BF"/>
    <w:rsid w:val="143062BE"/>
    <w:rsid w:val="168D28F7"/>
    <w:rsid w:val="17B155A8"/>
    <w:rsid w:val="18376899"/>
    <w:rsid w:val="19F02960"/>
    <w:rsid w:val="1E185F00"/>
    <w:rsid w:val="24C12A2D"/>
    <w:rsid w:val="268F5367"/>
    <w:rsid w:val="2CF75CCD"/>
    <w:rsid w:val="30627B47"/>
    <w:rsid w:val="31915608"/>
    <w:rsid w:val="35F62008"/>
    <w:rsid w:val="3817224E"/>
    <w:rsid w:val="439630AC"/>
    <w:rsid w:val="476D262F"/>
    <w:rsid w:val="488722BD"/>
    <w:rsid w:val="515038C8"/>
    <w:rsid w:val="559B4360"/>
    <w:rsid w:val="58472D16"/>
    <w:rsid w:val="588E318A"/>
    <w:rsid w:val="58927912"/>
    <w:rsid w:val="5CBF16F5"/>
    <w:rsid w:val="615C4D23"/>
    <w:rsid w:val="62BB08BA"/>
    <w:rsid w:val="64430B5A"/>
    <w:rsid w:val="66401DAC"/>
    <w:rsid w:val="668C204D"/>
    <w:rsid w:val="6B9C5FAB"/>
    <w:rsid w:val="6C6953A9"/>
    <w:rsid w:val="6DDC759D"/>
    <w:rsid w:val="79A3224E"/>
    <w:rsid w:val="7B537952"/>
    <w:rsid w:val="7BD00178"/>
    <w:rsid w:val="7BD369CB"/>
    <w:rsid w:val="7D1C313E"/>
    <w:rsid w:val="7D89142E"/>
    <w:rsid w:val="7E746BD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nhideWhenUsed="0" w:uiPriority="99" w:semiHidden="0" w:name="heading 3"/>
    <w:lsdException w:qFormat="1" w:uiPriority="0" w:name="heading 4" w:locked="1"/>
    <w:lsdException w:qFormat="1" w:unhideWhenUsed="0" w:uiPriority="1"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0"/>
    <w:qFormat/>
    <w:uiPriority w:val="99"/>
    <w:pPr>
      <w:keepNext/>
      <w:keepLines/>
      <w:spacing w:before="260" w:after="260" w:line="416" w:lineRule="auto"/>
      <w:outlineLvl w:val="1"/>
    </w:pPr>
    <w:rPr>
      <w:rFonts w:ascii="Arial" w:hAnsi="Arial" w:eastAsia="黑体"/>
      <w:b/>
      <w:kern w:val="0"/>
      <w:sz w:val="32"/>
      <w:szCs w:val="20"/>
    </w:rPr>
  </w:style>
  <w:style w:type="paragraph" w:styleId="3">
    <w:name w:val="heading 3"/>
    <w:basedOn w:val="1"/>
    <w:next w:val="1"/>
    <w:link w:val="21"/>
    <w:qFormat/>
    <w:uiPriority w:val="99"/>
    <w:pPr>
      <w:keepNext/>
      <w:keepLines/>
      <w:spacing w:before="260" w:after="260" w:line="416" w:lineRule="auto"/>
      <w:outlineLvl w:val="2"/>
    </w:pPr>
    <w:rPr>
      <w:b/>
      <w:kern w:val="0"/>
      <w:sz w:val="32"/>
      <w:szCs w:val="20"/>
    </w:rPr>
  </w:style>
  <w:style w:type="paragraph" w:styleId="4">
    <w:name w:val="heading 5"/>
    <w:basedOn w:val="1"/>
    <w:next w:val="1"/>
    <w:qFormat/>
    <w:locked/>
    <w:uiPriority w:val="1"/>
    <w:pPr>
      <w:ind w:left="1348" w:hanging="526"/>
      <w:outlineLvl w:val="4"/>
    </w:pPr>
    <w:rPr>
      <w:rFonts w:ascii="Microsoft JhengHei" w:hAnsi="Microsoft JhengHei" w:eastAsia="Microsoft JhengHei" w:cs="Microsoft JhengHei"/>
      <w:b/>
      <w:bCs/>
      <w:szCs w:val="21"/>
    </w:rPr>
  </w:style>
  <w:style w:type="character" w:default="1" w:styleId="17">
    <w:name w:val="Default Paragraph Font"/>
    <w:semiHidden/>
    <w:unhideWhenUsed/>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1"/>
    <w:rPr>
      <w:szCs w:val="21"/>
    </w:rPr>
  </w:style>
  <w:style w:type="paragraph" w:styleId="7">
    <w:name w:val="toc 3"/>
    <w:basedOn w:val="1"/>
    <w:next w:val="1"/>
    <w:qFormat/>
    <w:uiPriority w:val="99"/>
    <w:pPr>
      <w:ind w:left="420"/>
      <w:jc w:val="left"/>
    </w:pPr>
    <w:rPr>
      <w:rFonts w:ascii="Calibri" w:hAnsi="Calibri" w:cs="Calibri"/>
      <w:i/>
      <w:iCs/>
      <w:sz w:val="20"/>
      <w:szCs w:val="20"/>
    </w:rPr>
  </w:style>
  <w:style w:type="paragraph" w:styleId="8">
    <w:name w:val="Plain Text"/>
    <w:basedOn w:val="1"/>
    <w:link w:val="22"/>
    <w:qFormat/>
    <w:uiPriority w:val="99"/>
    <w:pPr>
      <w:ind w:firstLine="200" w:firstLineChars="200"/>
    </w:pPr>
    <w:rPr>
      <w:rFonts w:ascii="宋体" w:hAnsi="Courier New"/>
      <w:kern w:val="0"/>
      <w:szCs w:val="20"/>
    </w:rPr>
  </w:style>
  <w:style w:type="paragraph" w:styleId="9">
    <w:name w:val="Balloon Text"/>
    <w:basedOn w:val="1"/>
    <w:link w:val="32"/>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kern w:val="0"/>
      <w:sz w:val="18"/>
      <w:szCs w:val="20"/>
    </w:rPr>
  </w:style>
  <w:style w:type="paragraph" w:styleId="11">
    <w:name w:val="header"/>
    <w:basedOn w:val="1"/>
    <w:link w:val="24"/>
    <w:qFormat/>
    <w:uiPriority w:val="99"/>
    <w:pPr>
      <w:pBdr>
        <w:bottom w:val="single" w:color="auto" w:sz="6" w:space="1"/>
      </w:pBdr>
      <w:tabs>
        <w:tab w:val="center" w:pos="4153"/>
        <w:tab w:val="right" w:pos="8306"/>
      </w:tabs>
      <w:snapToGrid w:val="0"/>
      <w:jc w:val="center"/>
    </w:pPr>
    <w:rPr>
      <w:kern w:val="0"/>
      <w:sz w:val="18"/>
      <w:szCs w:val="20"/>
    </w:rPr>
  </w:style>
  <w:style w:type="paragraph" w:styleId="12">
    <w:name w:val="toc 1"/>
    <w:basedOn w:val="1"/>
    <w:next w:val="1"/>
    <w:qFormat/>
    <w:uiPriority w:val="99"/>
    <w:pPr>
      <w:spacing w:before="120" w:after="120"/>
      <w:jc w:val="left"/>
    </w:pPr>
    <w:rPr>
      <w:rFonts w:ascii="Calibri" w:hAnsi="Calibri" w:cs="Calibri"/>
      <w:b/>
      <w:bCs/>
      <w:caps/>
      <w:sz w:val="20"/>
      <w:szCs w:val="20"/>
    </w:rPr>
  </w:style>
  <w:style w:type="paragraph" w:styleId="13">
    <w:name w:val="Subtitle"/>
    <w:basedOn w:val="1"/>
    <w:next w:val="1"/>
    <w:link w:val="25"/>
    <w:qFormat/>
    <w:uiPriority w:val="99"/>
    <w:pPr>
      <w:spacing w:before="240" w:after="60" w:line="312" w:lineRule="auto"/>
      <w:jc w:val="center"/>
      <w:outlineLvl w:val="1"/>
    </w:pPr>
    <w:rPr>
      <w:rFonts w:ascii="Cambria" w:hAnsi="Cambria"/>
      <w:b/>
      <w:kern w:val="28"/>
      <w:sz w:val="32"/>
      <w:szCs w:val="20"/>
    </w:rPr>
  </w:style>
  <w:style w:type="paragraph" w:styleId="14">
    <w:name w:val="Body Text Indent 3"/>
    <w:basedOn w:val="1"/>
    <w:qFormat/>
    <w:uiPriority w:val="0"/>
    <w:pPr>
      <w:spacing w:line="360" w:lineRule="auto"/>
      <w:ind w:firstLine="632"/>
    </w:pPr>
    <w:rPr>
      <w:rFonts w:ascii="黑体" w:eastAsia="黑体"/>
    </w:rPr>
  </w:style>
  <w:style w:type="paragraph" w:styleId="15">
    <w:name w:val="toc 2"/>
    <w:basedOn w:val="1"/>
    <w:next w:val="1"/>
    <w:qFormat/>
    <w:uiPriority w:val="99"/>
    <w:pPr>
      <w:ind w:left="210"/>
      <w:jc w:val="left"/>
    </w:pPr>
    <w:rPr>
      <w:rFonts w:ascii="Calibri" w:hAnsi="Calibri" w:cs="Calibri"/>
      <w:smallCaps/>
      <w:sz w:val="20"/>
      <w:szCs w:val="20"/>
    </w:rPr>
  </w:style>
  <w:style w:type="paragraph" w:styleId="16">
    <w:name w:val="Title"/>
    <w:basedOn w:val="1"/>
    <w:link w:val="26"/>
    <w:qFormat/>
    <w:uiPriority w:val="99"/>
    <w:pPr>
      <w:adjustRightInd w:val="0"/>
      <w:spacing w:before="240" w:after="60" w:line="420" w:lineRule="atLeast"/>
      <w:jc w:val="center"/>
      <w:textAlignment w:val="baseline"/>
      <w:outlineLvl w:val="0"/>
    </w:pPr>
    <w:rPr>
      <w:rFonts w:ascii="Cambria" w:hAnsi="Cambria"/>
      <w:b/>
      <w:kern w:val="0"/>
      <w:sz w:val="32"/>
      <w:szCs w:val="20"/>
    </w:rPr>
  </w:style>
  <w:style w:type="table" w:styleId="19">
    <w:name w:val="Table Grid"/>
    <w:basedOn w:val="18"/>
    <w:qFormat/>
    <w:uiPriority w:val="99"/>
    <w:pPr>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0">
    <w:name w:val="标题 2 Char"/>
    <w:basedOn w:val="17"/>
    <w:link w:val="2"/>
    <w:semiHidden/>
    <w:qFormat/>
    <w:uiPriority w:val="9"/>
    <w:rPr>
      <w:rFonts w:asciiTheme="majorHAnsi" w:hAnsiTheme="majorHAnsi" w:eastAsiaTheme="majorEastAsia" w:cstheme="majorBidi"/>
      <w:b/>
      <w:bCs/>
      <w:sz w:val="32"/>
      <w:szCs w:val="32"/>
    </w:rPr>
  </w:style>
  <w:style w:type="character" w:customStyle="1" w:styleId="21">
    <w:name w:val="标题 3 Char"/>
    <w:basedOn w:val="17"/>
    <w:link w:val="3"/>
    <w:semiHidden/>
    <w:qFormat/>
    <w:uiPriority w:val="9"/>
    <w:rPr>
      <w:rFonts w:ascii="Times New Roman" w:hAnsi="Times New Roman"/>
      <w:b/>
      <w:bCs/>
      <w:sz w:val="32"/>
      <w:szCs w:val="32"/>
    </w:rPr>
  </w:style>
  <w:style w:type="character" w:customStyle="1" w:styleId="22">
    <w:name w:val="纯文本 Char"/>
    <w:basedOn w:val="17"/>
    <w:link w:val="8"/>
    <w:semiHidden/>
    <w:qFormat/>
    <w:uiPriority w:val="99"/>
    <w:rPr>
      <w:rFonts w:ascii="宋体" w:hAnsi="Courier New" w:cs="Courier New"/>
      <w:szCs w:val="21"/>
    </w:rPr>
  </w:style>
  <w:style w:type="character" w:customStyle="1" w:styleId="23">
    <w:name w:val="页脚 Char"/>
    <w:basedOn w:val="17"/>
    <w:link w:val="10"/>
    <w:semiHidden/>
    <w:qFormat/>
    <w:uiPriority w:val="99"/>
    <w:rPr>
      <w:rFonts w:ascii="Times New Roman" w:hAnsi="Times New Roman"/>
      <w:sz w:val="18"/>
      <w:szCs w:val="18"/>
    </w:rPr>
  </w:style>
  <w:style w:type="character" w:customStyle="1" w:styleId="24">
    <w:name w:val="页眉 Char"/>
    <w:basedOn w:val="17"/>
    <w:link w:val="11"/>
    <w:semiHidden/>
    <w:qFormat/>
    <w:uiPriority w:val="99"/>
    <w:rPr>
      <w:rFonts w:ascii="Times New Roman" w:hAnsi="Times New Roman"/>
      <w:sz w:val="18"/>
      <w:szCs w:val="18"/>
    </w:rPr>
  </w:style>
  <w:style w:type="character" w:customStyle="1" w:styleId="25">
    <w:name w:val="副标题 Char"/>
    <w:basedOn w:val="17"/>
    <w:link w:val="13"/>
    <w:qFormat/>
    <w:uiPriority w:val="11"/>
    <w:rPr>
      <w:rFonts w:asciiTheme="majorHAnsi" w:hAnsiTheme="majorHAnsi" w:cstheme="majorBidi"/>
      <w:b/>
      <w:bCs/>
      <w:kern w:val="28"/>
      <w:sz w:val="32"/>
      <w:szCs w:val="32"/>
    </w:rPr>
  </w:style>
  <w:style w:type="character" w:customStyle="1" w:styleId="26">
    <w:name w:val="标题 Char"/>
    <w:basedOn w:val="17"/>
    <w:link w:val="16"/>
    <w:qFormat/>
    <w:uiPriority w:val="10"/>
    <w:rPr>
      <w:rFonts w:asciiTheme="majorHAnsi" w:hAnsiTheme="majorHAnsi" w:cstheme="majorBidi"/>
      <w:b/>
      <w:bCs/>
      <w:sz w:val="32"/>
      <w:szCs w:val="32"/>
    </w:rPr>
  </w:style>
  <w:style w:type="paragraph" w:customStyle="1" w:styleId="27">
    <w:name w:val="样式 标题 2 + Times New Roman 四号 非加粗 段前: 5 磅 段后: 0 磅 行距: 固定值 20..."/>
    <w:basedOn w:val="2"/>
    <w:qFormat/>
    <w:uiPriority w:val="99"/>
    <w:pPr>
      <w:spacing w:before="100" w:after="0" w:line="400" w:lineRule="exact"/>
    </w:pPr>
    <w:rPr>
      <w:rFonts w:ascii="Times New Roman" w:hAnsi="Times New Roman" w:cs="宋体"/>
      <w:b w:val="0"/>
      <w:sz w:val="28"/>
    </w:rPr>
  </w:style>
  <w:style w:type="paragraph" w:customStyle="1" w:styleId="28">
    <w:name w:val="样式 标题 3 + (中文) 黑体 小四 非加粗 段前: 7.8 磅 段后: 0 磅 行距: 固定值 20 磅"/>
    <w:basedOn w:val="3"/>
    <w:qFormat/>
    <w:uiPriority w:val="99"/>
    <w:pPr>
      <w:spacing w:before="0" w:after="0" w:line="400" w:lineRule="exact"/>
    </w:pPr>
    <w:rPr>
      <w:rFonts w:eastAsia="黑体" w:cs="宋体"/>
      <w:b w:val="0"/>
      <w:sz w:val="24"/>
    </w:rPr>
  </w:style>
  <w:style w:type="paragraph" w:customStyle="1" w:styleId="29">
    <w:name w:val="列出段落1"/>
    <w:basedOn w:val="1"/>
    <w:qFormat/>
    <w:uiPriority w:val="99"/>
    <w:pPr>
      <w:ind w:firstLine="420" w:firstLineChars="200"/>
    </w:pPr>
  </w:style>
  <w:style w:type="paragraph" w:customStyle="1" w:styleId="30">
    <w:name w:val="1"/>
    <w:basedOn w:val="1"/>
    <w:next w:val="8"/>
    <w:qFormat/>
    <w:uiPriority w:val="0"/>
    <w:rPr>
      <w:rFonts w:ascii="宋体" w:hAnsi="Courier New"/>
      <w:szCs w:val="20"/>
    </w:rPr>
  </w:style>
  <w:style w:type="paragraph" w:styleId="31">
    <w:name w:val="List Paragraph"/>
    <w:basedOn w:val="1"/>
    <w:qFormat/>
    <w:uiPriority w:val="99"/>
    <w:pPr>
      <w:ind w:firstLine="420" w:firstLineChars="200"/>
    </w:pPr>
  </w:style>
  <w:style w:type="character" w:customStyle="1" w:styleId="32">
    <w:name w:val="批注框文本 Char"/>
    <w:basedOn w:val="17"/>
    <w:link w:val="9"/>
    <w:semiHidden/>
    <w:qFormat/>
    <w:uiPriority w:val="99"/>
    <w:rPr>
      <w:kern w:val="2"/>
      <w:sz w:val="18"/>
      <w:szCs w:val="18"/>
    </w:rPr>
  </w:style>
  <w:style w:type="paragraph" w:customStyle="1" w:styleId="33">
    <w:name w:val="Table Paragraph"/>
    <w:basedOn w:val="1"/>
    <w:qFormat/>
    <w:uiPriority w:val="1"/>
  </w:style>
  <w:style w:type="table" w:customStyle="1" w:styleId="34">
    <w:name w:val="Table Normal"/>
    <w:unhideWhenUsed/>
    <w:qFormat/>
    <w:uiPriority w:val="2"/>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409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57</Pages>
  <Words>4064</Words>
  <Characters>23169</Characters>
  <Lines>193</Lines>
  <Paragraphs>54</Paragraphs>
  <TotalTime>0</TotalTime>
  <ScaleCrop>false</ScaleCrop>
  <LinksUpToDate>false</LinksUpToDate>
  <CharactersWithSpaces>27179</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2018-10-30T02:05:00Z</dcterms:created>
  <dc:creator>Administrator</dc:creator>
  <cp:lastModifiedBy>♬ JNkk 与旁 à!’</cp:lastModifiedBy>
  <cp:lastPrinted>2017-06-12T01:00:00Z</cp:lastPrinted>
  <dcterms:modified xsi:type="dcterms:W3CDTF">2018-11-07T06:19:54Z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