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0F9" w:rsidRDefault="004040F9">
      <w:pPr>
        <w:widowControl/>
        <w:jc w:val="center"/>
        <w:rPr>
          <w:rFonts w:ascii="宋体" w:eastAsia="宋体" w:hAnsi="宋体" w:cs="宋体"/>
          <w:b/>
          <w:kern w:val="0"/>
          <w:sz w:val="48"/>
          <w:szCs w:val="48"/>
        </w:rPr>
      </w:pPr>
    </w:p>
    <w:p w:rsidR="004040F9" w:rsidRDefault="005B7881">
      <w:pPr>
        <w:widowControl/>
        <w:jc w:val="center"/>
        <w:rPr>
          <w:rFonts w:ascii="宋体" w:eastAsia="宋体" w:hAnsi="宋体" w:cs="宋体"/>
          <w:b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kern w:val="0"/>
          <w:sz w:val="48"/>
          <w:szCs w:val="48"/>
        </w:rPr>
        <w:t>重庆医科大学附属第二医院</w:t>
      </w:r>
      <w:r w:rsidR="00F33917">
        <w:rPr>
          <w:rFonts w:ascii="宋体" w:eastAsia="宋体" w:hAnsi="宋体" w:cs="宋体" w:hint="eastAsia"/>
          <w:b/>
          <w:kern w:val="0"/>
          <w:sz w:val="48"/>
          <w:szCs w:val="48"/>
        </w:rPr>
        <w:t>渝中院区</w:t>
      </w:r>
    </w:p>
    <w:p w:rsidR="004040F9" w:rsidRDefault="005B7881">
      <w:pPr>
        <w:widowControl/>
        <w:jc w:val="center"/>
        <w:rPr>
          <w:rFonts w:ascii="宋体" w:eastAsia="宋体" w:hAnsi="宋体" w:cs="宋体"/>
          <w:b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sz w:val="48"/>
          <w:szCs w:val="48"/>
        </w:rPr>
        <w:t>除</w:t>
      </w:r>
      <w:r>
        <w:rPr>
          <w:rFonts w:ascii="宋体" w:eastAsia="宋体" w:hAnsi="宋体" w:cs="宋体" w:hint="eastAsia"/>
          <w:b/>
          <w:kern w:val="0"/>
          <w:sz w:val="48"/>
          <w:szCs w:val="48"/>
        </w:rPr>
        <w:t>“</w:t>
      </w:r>
      <w:r>
        <w:rPr>
          <w:rFonts w:ascii="宋体" w:eastAsia="宋体" w:hAnsi="宋体" w:cs="宋体" w:hint="eastAsia"/>
          <w:b/>
          <w:sz w:val="48"/>
          <w:szCs w:val="48"/>
        </w:rPr>
        <w:t>四害</w:t>
      </w:r>
      <w:r>
        <w:rPr>
          <w:rFonts w:ascii="宋体" w:eastAsia="宋体" w:hAnsi="宋体" w:cs="宋体" w:hint="eastAsia"/>
          <w:b/>
          <w:kern w:val="0"/>
          <w:sz w:val="48"/>
          <w:szCs w:val="48"/>
        </w:rPr>
        <w:t>”</w:t>
      </w:r>
      <w:r>
        <w:rPr>
          <w:rFonts w:ascii="宋体" w:eastAsia="宋体" w:hAnsi="宋体" w:cs="宋体" w:hint="eastAsia"/>
          <w:b/>
          <w:sz w:val="48"/>
          <w:szCs w:val="48"/>
        </w:rPr>
        <w:t>预防及控制服务</w:t>
      </w:r>
    </w:p>
    <w:p w:rsidR="004040F9" w:rsidRDefault="004040F9">
      <w:pPr>
        <w:rPr>
          <w:b/>
          <w:sz w:val="36"/>
          <w:szCs w:val="36"/>
        </w:rPr>
      </w:pPr>
    </w:p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9F616B">
      <w:pPr>
        <w:widowControl/>
        <w:jc w:val="center"/>
        <w:rPr>
          <w:rFonts w:ascii="宋体" w:eastAsia="宋体" w:hAnsi="宋体" w:cs="宋体"/>
          <w:b/>
          <w:kern w:val="0"/>
          <w:sz w:val="48"/>
          <w:szCs w:val="48"/>
        </w:rPr>
      </w:pPr>
      <w:r>
        <w:rPr>
          <w:rFonts w:ascii="宋体" w:eastAsia="宋体" w:hAnsi="宋体" w:cs="宋体" w:hint="eastAsia"/>
          <w:b/>
          <w:kern w:val="0"/>
          <w:sz w:val="48"/>
          <w:szCs w:val="48"/>
          <w:shd w:val="clear" w:color="auto" w:fill="FFFFFF"/>
        </w:rPr>
        <w:t>竞争性</w:t>
      </w:r>
      <w:r w:rsidR="005B7881">
        <w:rPr>
          <w:rFonts w:ascii="宋体" w:eastAsia="宋体" w:hAnsi="宋体" w:cs="宋体" w:hint="eastAsia"/>
          <w:b/>
          <w:kern w:val="0"/>
          <w:sz w:val="48"/>
          <w:szCs w:val="48"/>
          <w:shd w:val="clear" w:color="auto" w:fill="FFFFFF"/>
        </w:rPr>
        <w:t>谈判</w:t>
      </w:r>
      <w:r w:rsidR="005B7881">
        <w:rPr>
          <w:rFonts w:ascii="宋体" w:eastAsia="宋体" w:hAnsi="宋体" w:cs="宋体" w:hint="eastAsia"/>
          <w:b/>
          <w:kern w:val="0"/>
          <w:sz w:val="48"/>
          <w:szCs w:val="48"/>
        </w:rPr>
        <w:t>文件</w:t>
      </w:r>
    </w:p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4040F9"/>
    <w:p w:rsidR="004040F9" w:rsidRDefault="005B7881">
      <w:pPr>
        <w:adjustRightInd w:val="0"/>
        <w:spacing w:line="560" w:lineRule="atLeast"/>
        <w:jc w:val="center"/>
        <w:rPr>
          <w:rFonts w:ascii="宋体" w:eastAsia="宋体" w:hAnsi="宋体" w:cs="宋体"/>
          <w:b/>
          <w:bCs/>
          <w:snapToGrid w:val="0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napToGrid w:val="0"/>
          <w:sz w:val="36"/>
          <w:szCs w:val="36"/>
        </w:rPr>
        <w:t>重庆医科大学附属第二医院</w:t>
      </w:r>
    </w:p>
    <w:p w:rsidR="004040F9" w:rsidRDefault="005B7881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6"/>
          <w:szCs w:val="36"/>
        </w:rPr>
        <w:t>二</w:t>
      </w:r>
      <w:proofErr w:type="gramStart"/>
      <w:r>
        <w:rPr>
          <w:rFonts w:ascii="宋体" w:eastAsia="宋体" w:hAnsi="宋体" w:cs="宋体" w:hint="eastAsia"/>
          <w:b/>
          <w:bCs/>
          <w:sz w:val="36"/>
          <w:szCs w:val="36"/>
        </w:rPr>
        <w:t>0一八</w:t>
      </w:r>
      <w:proofErr w:type="gramEnd"/>
      <w:r>
        <w:rPr>
          <w:rFonts w:ascii="宋体" w:eastAsia="宋体" w:hAnsi="宋体" w:cs="宋体" w:hint="eastAsia"/>
          <w:b/>
          <w:bCs/>
          <w:sz w:val="36"/>
          <w:szCs w:val="36"/>
        </w:rPr>
        <w:t>年</w:t>
      </w:r>
      <w:r w:rsidR="00F33917">
        <w:rPr>
          <w:rFonts w:ascii="宋体" w:eastAsia="宋体" w:hAnsi="宋体" w:cs="宋体" w:hint="eastAsia"/>
          <w:b/>
          <w:bCs/>
          <w:sz w:val="36"/>
          <w:szCs w:val="36"/>
        </w:rPr>
        <w:t>十一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月</w:t>
      </w:r>
      <w:r w:rsidR="00F33917">
        <w:rPr>
          <w:rFonts w:ascii="宋体" w:eastAsia="宋体" w:hAnsi="宋体" w:cs="宋体" w:hint="eastAsia"/>
          <w:b/>
          <w:bCs/>
          <w:sz w:val="36"/>
          <w:szCs w:val="36"/>
        </w:rPr>
        <w:t>十五</w:t>
      </w:r>
      <w:r>
        <w:rPr>
          <w:rFonts w:ascii="宋体" w:eastAsia="宋体" w:hAnsi="宋体" w:cs="宋体" w:hint="eastAsia"/>
          <w:b/>
          <w:bCs/>
          <w:sz w:val="36"/>
          <w:szCs w:val="36"/>
        </w:rPr>
        <w:t>日</w:t>
      </w:r>
    </w:p>
    <w:p w:rsidR="004040F9" w:rsidRDefault="004040F9">
      <w:pPr>
        <w:jc w:val="center"/>
        <w:rPr>
          <w:rFonts w:ascii="宋体" w:eastAsia="宋体" w:hAnsi="宋体" w:cs="宋体"/>
          <w:b/>
          <w:bCs/>
          <w:sz w:val="36"/>
          <w:szCs w:val="36"/>
        </w:rPr>
      </w:pPr>
    </w:p>
    <w:tbl>
      <w:tblPr>
        <w:tblpPr w:leftFromText="180" w:rightFromText="180" w:vertAnchor="text" w:tblpXSpec="center" w:tblpY="1"/>
        <w:tblOverlap w:val="never"/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5"/>
        <w:gridCol w:w="1944"/>
        <w:gridCol w:w="6849"/>
      </w:tblGrid>
      <w:tr w:rsidR="004040F9">
        <w:trPr>
          <w:trHeight w:val="774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b/>
                <w:bCs/>
                <w:szCs w:val="24"/>
              </w:rPr>
            </w:pPr>
            <w:proofErr w:type="gramStart"/>
            <w:r>
              <w:rPr>
                <w:rFonts w:ascii="宋体" w:eastAsia="宋体" w:cs="宋体" w:hint="eastAsia"/>
                <w:b/>
                <w:bCs/>
                <w:szCs w:val="24"/>
              </w:rPr>
              <w:lastRenderedPageBreak/>
              <w:t>项号</w:t>
            </w:r>
            <w:proofErr w:type="gramEnd"/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b/>
                <w:bCs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szCs w:val="24"/>
              </w:rPr>
              <w:t>内容</w:t>
            </w:r>
          </w:p>
        </w:tc>
        <w:tc>
          <w:tcPr>
            <w:tcW w:w="6849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b/>
                <w:bCs/>
                <w:szCs w:val="24"/>
              </w:rPr>
            </w:pPr>
            <w:r>
              <w:rPr>
                <w:rFonts w:ascii="宋体" w:eastAsia="宋体" w:cs="宋体" w:hint="eastAsia"/>
                <w:b/>
                <w:bCs/>
                <w:szCs w:val="24"/>
              </w:rPr>
              <w:t>说明与要求</w:t>
            </w:r>
          </w:p>
        </w:tc>
      </w:tr>
      <w:tr w:rsidR="004040F9">
        <w:trPr>
          <w:trHeight w:val="567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3"/>
              <w:spacing w:line="36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szCs w:val="24"/>
              </w:rPr>
              <w:t>1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3"/>
              <w:spacing w:line="360" w:lineRule="auto"/>
              <w:jc w:val="center"/>
              <w:rPr>
                <w:rFonts w:ascii="宋体" w:eastAsia="宋体" w:hAnsi="宋体" w:cs="宋体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Cs w:val="24"/>
              </w:rPr>
              <w:t>项目名称</w:t>
            </w:r>
          </w:p>
        </w:tc>
        <w:tc>
          <w:tcPr>
            <w:tcW w:w="6849" w:type="dxa"/>
            <w:vAlign w:val="center"/>
          </w:tcPr>
          <w:p w:rsidR="004040F9" w:rsidRDefault="005B7881" w:rsidP="00F33917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snapToGrid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重庆医科大学附属第二医院</w:t>
            </w:r>
            <w:r w:rsidR="00F33917">
              <w:rPr>
                <w:rFonts w:ascii="宋体" w:eastAsia="宋体" w:hAnsi="宋体" w:cs="宋体" w:hint="eastAsia"/>
                <w:bCs/>
                <w:kern w:val="0"/>
                <w:sz w:val="24"/>
              </w:rPr>
              <w:t>渝中院区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除“四害”预防及控制服务</w:t>
            </w:r>
          </w:p>
        </w:tc>
      </w:tr>
      <w:tr w:rsidR="004040F9">
        <w:trPr>
          <w:trHeight w:val="670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2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项目地点</w:t>
            </w:r>
          </w:p>
        </w:tc>
        <w:tc>
          <w:tcPr>
            <w:tcW w:w="6849" w:type="dxa"/>
            <w:vAlign w:val="center"/>
          </w:tcPr>
          <w:p w:rsidR="004040F9" w:rsidRDefault="005B7881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Cs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重庆医科大学附属第二医院</w:t>
            </w:r>
            <w:r w:rsidR="00F33917">
              <w:rPr>
                <w:rFonts w:ascii="宋体" w:eastAsia="宋体" w:hAnsi="宋体" w:cs="宋体" w:hint="eastAsia"/>
                <w:bCs/>
                <w:kern w:val="0"/>
                <w:sz w:val="24"/>
              </w:rPr>
              <w:t>渝中院区</w:t>
            </w:r>
          </w:p>
          <w:p w:rsidR="004040F9" w:rsidRDefault="005B7881" w:rsidP="00F33917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（重庆市</w:t>
            </w:r>
            <w:r w:rsidR="00F33917">
              <w:rPr>
                <w:rFonts w:ascii="宋体" w:eastAsia="宋体" w:hAnsi="宋体" w:cs="宋体" w:hint="eastAsia"/>
                <w:bCs/>
                <w:kern w:val="0"/>
                <w:sz w:val="24"/>
              </w:rPr>
              <w:t>渝中区临江路76号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）</w:t>
            </w:r>
          </w:p>
        </w:tc>
      </w:tr>
      <w:tr w:rsidR="004040F9">
        <w:trPr>
          <w:trHeight w:val="578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3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服务范围及内容</w:t>
            </w:r>
          </w:p>
        </w:tc>
        <w:tc>
          <w:tcPr>
            <w:tcW w:w="6849" w:type="dxa"/>
            <w:vAlign w:val="center"/>
          </w:tcPr>
          <w:p w:rsidR="004040F9" w:rsidRDefault="00F33917">
            <w:pPr>
              <w:spacing w:line="360" w:lineRule="auto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eastAsia="宋体" w:hAnsi="宋体" w:cs="宋体" w:hint="eastAsia"/>
                <w:sz w:val="24"/>
              </w:rPr>
              <w:t>渝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中</w:t>
            </w:r>
            <w:r w:rsidR="005B7881">
              <w:rPr>
                <w:rFonts w:ascii="宋体" w:eastAsia="宋体" w:hAnsi="宋体" w:cs="宋体" w:hint="eastAsia"/>
                <w:sz w:val="24"/>
              </w:rPr>
              <w:t>院区所辖范围进行杀除“四害”</w:t>
            </w:r>
            <w:r w:rsidR="005B7881">
              <w:rPr>
                <w:rFonts w:ascii="宋体" w:eastAsia="宋体" w:hAnsi="宋体" w:cs="宋体" w:hint="eastAsia"/>
                <w:bCs/>
                <w:sz w:val="24"/>
              </w:rPr>
              <w:t>预防及控制服务</w:t>
            </w:r>
          </w:p>
        </w:tc>
      </w:tr>
      <w:tr w:rsidR="004040F9">
        <w:trPr>
          <w:trHeight w:val="1030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4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达到效果</w:t>
            </w:r>
          </w:p>
        </w:tc>
        <w:tc>
          <w:tcPr>
            <w:tcW w:w="6849" w:type="dxa"/>
            <w:vAlign w:val="center"/>
          </w:tcPr>
          <w:p w:rsidR="004040F9" w:rsidRDefault="005B7881">
            <w:pPr>
              <w:pStyle w:val="a7"/>
              <w:numPr>
                <w:ilvl w:val="0"/>
                <w:numId w:val="1"/>
              </w:numPr>
              <w:spacing w:line="360" w:lineRule="auto"/>
              <w:ind w:firstLine="0"/>
              <w:rPr>
                <w:rFonts w:ascii="宋体" w:eastAsia="宋体" w:cs="宋体"/>
                <w:bCs/>
                <w:szCs w:val="24"/>
              </w:rPr>
            </w:pPr>
            <w:r>
              <w:rPr>
                <w:rFonts w:ascii="宋体" w:eastAsia="宋体" w:cs="宋体" w:hint="eastAsia"/>
                <w:bCs/>
                <w:szCs w:val="24"/>
              </w:rPr>
              <w:t>能通过各上级主管部门检查</w:t>
            </w:r>
          </w:p>
          <w:p w:rsidR="004040F9" w:rsidRDefault="005B7881">
            <w:pPr>
              <w:pStyle w:val="a7"/>
              <w:numPr>
                <w:ilvl w:val="0"/>
                <w:numId w:val="1"/>
              </w:numPr>
              <w:spacing w:line="360" w:lineRule="auto"/>
              <w:ind w:firstLine="0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bCs/>
                <w:szCs w:val="24"/>
              </w:rPr>
              <w:t>健康服务环境提升内容及评定达到A级标准</w:t>
            </w:r>
          </w:p>
          <w:p w:rsidR="004040F9" w:rsidRDefault="005B7881">
            <w:pPr>
              <w:pStyle w:val="a7"/>
              <w:spacing w:line="360" w:lineRule="auto"/>
              <w:ind w:firstLine="0"/>
              <w:rPr>
                <w:rFonts w:ascii="宋体" w:eastAsia="宋体" w:cs="宋体"/>
                <w:bCs/>
                <w:szCs w:val="24"/>
              </w:rPr>
            </w:pPr>
            <w:r>
              <w:rPr>
                <w:rFonts w:ascii="宋体" w:eastAsia="宋体" w:cs="宋体" w:hint="eastAsia"/>
                <w:bCs/>
                <w:szCs w:val="24"/>
              </w:rPr>
              <w:t>A级标准参考：</w:t>
            </w:r>
          </w:p>
          <w:p w:rsidR="004040F9" w:rsidRDefault="005B7881">
            <w:pPr>
              <w:pStyle w:val="a7"/>
              <w:spacing w:line="360" w:lineRule="auto"/>
              <w:ind w:firstLine="0"/>
              <w:rPr>
                <w:rFonts w:ascii="宋体" w:eastAsia="宋体" w:cs="宋体"/>
                <w:bCs/>
                <w:szCs w:val="24"/>
              </w:rPr>
            </w:pPr>
            <w:r>
              <w:rPr>
                <w:rFonts w:ascii="宋体" w:eastAsia="宋体" w:cs="宋体" w:hint="eastAsia"/>
                <w:bCs/>
                <w:szCs w:val="24"/>
              </w:rPr>
              <w:t>附件二：《重庆市除四害管理规定》</w:t>
            </w:r>
          </w:p>
          <w:p w:rsidR="004040F9" w:rsidRDefault="005B7881">
            <w:pPr>
              <w:pStyle w:val="a7"/>
              <w:spacing w:line="360" w:lineRule="auto"/>
              <w:ind w:firstLine="0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附件三：</w:t>
            </w:r>
            <w:proofErr w:type="gramStart"/>
            <w:r>
              <w:rPr>
                <w:rFonts w:ascii="宋体" w:eastAsia="宋体" w:cs="宋体" w:hint="eastAsia"/>
                <w:szCs w:val="24"/>
              </w:rPr>
              <w:t>渝爱卫</w:t>
            </w:r>
            <w:proofErr w:type="gramEnd"/>
            <w:r>
              <w:rPr>
                <w:rFonts w:ascii="宋体" w:eastAsia="宋体" w:cs="宋体" w:hint="eastAsia"/>
                <w:szCs w:val="24"/>
              </w:rPr>
              <w:t>办（2018）8号文件</w:t>
            </w:r>
            <w:r>
              <w:rPr>
                <w:rFonts w:ascii="宋体" w:eastAsia="宋体" w:cs="宋体" w:hint="eastAsia"/>
                <w:bCs/>
                <w:szCs w:val="24"/>
              </w:rPr>
              <w:t>《</w:t>
            </w:r>
            <w:r>
              <w:rPr>
                <w:rFonts w:ascii="宋体" w:eastAsia="宋体" w:cs="宋体" w:hint="eastAsia"/>
                <w:szCs w:val="24"/>
              </w:rPr>
              <w:t>关于开展全市医疗卫生机构健康服务环境提升行动的通知</w:t>
            </w:r>
            <w:r>
              <w:rPr>
                <w:rFonts w:ascii="宋体" w:eastAsia="宋体" w:cs="宋体" w:hint="eastAsia"/>
                <w:bCs/>
                <w:szCs w:val="24"/>
              </w:rPr>
              <w:t>》</w:t>
            </w:r>
          </w:p>
        </w:tc>
      </w:tr>
      <w:tr w:rsidR="004040F9">
        <w:trPr>
          <w:trHeight w:val="1106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5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竞</w:t>
            </w:r>
            <w:proofErr w:type="gramStart"/>
            <w:r>
              <w:rPr>
                <w:rFonts w:ascii="宋体" w:eastAsia="宋体" w:cs="宋体" w:hint="eastAsia"/>
                <w:szCs w:val="24"/>
              </w:rPr>
              <w:t>谈目标</w:t>
            </w:r>
            <w:proofErr w:type="gramEnd"/>
          </w:p>
        </w:tc>
        <w:tc>
          <w:tcPr>
            <w:tcW w:w="6849" w:type="dxa"/>
            <w:vAlign w:val="center"/>
          </w:tcPr>
          <w:p w:rsidR="004040F9" w:rsidRDefault="005B7881">
            <w:pPr>
              <w:spacing w:line="360" w:lineRule="auto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根据《重庆市除四害管理规定》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及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渝爱卫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</w:rPr>
              <w:t>办（2018）8号文件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《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关于开展全市医疗卫生机构健康服务环境提升行动的通知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》的要求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，进行除“四害”预防及控制服务。</w:t>
            </w:r>
          </w:p>
        </w:tc>
      </w:tr>
      <w:tr w:rsidR="004040F9">
        <w:trPr>
          <w:trHeight w:val="1136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6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达到效果</w:t>
            </w:r>
          </w:p>
        </w:tc>
        <w:tc>
          <w:tcPr>
            <w:tcW w:w="6849" w:type="dxa"/>
            <w:vAlign w:val="center"/>
          </w:tcPr>
          <w:p w:rsidR="004040F9" w:rsidRDefault="005B7881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进场时对物业人员进行培训一次，平时保持与物业人员良好的沟通。乙方保持24小时电话畅通，在接到甲方提出服务需求2小时内须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作出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反应，积极有效帮助甲方解决问题，乙方对甲方提出的相关问题尽力解答。</w:t>
            </w:r>
          </w:p>
          <w:p w:rsidR="004040F9" w:rsidRDefault="005B7881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1、灭鼠</w:t>
            </w:r>
          </w:p>
          <w:p w:rsidR="004040F9" w:rsidRDefault="005B7881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治理期间：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室内鼠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迹阳性房间数不超过1间，防鼠设施不合格房间不超过2间；外环境无鼠洞、鼠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粪等鼠迹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；灭鼠毒饵站设置规范，室内外均不能看到活鼠和鼠药散投。</w:t>
            </w:r>
          </w:p>
          <w:p w:rsidR="004040F9" w:rsidRDefault="005B7881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2、灭蚊</w:t>
            </w:r>
          </w:p>
          <w:p w:rsidR="004040F9" w:rsidRDefault="005B7881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治理期间：室内外无蚊幼或蛹孳生的各类积水容器（或坑洼积水）或水体，病房安装有纱窗或备有驱蚊用品等防蚊设施，无病人反映成蚊叮咬情况。</w:t>
            </w:r>
          </w:p>
          <w:p w:rsidR="004040F9" w:rsidRDefault="005B7881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3、灭蝇</w:t>
            </w:r>
          </w:p>
          <w:p w:rsidR="004040F9" w:rsidRDefault="005B7881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治理期间：直接入口食品加工销售处不能发现成蝇；其余室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lastRenderedPageBreak/>
              <w:t>内有蝇房间数不超过1间，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阳性间蝇密度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指数不超过3只/间，防蝇设施全部合格，室内外无蝇类孳生地。</w:t>
            </w:r>
          </w:p>
          <w:p w:rsidR="004040F9" w:rsidRDefault="005B7881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4、灭蟑螂</w:t>
            </w:r>
          </w:p>
          <w:p w:rsidR="004040F9" w:rsidRDefault="005B7881">
            <w:p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治理期间：室内蟑螂成若虫及卵鞘侵害房间数不超过1间，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蟑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迹查获房间数不超过2间，病房无病人反映蟑螂侵害。</w:t>
            </w:r>
          </w:p>
          <w:p w:rsidR="004040F9" w:rsidRDefault="005B7881">
            <w:pPr>
              <w:numPr>
                <w:ilvl w:val="0"/>
                <w:numId w:val="2"/>
              </w:numPr>
              <w:spacing w:line="360" w:lineRule="auto"/>
              <w:ind w:firstLineChars="200" w:firstLine="480"/>
              <w:jc w:val="left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其他</w:t>
            </w:r>
          </w:p>
          <w:p w:rsidR="004040F9" w:rsidRDefault="005B7881">
            <w:pPr>
              <w:spacing w:line="360" w:lineRule="auto"/>
              <w:ind w:firstLineChars="200" w:firstLine="48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治理期间：除“四害”以外，出现其它害虫时，危害</w:t>
            </w:r>
            <w:proofErr w:type="gramStart"/>
            <w:r>
              <w:rPr>
                <w:rFonts w:ascii="宋体" w:eastAsia="宋体" w:hAnsi="宋体" w:cs="宋体" w:hint="eastAsia"/>
                <w:bCs/>
                <w:sz w:val="24"/>
              </w:rPr>
              <w:t>面积小由乙方</w:t>
            </w:r>
            <w:proofErr w:type="gramEnd"/>
            <w:r>
              <w:rPr>
                <w:rFonts w:ascii="宋体" w:eastAsia="宋体" w:hAnsi="宋体" w:cs="宋体" w:hint="eastAsia"/>
                <w:bCs/>
                <w:sz w:val="24"/>
              </w:rPr>
              <w:t>免费处理，如果范围大，危害严重，乙方承诺优惠收费。</w:t>
            </w:r>
          </w:p>
        </w:tc>
      </w:tr>
      <w:tr w:rsidR="004040F9">
        <w:trPr>
          <w:trHeight w:val="959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lastRenderedPageBreak/>
              <w:t>7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评定方式</w:t>
            </w:r>
          </w:p>
        </w:tc>
        <w:tc>
          <w:tcPr>
            <w:tcW w:w="6849" w:type="dxa"/>
            <w:vAlign w:val="center"/>
          </w:tcPr>
          <w:p w:rsidR="004040F9" w:rsidRDefault="005B7881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根据参与单位</w:t>
            </w:r>
            <w:r>
              <w:rPr>
                <w:rFonts w:ascii="宋体" w:eastAsia="宋体" w:hAnsi="宋体" w:cs="宋体" w:hint="eastAsia"/>
                <w:sz w:val="24"/>
              </w:rPr>
              <w:t>（公司资质、业绩、人员配置、</w:t>
            </w:r>
            <w:r>
              <w:rPr>
                <w:rFonts w:ascii="宋体" w:eastAsia="宋体" w:hAnsi="宋体" w:cs="宋体" w:hint="eastAsia"/>
                <w:bCs/>
                <w:kern w:val="0"/>
                <w:sz w:val="24"/>
              </w:rPr>
              <w:t>报价、同类项目案例、项目实施方案等各方面进行综合评定。</w:t>
            </w:r>
          </w:p>
        </w:tc>
      </w:tr>
      <w:tr w:rsidR="004040F9">
        <w:trPr>
          <w:trHeight w:val="682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8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支付方式</w:t>
            </w:r>
          </w:p>
        </w:tc>
        <w:tc>
          <w:tcPr>
            <w:tcW w:w="6849" w:type="dxa"/>
            <w:vAlign w:val="center"/>
          </w:tcPr>
          <w:p w:rsidR="004040F9" w:rsidRDefault="005B788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按季度考核合格为付费结算依据，再支付防治费</w:t>
            </w:r>
          </w:p>
        </w:tc>
      </w:tr>
      <w:tr w:rsidR="004040F9">
        <w:trPr>
          <w:trHeight w:val="703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9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竞谈人条件</w:t>
            </w:r>
          </w:p>
        </w:tc>
        <w:tc>
          <w:tcPr>
            <w:tcW w:w="6849" w:type="dxa"/>
            <w:vAlign w:val="center"/>
          </w:tcPr>
          <w:p w:rsidR="004040F9" w:rsidRDefault="005B7881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具有独立法人资格、持有工商行政管理部门核发的法人营业执照（需有效期内）、拥有消杀资质、能力的单位参加竞谈。</w:t>
            </w:r>
          </w:p>
        </w:tc>
      </w:tr>
      <w:tr w:rsidR="004040F9">
        <w:trPr>
          <w:trHeight w:val="2447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10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竞争性谈判</w:t>
            </w:r>
          </w:p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文件组成</w:t>
            </w:r>
          </w:p>
        </w:tc>
        <w:tc>
          <w:tcPr>
            <w:tcW w:w="6849" w:type="dxa"/>
            <w:vAlign w:val="center"/>
          </w:tcPr>
          <w:p w:rsidR="004040F9" w:rsidRDefault="005B7881">
            <w:pPr>
              <w:ind w:firstLineChars="100" w:firstLine="24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1、法定代表人证明书原件（加盖公章）；</w:t>
            </w:r>
          </w:p>
          <w:p w:rsidR="004040F9" w:rsidRDefault="005B7881">
            <w:pPr>
              <w:ind w:firstLineChars="100" w:firstLine="24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2、法人授权委托证明书原件（加盖公章）；</w:t>
            </w:r>
          </w:p>
          <w:p w:rsidR="004040F9" w:rsidRDefault="005B7881">
            <w:pPr>
              <w:ind w:firstLineChars="100" w:firstLine="24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3、法定代表人身份证复印件（加盖公章）；</w:t>
            </w:r>
          </w:p>
          <w:p w:rsidR="004040F9" w:rsidRDefault="005B7881">
            <w:pPr>
              <w:ind w:firstLineChars="100" w:firstLine="24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4、被授权人身份证复印件（加盖公章、原件备查）；</w:t>
            </w:r>
          </w:p>
          <w:p w:rsidR="004040F9" w:rsidRDefault="005B7881">
            <w:pPr>
              <w:ind w:firstLineChars="100" w:firstLine="240"/>
              <w:rPr>
                <w:rFonts w:ascii="宋体" w:eastAsia="宋体" w:hAnsi="宋体" w:cs="宋体"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5、《营业执照》复印件（加盖公章、原件备查）；</w:t>
            </w:r>
          </w:p>
          <w:p w:rsidR="004040F9" w:rsidRDefault="005B7881">
            <w:pPr>
              <w:ind w:firstLineChars="100" w:firstLine="240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Cs/>
                <w:sz w:val="24"/>
              </w:rPr>
              <w:t>6、《组织机构代码证》复印件（加盖公</w:t>
            </w:r>
            <w:r w:rsidR="008911AD">
              <w:rPr>
                <w:rFonts w:ascii="宋体" w:eastAsia="宋体" w:hAnsi="宋体" w:cs="宋体" w:hint="eastAsia"/>
                <w:bCs/>
                <w:sz w:val="24"/>
              </w:rPr>
              <w:t>司鲜</w:t>
            </w:r>
            <w:r>
              <w:rPr>
                <w:rFonts w:ascii="宋体" w:eastAsia="宋体" w:hAnsi="宋体" w:cs="宋体" w:hint="eastAsia"/>
                <w:bCs/>
                <w:sz w:val="24"/>
              </w:rPr>
              <w:t>章、原件备查）；</w:t>
            </w:r>
          </w:p>
        </w:tc>
      </w:tr>
      <w:tr w:rsidR="004040F9">
        <w:trPr>
          <w:trHeight w:val="752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11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文件密封</w:t>
            </w:r>
          </w:p>
        </w:tc>
        <w:tc>
          <w:tcPr>
            <w:tcW w:w="6849" w:type="dxa"/>
            <w:vAlign w:val="center"/>
          </w:tcPr>
          <w:p w:rsidR="004040F9" w:rsidRDefault="005B7881">
            <w:pPr>
              <w:pStyle w:val="a7"/>
              <w:spacing w:line="240" w:lineRule="auto"/>
              <w:ind w:firstLine="0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谈判文件装入袋中密封并在袋上加盖单位公章。</w:t>
            </w:r>
          </w:p>
        </w:tc>
      </w:tr>
      <w:tr w:rsidR="004040F9">
        <w:trPr>
          <w:trHeight w:val="770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12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报名截止时间</w:t>
            </w:r>
          </w:p>
        </w:tc>
        <w:tc>
          <w:tcPr>
            <w:tcW w:w="6849" w:type="dxa"/>
            <w:vAlign w:val="center"/>
          </w:tcPr>
          <w:p w:rsidR="004040F9" w:rsidRPr="00D02E14" w:rsidRDefault="005B7881" w:rsidP="00D02E14">
            <w:pPr>
              <w:rPr>
                <w:rFonts w:ascii="宋体" w:eastAsia="宋体" w:hAnsi="宋体" w:cs="宋体"/>
                <w:color w:val="000000" w:themeColor="text1"/>
                <w:sz w:val="24"/>
              </w:rPr>
            </w:pPr>
            <w:r w:rsidRPr="00D02E14"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2018年</w:t>
            </w:r>
            <w:r w:rsidR="00D02E14" w:rsidRPr="00D02E14"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11</w:t>
            </w:r>
            <w:r w:rsidRPr="00D02E14"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月</w:t>
            </w:r>
            <w:r w:rsidR="00D02E14" w:rsidRPr="00D02E14"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2</w:t>
            </w:r>
            <w:r w:rsidRPr="00D02E14">
              <w:rPr>
                <w:rFonts w:ascii="宋体" w:eastAsia="宋体" w:hAnsi="宋体" w:cs="宋体" w:hint="eastAsia"/>
                <w:color w:val="000000" w:themeColor="text1"/>
                <w:sz w:val="24"/>
                <w:shd w:val="clear" w:color="auto" w:fill="FFFFFF"/>
              </w:rPr>
              <w:t>3日下午16:00前</w:t>
            </w:r>
          </w:p>
        </w:tc>
      </w:tr>
      <w:tr w:rsidR="004040F9">
        <w:trPr>
          <w:trHeight w:val="985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13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谈判及资料递交时间、地点</w:t>
            </w:r>
          </w:p>
        </w:tc>
        <w:tc>
          <w:tcPr>
            <w:tcW w:w="6849" w:type="dxa"/>
            <w:vAlign w:val="center"/>
          </w:tcPr>
          <w:p w:rsidR="004040F9" w:rsidRPr="00D02E14" w:rsidRDefault="005B7881">
            <w:pPr>
              <w:pStyle w:val="a7"/>
              <w:spacing w:line="240" w:lineRule="auto"/>
              <w:ind w:firstLine="0"/>
              <w:rPr>
                <w:rFonts w:ascii="宋体" w:eastAsia="宋体" w:cs="宋体"/>
                <w:color w:val="000000" w:themeColor="text1"/>
                <w:szCs w:val="24"/>
              </w:rPr>
            </w:pPr>
            <w:r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谈判时间：另行通知</w:t>
            </w:r>
          </w:p>
          <w:p w:rsidR="004040F9" w:rsidRPr="00D02E14" w:rsidRDefault="005B7881" w:rsidP="00D02E14">
            <w:pPr>
              <w:pStyle w:val="a7"/>
              <w:spacing w:line="240" w:lineRule="auto"/>
              <w:ind w:firstLine="0"/>
              <w:rPr>
                <w:rFonts w:ascii="宋体" w:eastAsia="宋体" w:cs="宋体"/>
                <w:color w:val="000000" w:themeColor="text1"/>
                <w:szCs w:val="24"/>
              </w:rPr>
            </w:pPr>
            <w:r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谈判地点：</w:t>
            </w:r>
            <w:r w:rsidR="00D02E14"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另行通知</w:t>
            </w:r>
          </w:p>
        </w:tc>
      </w:tr>
      <w:tr w:rsidR="004040F9">
        <w:trPr>
          <w:trHeight w:val="723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14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领取文件地点</w:t>
            </w:r>
          </w:p>
        </w:tc>
        <w:tc>
          <w:tcPr>
            <w:tcW w:w="6849" w:type="dxa"/>
            <w:vAlign w:val="center"/>
          </w:tcPr>
          <w:p w:rsidR="004040F9" w:rsidRPr="00D02E14" w:rsidRDefault="005B7881" w:rsidP="00D02E14">
            <w:pPr>
              <w:pStyle w:val="a7"/>
              <w:spacing w:line="240" w:lineRule="auto"/>
              <w:ind w:firstLine="0"/>
              <w:rPr>
                <w:rFonts w:ascii="宋体" w:eastAsia="宋体" w:cs="宋体"/>
                <w:color w:val="000000" w:themeColor="text1"/>
                <w:szCs w:val="24"/>
              </w:rPr>
            </w:pPr>
            <w:r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重庆医科大学附属第二医院综合楼1</w:t>
            </w:r>
            <w:r w:rsidR="00D02E14"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7</w:t>
            </w:r>
            <w:r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-1房管科办公室</w:t>
            </w:r>
          </w:p>
        </w:tc>
      </w:tr>
      <w:tr w:rsidR="004040F9">
        <w:trPr>
          <w:trHeight w:val="1710"/>
          <w:jc w:val="center"/>
        </w:trPr>
        <w:tc>
          <w:tcPr>
            <w:tcW w:w="855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15</w:t>
            </w:r>
          </w:p>
        </w:tc>
        <w:tc>
          <w:tcPr>
            <w:tcW w:w="1944" w:type="dxa"/>
            <w:vAlign w:val="center"/>
          </w:tcPr>
          <w:p w:rsidR="004040F9" w:rsidRDefault="005B7881">
            <w:pPr>
              <w:pStyle w:val="a7"/>
              <w:spacing w:line="360" w:lineRule="auto"/>
              <w:ind w:firstLine="0"/>
              <w:jc w:val="center"/>
              <w:rPr>
                <w:rFonts w:ascii="宋体" w:eastAsia="宋体" w:cs="宋体"/>
                <w:szCs w:val="24"/>
              </w:rPr>
            </w:pPr>
            <w:r>
              <w:rPr>
                <w:rFonts w:ascii="宋体" w:eastAsia="宋体" w:cs="宋体" w:hint="eastAsia"/>
                <w:szCs w:val="24"/>
              </w:rPr>
              <w:t>联系人及方式</w:t>
            </w:r>
          </w:p>
        </w:tc>
        <w:tc>
          <w:tcPr>
            <w:tcW w:w="6849" w:type="dxa"/>
            <w:vAlign w:val="center"/>
          </w:tcPr>
          <w:p w:rsidR="004040F9" w:rsidRPr="00D02E14" w:rsidRDefault="005B7881">
            <w:pPr>
              <w:pStyle w:val="a7"/>
              <w:spacing w:line="240" w:lineRule="auto"/>
              <w:ind w:firstLine="0"/>
              <w:rPr>
                <w:rFonts w:ascii="宋体" w:eastAsia="宋体" w:cs="宋体"/>
                <w:color w:val="000000" w:themeColor="text1"/>
                <w:szCs w:val="24"/>
              </w:rPr>
            </w:pPr>
            <w:r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联系地址：重庆医科大学附属第二医院综合楼1</w:t>
            </w:r>
            <w:r w:rsidR="00D02E14"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7</w:t>
            </w:r>
            <w:r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-1房管科办</w:t>
            </w:r>
          </w:p>
          <w:p w:rsidR="004040F9" w:rsidRPr="00D02E14" w:rsidRDefault="005B7881">
            <w:pPr>
              <w:pStyle w:val="a7"/>
              <w:spacing w:line="240" w:lineRule="auto"/>
              <w:ind w:firstLineChars="555" w:firstLine="1332"/>
              <w:rPr>
                <w:rFonts w:ascii="宋体" w:eastAsia="宋体" w:cs="宋体"/>
                <w:color w:val="000000" w:themeColor="text1"/>
                <w:szCs w:val="24"/>
              </w:rPr>
            </w:pPr>
            <w:r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公室</w:t>
            </w:r>
          </w:p>
          <w:p w:rsidR="004040F9" w:rsidRPr="00D02E14" w:rsidRDefault="005B7881">
            <w:pPr>
              <w:pStyle w:val="a7"/>
              <w:spacing w:line="240" w:lineRule="auto"/>
              <w:ind w:firstLine="0"/>
              <w:rPr>
                <w:rFonts w:ascii="宋体" w:eastAsia="宋体" w:cs="宋体"/>
                <w:color w:val="000000" w:themeColor="text1"/>
                <w:szCs w:val="24"/>
              </w:rPr>
            </w:pPr>
            <w:r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联 系 人：</w:t>
            </w:r>
            <w:r w:rsidR="00D02E14"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邓老师</w:t>
            </w:r>
            <w:r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 xml:space="preserve"> </w:t>
            </w:r>
          </w:p>
          <w:p w:rsidR="004040F9" w:rsidRPr="00D02E14" w:rsidRDefault="005B7881" w:rsidP="00D02E14">
            <w:pPr>
              <w:pStyle w:val="a7"/>
              <w:spacing w:line="240" w:lineRule="auto"/>
              <w:ind w:firstLine="0"/>
              <w:rPr>
                <w:rFonts w:ascii="宋体" w:eastAsia="宋体" w:cs="宋体"/>
                <w:color w:val="000000" w:themeColor="text1"/>
                <w:szCs w:val="24"/>
              </w:rPr>
            </w:pPr>
            <w:r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联系电话：023-</w:t>
            </w:r>
            <w:r w:rsidR="00D02E14" w:rsidRPr="00D02E14">
              <w:rPr>
                <w:rFonts w:ascii="宋体" w:eastAsia="宋体" w:cs="宋体" w:hint="eastAsia"/>
                <w:color w:val="000000" w:themeColor="text1"/>
                <w:szCs w:val="24"/>
              </w:rPr>
              <w:t>63693102</w:t>
            </w:r>
          </w:p>
        </w:tc>
      </w:tr>
    </w:tbl>
    <w:p w:rsidR="004040F9" w:rsidRDefault="004040F9">
      <w:bookmarkStart w:id="0" w:name="_GoBack"/>
      <w:bookmarkEnd w:id="0"/>
    </w:p>
    <w:sectPr w:rsidR="004040F9" w:rsidSect="004040F9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18C" w:rsidRDefault="00C7118C" w:rsidP="004040F9">
      <w:r>
        <w:separator/>
      </w:r>
    </w:p>
  </w:endnote>
  <w:endnote w:type="continuationSeparator" w:id="0">
    <w:p w:rsidR="00C7118C" w:rsidRDefault="00C7118C" w:rsidP="004040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charset w:val="86"/>
    <w:family w:val="auto"/>
    <w:pitch w:val="default"/>
    <w:sig w:usb0="00000001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F9" w:rsidRDefault="0027311F">
    <w:pPr>
      <w:pStyle w:val="a4"/>
      <w:ind w:right="360"/>
      <w:jc w:val="center"/>
    </w:pPr>
    <w:r>
      <w:rPr>
        <w:rStyle w:val="a6"/>
      </w:rPr>
      <w:fldChar w:fldCharType="begin"/>
    </w:r>
    <w:r w:rsidR="005B7881">
      <w:rPr>
        <w:rStyle w:val="a6"/>
      </w:rPr>
      <w:instrText xml:space="preserve"> PAGE </w:instrText>
    </w:r>
    <w:r>
      <w:rPr>
        <w:rStyle w:val="a6"/>
      </w:rPr>
      <w:fldChar w:fldCharType="separate"/>
    </w:r>
    <w:r w:rsidR="008911AD">
      <w:rPr>
        <w:rStyle w:val="a6"/>
        <w:noProof/>
      </w:rPr>
      <w:t>3</w:t>
    </w:r>
    <w:r>
      <w:rPr>
        <w:rStyle w:val="a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18C" w:rsidRDefault="00C7118C" w:rsidP="004040F9">
      <w:r>
        <w:separator/>
      </w:r>
    </w:p>
  </w:footnote>
  <w:footnote w:type="continuationSeparator" w:id="0">
    <w:p w:rsidR="00C7118C" w:rsidRDefault="00C7118C" w:rsidP="004040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0F9" w:rsidRDefault="004040F9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1CB8B7"/>
    <w:multiLevelType w:val="singleLevel"/>
    <w:tmpl w:val="931CB8B7"/>
    <w:lvl w:ilvl="0">
      <w:start w:val="5"/>
      <w:numFmt w:val="decimal"/>
      <w:suff w:val="nothing"/>
      <w:lvlText w:val="%1、"/>
      <w:lvlJc w:val="left"/>
    </w:lvl>
  </w:abstractNum>
  <w:abstractNum w:abstractNumId="1">
    <w:nsid w:val="F5B0AA72"/>
    <w:multiLevelType w:val="singleLevel"/>
    <w:tmpl w:val="F5B0AA72"/>
    <w:lvl w:ilvl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CDE601F"/>
    <w:rsid w:val="0027311F"/>
    <w:rsid w:val="004040F9"/>
    <w:rsid w:val="005B7881"/>
    <w:rsid w:val="007310F1"/>
    <w:rsid w:val="008911AD"/>
    <w:rsid w:val="009F616B"/>
    <w:rsid w:val="00AC433A"/>
    <w:rsid w:val="00C7118C"/>
    <w:rsid w:val="00D02E14"/>
    <w:rsid w:val="00F33917"/>
    <w:rsid w:val="0CDE601F"/>
    <w:rsid w:val="12E64D5E"/>
    <w:rsid w:val="18286E92"/>
    <w:rsid w:val="21F76FC2"/>
    <w:rsid w:val="22C80A8A"/>
    <w:rsid w:val="271555DB"/>
    <w:rsid w:val="28EC20A6"/>
    <w:rsid w:val="2EB13DE1"/>
    <w:rsid w:val="2F17224E"/>
    <w:rsid w:val="3323272A"/>
    <w:rsid w:val="3F852113"/>
    <w:rsid w:val="4E0D697C"/>
    <w:rsid w:val="642D067D"/>
    <w:rsid w:val="67914D6A"/>
    <w:rsid w:val="68D13CCC"/>
    <w:rsid w:val="6CC315B7"/>
    <w:rsid w:val="6D535020"/>
    <w:rsid w:val="74110659"/>
    <w:rsid w:val="749807FC"/>
    <w:rsid w:val="7E315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uiPriority="99" w:qFormat="1"/>
    <w:lsdException w:name="Title" w:qFormat="1"/>
    <w:lsdException w:name="Default Paragraph Font" w:semiHidden="1"/>
    <w:lsdException w:name="Subtitle" w:qFormat="1"/>
    <w:lsdException w:name="Date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040F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uiPriority w:val="99"/>
    <w:qFormat/>
    <w:rsid w:val="004040F9"/>
    <w:rPr>
      <w:sz w:val="24"/>
      <w:szCs w:val="20"/>
    </w:rPr>
  </w:style>
  <w:style w:type="paragraph" w:styleId="a4">
    <w:name w:val="footer"/>
    <w:basedOn w:val="a"/>
    <w:uiPriority w:val="99"/>
    <w:qFormat/>
    <w:rsid w:val="004040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iPriority w:val="99"/>
    <w:qFormat/>
    <w:rsid w:val="004040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uiPriority w:val="99"/>
    <w:qFormat/>
    <w:rsid w:val="004040F9"/>
    <w:rPr>
      <w:rFonts w:cs="Times New Roman"/>
    </w:rPr>
  </w:style>
  <w:style w:type="paragraph" w:customStyle="1" w:styleId="a7">
    <w:name w:val="标准正文"/>
    <w:basedOn w:val="a"/>
    <w:uiPriority w:val="99"/>
    <w:qFormat/>
    <w:rsid w:val="004040F9"/>
    <w:pPr>
      <w:tabs>
        <w:tab w:val="left" w:pos="900"/>
        <w:tab w:val="left" w:pos="1620"/>
      </w:tabs>
      <w:spacing w:line="300" w:lineRule="auto"/>
      <w:ind w:firstLine="538"/>
    </w:pPr>
    <w:rPr>
      <w:rFonts w:ascii="仿宋_GB2312" w:eastAsia="仿宋_GB2312" w:hAnsi="宋体"/>
      <w:kern w:val="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17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周鹏翥</dc:creator>
  <cp:lastModifiedBy>Windows 用户</cp:lastModifiedBy>
  <cp:revision>5</cp:revision>
  <cp:lastPrinted>2018-07-06T04:26:00Z</cp:lastPrinted>
  <dcterms:created xsi:type="dcterms:W3CDTF">2018-07-05T01:53:00Z</dcterms:created>
  <dcterms:modified xsi:type="dcterms:W3CDTF">2018-11-14T06:56:00Z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2052-10.1.0.7401</vt:lpwstr>
  </property>
</Properties>
</file>