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color w:val="auto"/>
          <w:sz w:val="44"/>
          <w:szCs w:val="44"/>
          <w:lang w:eastAsia="zh-CN"/>
        </w:rPr>
      </w:pPr>
      <w:r>
        <w:rPr>
          <w:rFonts w:hint="eastAsia"/>
          <w:b/>
          <w:bCs/>
          <w:color w:val="auto"/>
          <w:sz w:val="44"/>
          <w:szCs w:val="44"/>
          <w:lang w:eastAsia="zh-CN"/>
        </w:rPr>
        <w:t>重庆医科大学附属第二医院江南分院中央空调维保竞争性谈判</w:t>
      </w:r>
    </w:p>
    <w:p>
      <w:pPr>
        <w:spacing w:line="360" w:lineRule="auto"/>
        <w:jc w:val="left"/>
        <w:rPr>
          <w:rFonts w:hint="eastAsia" w:ascii="宋体" w:hAnsi="宋体" w:cs="宋体"/>
          <w:b w:val="0"/>
          <w:bCs/>
          <w:kern w:val="0"/>
          <w:sz w:val="28"/>
          <w:szCs w:val="28"/>
          <w:lang w:eastAsia="zh-CN"/>
        </w:rPr>
      </w:pPr>
      <w:r>
        <w:rPr>
          <w:rFonts w:hint="eastAsia" w:ascii="宋体" w:hAnsi="宋体"/>
          <w:b/>
          <w:color w:val="auto"/>
          <w:sz w:val="28"/>
          <w:szCs w:val="28"/>
          <w:lang w:eastAsia="zh-CN"/>
        </w:rPr>
        <w:t>一、内容及范围：</w:t>
      </w:r>
      <w:r>
        <w:rPr>
          <w:rFonts w:hint="eastAsia" w:ascii="宋体" w:hAnsi="宋体" w:cs="宋体"/>
          <w:b w:val="0"/>
          <w:bCs/>
          <w:kern w:val="0"/>
          <w:sz w:val="28"/>
          <w:szCs w:val="28"/>
          <w:lang w:eastAsia="zh-CN"/>
        </w:rPr>
        <w:t>具体详附件</w:t>
      </w:r>
    </w:p>
    <w:p>
      <w:pPr>
        <w:widowControl/>
        <w:numPr>
          <w:ilvl w:val="0"/>
          <w:numId w:val="0"/>
        </w:numPr>
        <w:jc w:val="left"/>
        <w:rPr>
          <w:rFonts w:hint="eastAsia" w:ascii="宋体" w:hAnsi="宋体" w:cs="宋体"/>
          <w:b w:val="0"/>
          <w:bCs/>
          <w:kern w:val="0"/>
          <w:sz w:val="28"/>
          <w:szCs w:val="28"/>
          <w:lang w:eastAsia="zh-CN"/>
        </w:rPr>
      </w:pPr>
      <w:r>
        <w:rPr>
          <w:rFonts w:hint="eastAsia" w:ascii="宋体" w:hAnsi="宋体" w:cs="宋体"/>
          <w:b w:val="0"/>
          <w:bCs/>
          <w:kern w:val="0"/>
          <w:sz w:val="28"/>
          <w:szCs w:val="28"/>
          <w:lang w:eastAsia="zh-CN"/>
        </w:rPr>
        <w:t>二、</w:t>
      </w:r>
      <w:r>
        <w:rPr>
          <w:rFonts w:hint="eastAsia" w:ascii="宋体" w:hAnsi="宋体"/>
          <w:b/>
          <w:color w:val="auto"/>
          <w:sz w:val="28"/>
          <w:szCs w:val="28"/>
          <w:lang w:eastAsia="zh-CN"/>
        </w:rPr>
        <w:t>2019年度江南医院中央空调年度保养及清洗工程报价表</w:t>
      </w:r>
    </w:p>
    <w:tbl>
      <w:tblPr>
        <w:tblStyle w:val="15"/>
        <w:tblW w:w="13907" w:type="dxa"/>
        <w:tblInd w:w="93" w:type="dxa"/>
        <w:tblLayout w:type="fixed"/>
        <w:tblCellMar>
          <w:top w:w="0" w:type="dxa"/>
          <w:left w:w="108" w:type="dxa"/>
          <w:bottom w:w="0" w:type="dxa"/>
          <w:right w:w="108" w:type="dxa"/>
        </w:tblCellMar>
      </w:tblPr>
      <w:tblGrid>
        <w:gridCol w:w="1008"/>
        <w:gridCol w:w="4394"/>
        <w:gridCol w:w="1559"/>
        <w:gridCol w:w="3827"/>
        <w:gridCol w:w="1560"/>
        <w:gridCol w:w="1559"/>
      </w:tblGrid>
      <w:tr>
        <w:tblPrEx>
          <w:tblLayout w:type="fixed"/>
          <w:tblCellMar>
            <w:top w:w="0" w:type="dxa"/>
            <w:left w:w="108" w:type="dxa"/>
            <w:bottom w:w="0" w:type="dxa"/>
            <w:right w:w="108" w:type="dxa"/>
          </w:tblCellMar>
        </w:tblPrEx>
        <w:trPr>
          <w:trHeight w:val="882" w:hRule="atLeast"/>
        </w:trPr>
        <w:tc>
          <w:tcPr>
            <w:tcW w:w="13907"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kern w:val="0"/>
                <w:sz w:val="36"/>
                <w:szCs w:val="36"/>
              </w:rPr>
            </w:pPr>
            <w:r>
              <w:rPr>
                <w:rFonts w:hint="eastAsia" w:ascii="宋体" w:hAnsi="宋体" w:cs="宋体"/>
                <w:b/>
                <w:color w:val="000000" w:themeColor="text1"/>
                <w:kern w:val="0"/>
                <w:sz w:val="36"/>
                <w:szCs w:val="36"/>
              </w:rPr>
              <w:t>2019年度</w:t>
            </w:r>
            <w:r>
              <w:rPr>
                <w:rFonts w:hint="eastAsia" w:ascii="宋体" w:hAnsi="宋体" w:cs="宋体"/>
                <w:b/>
                <w:kern w:val="0"/>
                <w:sz w:val="36"/>
                <w:szCs w:val="36"/>
              </w:rPr>
              <w:t>江南医院中央空调年度保养及清洗工程报价表</w:t>
            </w:r>
          </w:p>
        </w:tc>
      </w:tr>
      <w:tr>
        <w:tblPrEx>
          <w:tblLayout w:type="fixed"/>
          <w:tblCellMar>
            <w:top w:w="0" w:type="dxa"/>
            <w:left w:w="108" w:type="dxa"/>
            <w:bottom w:w="0" w:type="dxa"/>
            <w:right w:w="108" w:type="dxa"/>
          </w:tblCellMar>
        </w:tblPrEx>
        <w:trPr>
          <w:trHeight w:val="517"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施工内容</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数量</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维保频率</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单价</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总计</w:t>
            </w:r>
          </w:p>
        </w:tc>
      </w:tr>
      <w:tr>
        <w:tblPrEx>
          <w:tblLayout w:type="fixed"/>
          <w:tblCellMar>
            <w:top w:w="0" w:type="dxa"/>
            <w:left w:w="108" w:type="dxa"/>
            <w:bottom w:w="0" w:type="dxa"/>
            <w:right w:w="108" w:type="dxa"/>
          </w:tblCellMar>
        </w:tblPrEx>
        <w:trPr>
          <w:trHeight w:val="553"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离心机组年度保养</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4台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1次/月（共12次）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56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4台离心机组冷冻水和冷却水系统大循环清洗</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1项</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1次/年</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4台离心机组冷却水系统保养及系统加药水处理后出具水质检测报告</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1项</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4-10月每月/次（共7次）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出具离心机组冷冻、冷却水系统第三方监测报告</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2次</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2次/年（4月、10月）</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冷却塔维保及月度清洗（运行期间每月洗塔）</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8台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维保：1次/月（共12次）</w:t>
            </w:r>
          </w:p>
          <w:p>
            <w:pPr>
              <w:widowControl/>
              <w:jc w:val="center"/>
              <w:rPr>
                <w:rFonts w:ascii="宋体" w:hAnsi="宋体" w:cs="宋体"/>
                <w:b/>
                <w:kern w:val="0"/>
                <w:sz w:val="24"/>
                <w:szCs w:val="24"/>
              </w:rPr>
            </w:pPr>
            <w:r>
              <w:rPr>
                <w:rFonts w:hint="eastAsia" w:ascii="宋体" w:hAnsi="宋体" w:cs="宋体"/>
                <w:b/>
                <w:kern w:val="0"/>
                <w:sz w:val="24"/>
                <w:szCs w:val="24"/>
              </w:rPr>
              <w:t xml:space="preserve">清洗：4-10月每月1次（共7次）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4台离心机组冷凝器和蒸发器通炮清洗</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4台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1次/年</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风冷螺杆年度保养</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6台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1次/月（共12次）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9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6台风冷螺杆机组冷冻水系统大循环清洗</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2项</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2次/年（4月、11月）</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69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6台风冷螺杆蒸发器通炮清洗</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6台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1次/年（4月）</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9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出具6台螺杆机组冷冻水系统第三方监测报告</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2次</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2次/年（4月、10月）</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9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2台风冷模块机组年度保养</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2台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1次/月（共12次）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9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风冷模块冷冻水系统大清洗</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1项</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2次/年（4月、11月）</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9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22台风冷模块机组（生活热水）年度保养</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20台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1次/月（共12次）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9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生活水泵年度保养</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20台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1次/月（共12次）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524"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4台锅炉清洗（常规）</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4台</w:t>
            </w:r>
          </w:p>
        </w:tc>
        <w:tc>
          <w:tcPr>
            <w:tcW w:w="38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1次/年（11月）</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2台板式换热器解体拆卸化学清洗</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2台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1次/年</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空调水泵年度保养</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29台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1次/月（共12次）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组合式空调箱年度保养</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40台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1次/月（共12次）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组合式空调换热器及滤网清洗</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40台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换热器：1次/年</w:t>
            </w:r>
          </w:p>
          <w:p>
            <w:pPr>
              <w:widowControl/>
              <w:jc w:val="center"/>
              <w:rPr>
                <w:rFonts w:ascii="宋体" w:hAnsi="宋体" w:cs="宋体"/>
                <w:b/>
                <w:kern w:val="0"/>
                <w:sz w:val="24"/>
                <w:szCs w:val="24"/>
              </w:rPr>
            </w:pPr>
            <w:r>
              <w:rPr>
                <w:rFonts w:hint="eastAsia" w:ascii="宋体" w:hAnsi="宋体" w:cs="宋体"/>
                <w:b/>
                <w:kern w:val="0"/>
                <w:sz w:val="24"/>
                <w:szCs w:val="24"/>
              </w:rPr>
              <w:t>滤网：1次/季度（共4次）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吊式空调箱年度保养</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21台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1次/月（共12次）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吊式空调箱换热器及滤网清洗</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21台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换热器：1次/年</w:t>
            </w:r>
          </w:p>
          <w:p>
            <w:pPr>
              <w:widowControl/>
              <w:jc w:val="center"/>
              <w:rPr>
                <w:rFonts w:ascii="宋体" w:hAnsi="宋体" w:cs="宋体"/>
                <w:b/>
                <w:kern w:val="0"/>
                <w:sz w:val="24"/>
                <w:szCs w:val="24"/>
              </w:rPr>
            </w:pPr>
            <w:r>
              <w:rPr>
                <w:rFonts w:hint="eastAsia" w:ascii="宋体" w:hAnsi="宋体" w:cs="宋体"/>
                <w:b/>
                <w:kern w:val="0"/>
                <w:sz w:val="24"/>
                <w:szCs w:val="24"/>
              </w:rPr>
              <w:t>滤网：1次/季度（共4次）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新风机（卧式或吊顶式）年度保养</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205台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1次/月（共12次）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新风机（卧式或吊顶式）清洗</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205台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换热器：1次/年</w:t>
            </w:r>
          </w:p>
          <w:p>
            <w:pPr>
              <w:widowControl/>
              <w:jc w:val="center"/>
              <w:rPr>
                <w:rFonts w:ascii="宋体" w:hAnsi="宋体" w:cs="宋体"/>
                <w:b/>
                <w:kern w:val="0"/>
                <w:sz w:val="24"/>
                <w:szCs w:val="24"/>
              </w:rPr>
            </w:pPr>
            <w:r>
              <w:rPr>
                <w:rFonts w:hint="eastAsia" w:ascii="宋体" w:hAnsi="宋体" w:cs="宋体"/>
                <w:b/>
                <w:kern w:val="0"/>
                <w:sz w:val="24"/>
                <w:szCs w:val="24"/>
              </w:rPr>
              <w:t>滤网：1次/月（共12次）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盘管风机年度保养</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3215台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1次/月（共12次）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盘管风机翅片清洗</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3215台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1次/年</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盘管风机过滤网清洗</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3215台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6.7.8.9月每月/2次。其余每月1次（共16次）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70"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多联机机组年度保养</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32台</w:t>
            </w:r>
          </w:p>
        </w:tc>
        <w:tc>
          <w:tcPr>
            <w:tcW w:w="38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1次/月（共12次）</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多联机内机过滤网清洗</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304台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6.7.8.9月每月/2次。其余每月1次（共16次）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多联机外机清洗</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34套</w:t>
            </w:r>
            <w:r>
              <w:rPr>
                <w:rFonts w:hint="eastAsia" w:asciiTheme="minorEastAsia" w:hAnsiTheme="minorEastAsia" w:eastAsiaTheme="minorEastAsia"/>
                <w:color w:val="auto"/>
                <w:sz w:val="24"/>
                <w:szCs w:val="24"/>
              </w:rPr>
              <w:t>（86台组合而成）</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2次/年（4月、11月）</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净化空调年度保养</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49台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1次/月（共12次）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净化空调过滤网清洗</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49台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2次/年（4月、11月）</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恒温恒湿机组年度保养</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12台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1次/月（共12次）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恒温恒湿机组内机过滤网清洗或者更换</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12台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2次/年（4月、11月）</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恒温恒湿机组外机清洗</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12台</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2次/年（4月、11月）</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加药装置年度保养（含：定时提供并补充药剂）</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2套</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1次/月（共12次）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加药装置清洗</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2套</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2次/年（4月-11月）</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在线清洗设备年度保养（含：定时提供并补充药剂）</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2套</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2次/月</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在线清洗设备清洗</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2套</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2次/年（4月-11月）</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真空脱气机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3套</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4"/>
                <w:szCs w:val="24"/>
              </w:rPr>
            </w:pPr>
            <w:r>
              <w:rPr>
                <w:rFonts w:hint="eastAsia" w:ascii="宋体" w:hAnsi="宋体" w:cs="宋体"/>
                <w:b/>
                <w:kern w:val="0"/>
                <w:sz w:val="24"/>
                <w:szCs w:val="24"/>
              </w:rPr>
              <w:t>2次/年</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合计</w:t>
            </w:r>
          </w:p>
        </w:tc>
        <w:tc>
          <w:tcPr>
            <w:tcW w:w="694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　</w:t>
            </w:r>
          </w:p>
          <w:p>
            <w:pPr>
              <w:widowControl/>
              <w:jc w:val="center"/>
              <w:rPr>
                <w:rFonts w:ascii="宋体" w:hAnsi="宋体" w:cs="宋体"/>
                <w:b/>
                <w:kern w:val="0"/>
                <w:sz w:val="24"/>
                <w:szCs w:val="24"/>
              </w:rPr>
            </w:pPr>
            <w:r>
              <w:rPr>
                <w:rFonts w:hint="eastAsia" w:ascii="宋体" w:hAnsi="宋体" w:cs="宋体"/>
                <w:b/>
                <w:kern w:val="0"/>
                <w:sz w:val="24"/>
                <w:szCs w:val="24"/>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6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pStyle w:val="27"/>
              <w:widowControl/>
              <w:numPr>
                <w:ilvl w:val="0"/>
                <w:numId w:val="1"/>
              </w:numPr>
              <w:ind w:firstLineChars="0"/>
              <w:jc w:val="center"/>
              <w:rPr>
                <w:rFonts w:ascii="宋体" w:hAnsi="宋体" w:cs="宋体"/>
                <w:b/>
                <w:kern w:val="0"/>
                <w:sz w:val="24"/>
                <w:szCs w:val="24"/>
              </w:rPr>
            </w:pP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工程总价（含税：税率</w:t>
            </w:r>
            <w:r>
              <w:rPr>
                <w:rFonts w:hint="eastAsia" w:ascii="宋体" w:hAnsi="宋体" w:cs="宋体"/>
                <w:b/>
                <w:bCs/>
                <w:kern w:val="0"/>
                <w:sz w:val="24"/>
                <w:szCs w:val="24"/>
                <w:u w:val="single"/>
              </w:rPr>
              <w:t xml:space="preserve">      </w:t>
            </w:r>
            <w:r>
              <w:rPr>
                <w:rFonts w:hint="eastAsia" w:ascii="宋体" w:hAnsi="宋体" w:cs="宋体"/>
                <w:b/>
                <w:bCs/>
                <w:kern w:val="0"/>
                <w:sz w:val="24"/>
                <w:szCs w:val="24"/>
              </w:rPr>
              <w:t>）</w:t>
            </w:r>
          </w:p>
        </w:tc>
        <w:tc>
          <w:tcPr>
            <w:tcW w:w="694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　</w:t>
            </w:r>
          </w:p>
          <w:p>
            <w:pPr>
              <w:widowControl/>
              <w:jc w:val="center"/>
              <w:rPr>
                <w:rFonts w:ascii="宋体" w:hAnsi="宋体" w:cs="宋体"/>
                <w:b/>
                <w:kern w:val="0"/>
                <w:sz w:val="24"/>
                <w:szCs w:val="24"/>
              </w:rPr>
            </w:pPr>
            <w:r>
              <w:rPr>
                <w:rFonts w:hint="eastAsia" w:ascii="宋体" w:hAnsi="宋体" w:cs="宋体"/>
                <w:b/>
                <w:kern w:val="0"/>
                <w:sz w:val="24"/>
                <w:szCs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630" w:hRule="atLeast"/>
        </w:trPr>
        <w:tc>
          <w:tcPr>
            <w:tcW w:w="13907" w:type="dxa"/>
            <w:gridSpan w:val="6"/>
            <w:tcBorders>
              <w:top w:val="nil"/>
              <w:left w:val="nil"/>
              <w:bottom w:val="nil"/>
              <w:right w:val="nil"/>
            </w:tcBorders>
            <w:shd w:val="clear" w:color="auto" w:fill="auto"/>
            <w:noWrap/>
            <w:vAlign w:val="center"/>
          </w:tcPr>
          <w:p>
            <w:pPr>
              <w:widowControl/>
              <w:jc w:val="both"/>
              <w:rPr>
                <w:rFonts w:ascii="宋体" w:hAnsi="宋体" w:cs="宋体"/>
                <w:b/>
                <w:bCs/>
                <w:kern w:val="0"/>
                <w:sz w:val="30"/>
                <w:szCs w:val="30"/>
              </w:rPr>
            </w:pPr>
          </w:p>
          <w:p>
            <w:pPr>
              <w:widowControl/>
              <w:jc w:val="center"/>
              <w:rPr>
                <w:rFonts w:ascii="宋体" w:hAnsi="宋体" w:cs="宋体"/>
                <w:b/>
                <w:bCs/>
                <w:kern w:val="0"/>
                <w:sz w:val="30"/>
                <w:szCs w:val="30"/>
              </w:rPr>
            </w:pPr>
            <w:r>
              <w:rPr>
                <w:rFonts w:hint="eastAsia" w:ascii="宋体" w:hAnsi="宋体" w:cs="宋体"/>
                <w:b/>
                <w:bCs/>
                <w:kern w:val="0"/>
                <w:sz w:val="30"/>
                <w:szCs w:val="30"/>
              </w:rPr>
              <w:t xml:space="preserve">                                 报价单位（盖章）：</w:t>
            </w:r>
          </w:p>
        </w:tc>
      </w:tr>
      <w:tr>
        <w:tblPrEx>
          <w:tblLayout w:type="fixed"/>
          <w:tblCellMar>
            <w:top w:w="0" w:type="dxa"/>
            <w:left w:w="108" w:type="dxa"/>
            <w:bottom w:w="0" w:type="dxa"/>
            <w:right w:w="108" w:type="dxa"/>
          </w:tblCellMar>
        </w:tblPrEx>
        <w:trPr>
          <w:trHeight w:val="630" w:hRule="atLeast"/>
        </w:trPr>
        <w:tc>
          <w:tcPr>
            <w:tcW w:w="13907" w:type="dxa"/>
            <w:gridSpan w:val="6"/>
            <w:tcBorders>
              <w:top w:val="nil"/>
              <w:left w:val="nil"/>
              <w:bottom w:val="nil"/>
              <w:right w:val="nil"/>
            </w:tcBorders>
            <w:shd w:val="clear" w:color="auto" w:fill="auto"/>
            <w:noWrap/>
            <w:vAlign w:val="center"/>
          </w:tcPr>
          <w:p>
            <w:pPr>
              <w:widowControl/>
              <w:jc w:val="center"/>
              <w:rPr>
                <w:rFonts w:ascii="宋体" w:hAnsi="宋体" w:cs="宋体"/>
                <w:b/>
                <w:bCs/>
                <w:kern w:val="0"/>
                <w:sz w:val="30"/>
                <w:szCs w:val="30"/>
              </w:rPr>
            </w:pPr>
            <w:r>
              <w:rPr>
                <w:rFonts w:hint="eastAsia" w:ascii="宋体" w:hAnsi="宋体" w:cs="宋体"/>
                <w:b/>
                <w:bCs/>
                <w:kern w:val="0"/>
                <w:sz w:val="30"/>
                <w:szCs w:val="30"/>
              </w:rPr>
              <w:t xml:space="preserve">                                     联系人及电话：</w:t>
            </w:r>
          </w:p>
        </w:tc>
      </w:tr>
      <w:tr>
        <w:tblPrEx>
          <w:tblLayout w:type="fixed"/>
          <w:tblCellMar>
            <w:top w:w="0" w:type="dxa"/>
            <w:left w:w="108" w:type="dxa"/>
            <w:bottom w:w="0" w:type="dxa"/>
            <w:right w:w="108" w:type="dxa"/>
          </w:tblCellMar>
        </w:tblPrEx>
        <w:trPr>
          <w:trHeight w:val="630" w:hRule="atLeast"/>
        </w:trPr>
        <w:tc>
          <w:tcPr>
            <w:tcW w:w="13907" w:type="dxa"/>
            <w:gridSpan w:val="6"/>
            <w:tcBorders>
              <w:top w:val="nil"/>
              <w:left w:val="nil"/>
              <w:bottom w:val="nil"/>
              <w:right w:val="nil"/>
            </w:tcBorders>
            <w:shd w:val="clear" w:color="auto" w:fill="auto"/>
            <w:noWrap/>
            <w:vAlign w:val="center"/>
          </w:tcPr>
          <w:p>
            <w:pPr>
              <w:widowControl/>
              <w:jc w:val="center"/>
              <w:rPr>
                <w:rFonts w:ascii="宋体" w:hAnsi="宋体" w:cs="宋体"/>
                <w:b/>
                <w:bCs/>
                <w:kern w:val="0"/>
                <w:sz w:val="30"/>
                <w:szCs w:val="30"/>
              </w:rPr>
            </w:pPr>
            <w:r>
              <w:rPr>
                <w:rFonts w:hint="eastAsia" w:ascii="宋体" w:hAnsi="宋体" w:cs="宋体"/>
                <w:b/>
                <w:bCs/>
                <w:kern w:val="0"/>
                <w:sz w:val="30"/>
                <w:szCs w:val="30"/>
              </w:rPr>
              <w:t xml:space="preserve">                                         报价时间：</w:t>
            </w:r>
          </w:p>
        </w:tc>
      </w:tr>
    </w:tbl>
    <w:p>
      <w:pPr>
        <w:rPr>
          <w:rFonts w:ascii="宋体" w:hAnsi="宋体"/>
          <w:b/>
          <w:color w:val="auto"/>
          <w:sz w:val="24"/>
          <w:szCs w:val="24"/>
        </w:rPr>
      </w:pPr>
      <w:bookmarkStart w:id="0" w:name="_Toc102227320"/>
      <w:bookmarkStart w:id="1" w:name="_Toc220470176"/>
    </w:p>
    <w:p>
      <w:pPr>
        <w:spacing w:line="360" w:lineRule="auto"/>
        <w:jc w:val="left"/>
        <w:rPr>
          <w:rFonts w:hint="eastAsia" w:ascii="宋体" w:hAnsi="宋体"/>
          <w:b/>
          <w:color w:val="auto"/>
          <w:sz w:val="28"/>
          <w:szCs w:val="28"/>
        </w:rPr>
      </w:pPr>
      <w:r>
        <w:rPr>
          <w:rFonts w:hint="eastAsia" w:ascii="宋体" w:hAnsi="宋体"/>
          <w:b/>
          <w:color w:val="auto"/>
          <w:sz w:val="28"/>
          <w:szCs w:val="28"/>
          <w:lang w:eastAsia="zh-CN"/>
        </w:rPr>
        <w:t>三、</w:t>
      </w:r>
      <w:r>
        <w:rPr>
          <w:rFonts w:hint="eastAsia" w:ascii="宋体" w:hAnsi="宋体"/>
          <w:b/>
          <w:color w:val="auto"/>
          <w:sz w:val="28"/>
          <w:szCs w:val="28"/>
        </w:rPr>
        <w:t>评分办法</w:t>
      </w:r>
    </w:p>
    <w:p>
      <w:pPr>
        <w:pStyle w:val="27"/>
        <w:ind w:firstLine="562"/>
        <w:rPr>
          <w:rFonts w:ascii="宋体" w:hAnsi="宋体"/>
          <w:b/>
          <w:color w:val="auto"/>
          <w:sz w:val="28"/>
          <w:szCs w:val="28"/>
        </w:rPr>
      </w:pPr>
      <w:r>
        <w:rPr>
          <w:rFonts w:hint="eastAsia" w:ascii="宋体" w:hAnsi="宋体"/>
          <w:b/>
          <w:color w:val="auto"/>
          <w:sz w:val="28"/>
          <w:szCs w:val="28"/>
        </w:rPr>
        <w:t>评标总分为100分，由经济分、技术分和商务分综合组成：</w:t>
      </w:r>
    </w:p>
    <w:tbl>
      <w:tblPr>
        <w:tblStyle w:val="15"/>
        <w:tblW w:w="1460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559"/>
        <w:gridCol w:w="1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560" w:type="dxa"/>
            <w:shd w:val="clear" w:color="auto" w:fill="auto"/>
            <w:vAlign w:val="center"/>
          </w:tcPr>
          <w:p>
            <w:pPr>
              <w:pStyle w:val="27"/>
              <w:ind w:firstLine="0" w:firstLineChars="0"/>
              <w:jc w:val="center"/>
              <w:rPr>
                <w:rFonts w:ascii="宋体" w:hAnsi="宋体"/>
                <w:b/>
                <w:color w:val="auto"/>
                <w:sz w:val="28"/>
                <w:szCs w:val="28"/>
              </w:rPr>
            </w:pPr>
            <w:r>
              <w:rPr>
                <w:rFonts w:hint="eastAsia" w:ascii="宋体" w:hAnsi="宋体"/>
                <w:b/>
                <w:color w:val="auto"/>
                <w:sz w:val="28"/>
                <w:szCs w:val="28"/>
              </w:rPr>
              <w:t>组成部分</w:t>
            </w:r>
          </w:p>
        </w:tc>
        <w:tc>
          <w:tcPr>
            <w:tcW w:w="1559" w:type="dxa"/>
            <w:shd w:val="clear" w:color="auto" w:fill="auto"/>
            <w:vAlign w:val="center"/>
          </w:tcPr>
          <w:p>
            <w:pPr>
              <w:pStyle w:val="27"/>
              <w:ind w:firstLine="0" w:firstLineChars="0"/>
              <w:jc w:val="center"/>
              <w:rPr>
                <w:rFonts w:ascii="宋体" w:hAnsi="宋体"/>
                <w:b/>
                <w:color w:val="auto"/>
                <w:sz w:val="28"/>
                <w:szCs w:val="28"/>
              </w:rPr>
            </w:pPr>
            <w:r>
              <w:rPr>
                <w:rFonts w:hint="eastAsia" w:ascii="宋体" w:hAnsi="宋体"/>
                <w:b/>
                <w:color w:val="auto"/>
                <w:sz w:val="28"/>
                <w:szCs w:val="28"/>
              </w:rPr>
              <w:t>单项总分</w:t>
            </w:r>
          </w:p>
        </w:tc>
        <w:tc>
          <w:tcPr>
            <w:tcW w:w="11482" w:type="dxa"/>
            <w:shd w:val="clear" w:color="auto" w:fill="auto"/>
            <w:vAlign w:val="center"/>
          </w:tcPr>
          <w:p>
            <w:pPr>
              <w:pStyle w:val="27"/>
              <w:ind w:firstLine="0" w:firstLineChars="0"/>
              <w:jc w:val="center"/>
              <w:rPr>
                <w:rFonts w:ascii="宋体" w:hAnsi="宋体"/>
                <w:b/>
                <w:color w:val="auto"/>
                <w:sz w:val="28"/>
                <w:szCs w:val="28"/>
              </w:rPr>
            </w:pPr>
            <w:r>
              <w:rPr>
                <w:rFonts w:hint="eastAsia" w:ascii="宋体" w:hAnsi="宋体"/>
                <w:b/>
                <w:color w:val="auto"/>
                <w:sz w:val="28"/>
                <w:szCs w:val="28"/>
              </w:rPr>
              <w:t>评定细则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1560" w:type="dxa"/>
            <w:shd w:val="clear" w:color="auto" w:fill="auto"/>
            <w:vAlign w:val="center"/>
          </w:tcPr>
          <w:p>
            <w:pPr>
              <w:pStyle w:val="27"/>
              <w:ind w:firstLine="0" w:firstLineChars="0"/>
              <w:rPr>
                <w:rFonts w:ascii="宋体" w:hAnsi="宋体"/>
                <w:b/>
                <w:color w:val="auto"/>
                <w:sz w:val="28"/>
                <w:szCs w:val="28"/>
              </w:rPr>
            </w:pPr>
            <w:r>
              <w:rPr>
                <w:rFonts w:hint="eastAsia" w:ascii="宋体" w:hAnsi="宋体"/>
                <w:b/>
                <w:color w:val="auto"/>
                <w:sz w:val="28"/>
                <w:szCs w:val="28"/>
              </w:rPr>
              <w:t>1. 经济</w:t>
            </w:r>
          </w:p>
        </w:tc>
        <w:tc>
          <w:tcPr>
            <w:tcW w:w="1559" w:type="dxa"/>
            <w:shd w:val="clear" w:color="auto" w:fill="auto"/>
            <w:vAlign w:val="center"/>
          </w:tcPr>
          <w:p>
            <w:pPr>
              <w:pStyle w:val="27"/>
              <w:ind w:firstLine="0" w:firstLineChars="0"/>
              <w:jc w:val="center"/>
              <w:rPr>
                <w:rFonts w:ascii="宋体" w:hAnsi="宋体"/>
                <w:b/>
                <w:color w:val="auto"/>
                <w:sz w:val="28"/>
                <w:szCs w:val="28"/>
              </w:rPr>
            </w:pPr>
            <w:r>
              <w:rPr>
                <w:rFonts w:hint="eastAsia" w:ascii="宋体" w:hAnsi="宋体"/>
                <w:b/>
                <w:color w:val="auto"/>
                <w:sz w:val="28"/>
                <w:szCs w:val="28"/>
              </w:rPr>
              <w:t>25分</w:t>
            </w:r>
          </w:p>
        </w:tc>
        <w:tc>
          <w:tcPr>
            <w:tcW w:w="11482" w:type="dxa"/>
            <w:shd w:val="clear" w:color="auto" w:fill="auto"/>
            <w:vAlign w:val="center"/>
          </w:tcPr>
          <w:p>
            <w:pPr>
              <w:rPr>
                <w:rFonts w:ascii="宋体" w:hAnsi="宋体"/>
                <w:b/>
                <w:color w:val="auto"/>
                <w:sz w:val="28"/>
                <w:szCs w:val="28"/>
              </w:rPr>
            </w:pPr>
            <w:r>
              <w:rPr>
                <w:rFonts w:hint="eastAsia" w:ascii="宋体" w:hAnsi="宋体"/>
                <w:b/>
                <w:color w:val="auto"/>
                <w:sz w:val="28"/>
                <w:szCs w:val="28"/>
              </w:rPr>
              <w:t>有效的投标报价中的最低价为评标基准价，按照下列公式计算每个投标人的投标价格得分，维保合同价25分。投标报价得分=（评标基准价/投标报价）*价格权重（25/100）*100；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560" w:type="dxa"/>
            <w:vMerge w:val="restart"/>
            <w:shd w:val="clear" w:color="auto" w:fill="auto"/>
            <w:vAlign w:val="center"/>
          </w:tcPr>
          <w:p>
            <w:pPr>
              <w:pStyle w:val="27"/>
              <w:ind w:firstLine="0" w:firstLineChars="0"/>
              <w:rPr>
                <w:rFonts w:ascii="宋体" w:hAnsi="宋体"/>
                <w:b/>
                <w:color w:val="000000" w:themeColor="text1"/>
                <w:sz w:val="28"/>
                <w:szCs w:val="28"/>
              </w:rPr>
            </w:pPr>
            <w:r>
              <w:rPr>
                <w:rFonts w:hint="eastAsia" w:ascii="宋体" w:hAnsi="宋体"/>
                <w:b/>
                <w:color w:val="000000" w:themeColor="text1"/>
                <w:sz w:val="28"/>
                <w:szCs w:val="28"/>
              </w:rPr>
              <w:t>2. 技术</w:t>
            </w:r>
          </w:p>
        </w:tc>
        <w:tc>
          <w:tcPr>
            <w:tcW w:w="1559" w:type="dxa"/>
            <w:vMerge w:val="restart"/>
            <w:shd w:val="clear" w:color="auto" w:fill="auto"/>
            <w:vAlign w:val="center"/>
          </w:tcPr>
          <w:p>
            <w:pPr>
              <w:pStyle w:val="27"/>
              <w:ind w:firstLine="0" w:firstLineChars="0"/>
              <w:jc w:val="center"/>
              <w:rPr>
                <w:rFonts w:ascii="宋体" w:hAnsi="宋体"/>
                <w:b/>
                <w:color w:val="000000" w:themeColor="text1"/>
                <w:sz w:val="28"/>
                <w:szCs w:val="28"/>
              </w:rPr>
            </w:pPr>
            <w:r>
              <w:rPr>
                <w:rFonts w:hint="eastAsia" w:ascii="宋体" w:hAnsi="宋体"/>
                <w:b/>
                <w:color w:val="000000" w:themeColor="text1"/>
                <w:sz w:val="28"/>
                <w:szCs w:val="28"/>
              </w:rPr>
              <w:t>55分</w:t>
            </w:r>
          </w:p>
        </w:tc>
        <w:tc>
          <w:tcPr>
            <w:tcW w:w="11482" w:type="dxa"/>
            <w:shd w:val="clear" w:color="auto" w:fill="auto"/>
            <w:vAlign w:val="center"/>
          </w:tcPr>
          <w:p>
            <w:pPr>
              <w:pStyle w:val="27"/>
              <w:ind w:firstLine="0" w:firstLineChars="0"/>
              <w:rPr>
                <w:rFonts w:ascii="宋体" w:hAnsi="宋体"/>
                <w:b/>
                <w:color w:val="000000" w:themeColor="text1"/>
                <w:sz w:val="28"/>
                <w:szCs w:val="28"/>
              </w:rPr>
            </w:pPr>
            <w:r>
              <w:rPr>
                <w:rFonts w:hint="eastAsia" w:ascii="宋体" w:hAnsi="宋体"/>
                <w:b/>
                <w:color w:val="000000" w:themeColor="text1"/>
                <w:sz w:val="28"/>
                <w:szCs w:val="28"/>
              </w:rPr>
              <w:t>综合比较投标人提供的维保技术参数（如主机、水泵、冷却塔维修后的功率、电压、电流，冷却水和冷冻水的温度等）和整体服务方案（如每1年做几次保养，每次保养做的那些内容，每季度或每月做那些内容）等进行评审。优秀的得10分，良好的8-5分，一般的4-1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560" w:type="dxa"/>
            <w:vMerge w:val="continue"/>
            <w:shd w:val="clear" w:color="auto" w:fill="auto"/>
            <w:vAlign w:val="center"/>
          </w:tcPr>
          <w:p>
            <w:pPr>
              <w:pStyle w:val="27"/>
              <w:ind w:firstLine="0" w:firstLineChars="0"/>
              <w:rPr>
                <w:rFonts w:ascii="宋体" w:hAnsi="宋体"/>
                <w:b/>
                <w:color w:val="000000" w:themeColor="text1"/>
                <w:sz w:val="28"/>
                <w:szCs w:val="28"/>
              </w:rPr>
            </w:pPr>
          </w:p>
        </w:tc>
        <w:tc>
          <w:tcPr>
            <w:tcW w:w="1559" w:type="dxa"/>
            <w:vMerge w:val="continue"/>
            <w:shd w:val="clear" w:color="auto" w:fill="auto"/>
            <w:vAlign w:val="center"/>
          </w:tcPr>
          <w:p>
            <w:pPr>
              <w:pStyle w:val="27"/>
              <w:ind w:firstLine="0" w:firstLineChars="0"/>
              <w:jc w:val="center"/>
              <w:rPr>
                <w:rFonts w:ascii="宋体" w:hAnsi="宋体"/>
                <w:b/>
                <w:color w:val="000000" w:themeColor="text1"/>
                <w:sz w:val="28"/>
                <w:szCs w:val="28"/>
              </w:rPr>
            </w:pPr>
          </w:p>
        </w:tc>
        <w:tc>
          <w:tcPr>
            <w:tcW w:w="11482" w:type="dxa"/>
            <w:shd w:val="clear" w:color="auto" w:fill="auto"/>
            <w:vAlign w:val="center"/>
          </w:tcPr>
          <w:p>
            <w:pPr>
              <w:pStyle w:val="27"/>
              <w:ind w:firstLine="0" w:firstLineChars="0"/>
              <w:rPr>
                <w:rFonts w:ascii="宋体" w:hAnsi="宋体"/>
                <w:b/>
                <w:color w:val="000000" w:themeColor="text1"/>
                <w:sz w:val="28"/>
                <w:szCs w:val="28"/>
              </w:rPr>
            </w:pPr>
            <w:r>
              <w:rPr>
                <w:rFonts w:hint="eastAsia" w:ascii="宋体" w:hAnsi="宋体"/>
                <w:b/>
                <w:color w:val="000000" w:themeColor="text1"/>
                <w:sz w:val="28"/>
                <w:szCs w:val="28"/>
              </w:rPr>
              <w:t>根据各投标人拟投入本项目的检测设备和维修设备，设备维修安装企业能力等级证书情况打分（包括工作设备数量的多少、是否先进稳定使用方便）优秀的得10分，良好的得8-5分，一般的得4-1分，本项最多不超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560" w:type="dxa"/>
            <w:vMerge w:val="continue"/>
            <w:shd w:val="clear" w:color="auto" w:fill="auto"/>
            <w:vAlign w:val="center"/>
          </w:tcPr>
          <w:p>
            <w:pPr>
              <w:pStyle w:val="27"/>
              <w:ind w:firstLine="0" w:firstLineChars="0"/>
              <w:rPr>
                <w:rFonts w:ascii="宋体" w:hAnsi="宋体"/>
                <w:b/>
                <w:color w:val="000000" w:themeColor="text1"/>
                <w:sz w:val="28"/>
                <w:szCs w:val="28"/>
              </w:rPr>
            </w:pPr>
          </w:p>
        </w:tc>
        <w:tc>
          <w:tcPr>
            <w:tcW w:w="1559" w:type="dxa"/>
            <w:vMerge w:val="continue"/>
            <w:shd w:val="clear" w:color="auto" w:fill="auto"/>
            <w:vAlign w:val="center"/>
          </w:tcPr>
          <w:p>
            <w:pPr>
              <w:pStyle w:val="27"/>
              <w:ind w:firstLine="0" w:firstLineChars="0"/>
              <w:jc w:val="center"/>
              <w:rPr>
                <w:rFonts w:ascii="宋体" w:hAnsi="宋体"/>
                <w:b/>
                <w:color w:val="000000" w:themeColor="text1"/>
                <w:sz w:val="28"/>
                <w:szCs w:val="28"/>
              </w:rPr>
            </w:pPr>
          </w:p>
        </w:tc>
        <w:tc>
          <w:tcPr>
            <w:tcW w:w="11482" w:type="dxa"/>
            <w:shd w:val="clear" w:color="auto" w:fill="auto"/>
            <w:vAlign w:val="center"/>
          </w:tcPr>
          <w:p>
            <w:pPr>
              <w:pStyle w:val="27"/>
              <w:ind w:firstLine="0" w:firstLineChars="0"/>
              <w:rPr>
                <w:rFonts w:ascii="宋体" w:hAnsi="宋体"/>
                <w:b/>
                <w:color w:val="000000" w:themeColor="text1"/>
                <w:sz w:val="28"/>
                <w:szCs w:val="28"/>
              </w:rPr>
            </w:pPr>
            <w:r>
              <w:rPr>
                <w:rFonts w:hint="eastAsia" w:ascii="宋体" w:hAnsi="宋体"/>
                <w:b/>
                <w:color w:val="000000" w:themeColor="text1"/>
                <w:sz w:val="28"/>
                <w:szCs w:val="28"/>
              </w:rPr>
              <w:t>综合比较投标人拟提供的空调使用过程中的节能方案进行评审（如主机、水泵、冷却塔等的节电节水等）。优秀的得</w:t>
            </w:r>
            <w:r>
              <w:rPr>
                <w:rFonts w:hint="eastAsia" w:ascii="宋体" w:hAnsi="宋体"/>
                <w:b/>
                <w:color w:val="000000" w:themeColor="text1"/>
                <w:sz w:val="28"/>
                <w:szCs w:val="28"/>
                <w:lang w:val="en-US" w:eastAsia="zh-CN"/>
              </w:rPr>
              <w:t>5</w:t>
            </w:r>
            <w:r>
              <w:rPr>
                <w:rFonts w:hint="eastAsia" w:ascii="宋体" w:hAnsi="宋体"/>
                <w:b/>
                <w:color w:val="000000" w:themeColor="text1"/>
                <w:sz w:val="28"/>
                <w:szCs w:val="28"/>
              </w:rPr>
              <w:t>分，良好的得</w:t>
            </w:r>
            <w:r>
              <w:rPr>
                <w:rFonts w:hint="eastAsia" w:ascii="宋体" w:hAnsi="宋体"/>
                <w:b/>
                <w:color w:val="000000" w:themeColor="text1"/>
                <w:sz w:val="28"/>
                <w:szCs w:val="28"/>
                <w:lang w:val="en-US" w:eastAsia="zh-CN"/>
              </w:rPr>
              <w:t>4</w:t>
            </w:r>
            <w:r>
              <w:rPr>
                <w:rFonts w:hint="eastAsia" w:ascii="宋体" w:hAnsi="宋体"/>
                <w:b/>
                <w:color w:val="000000" w:themeColor="text1"/>
                <w:sz w:val="28"/>
                <w:szCs w:val="28"/>
              </w:rPr>
              <w:t>-</w:t>
            </w:r>
            <w:r>
              <w:rPr>
                <w:rFonts w:hint="eastAsia" w:ascii="宋体" w:hAnsi="宋体"/>
                <w:b/>
                <w:color w:val="000000" w:themeColor="text1"/>
                <w:sz w:val="28"/>
                <w:szCs w:val="28"/>
                <w:lang w:val="en-US" w:eastAsia="zh-CN"/>
              </w:rPr>
              <w:t>3</w:t>
            </w:r>
            <w:r>
              <w:rPr>
                <w:rFonts w:hint="eastAsia" w:ascii="宋体" w:hAnsi="宋体"/>
                <w:b/>
                <w:color w:val="000000" w:themeColor="text1"/>
                <w:sz w:val="28"/>
                <w:szCs w:val="28"/>
              </w:rPr>
              <w:t>分，一般的得</w:t>
            </w:r>
            <w:r>
              <w:rPr>
                <w:rFonts w:hint="eastAsia" w:ascii="宋体" w:hAnsi="宋体"/>
                <w:b/>
                <w:color w:val="000000" w:themeColor="text1"/>
                <w:sz w:val="28"/>
                <w:szCs w:val="28"/>
                <w:lang w:val="en-US" w:eastAsia="zh-CN"/>
              </w:rPr>
              <w:t>2-</w:t>
            </w:r>
            <w:r>
              <w:rPr>
                <w:rFonts w:hint="eastAsia" w:ascii="宋体" w:hAnsi="宋体"/>
                <w:b/>
                <w:color w:val="000000" w:themeColor="text1"/>
                <w:sz w:val="28"/>
                <w:szCs w:val="28"/>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560" w:type="dxa"/>
            <w:vMerge w:val="continue"/>
            <w:shd w:val="clear" w:color="auto" w:fill="auto"/>
            <w:vAlign w:val="center"/>
          </w:tcPr>
          <w:p>
            <w:pPr>
              <w:pStyle w:val="27"/>
              <w:ind w:firstLine="0" w:firstLineChars="0"/>
              <w:rPr>
                <w:rFonts w:ascii="宋体" w:hAnsi="宋体"/>
                <w:b/>
                <w:color w:val="000000" w:themeColor="text1"/>
                <w:sz w:val="28"/>
                <w:szCs w:val="28"/>
              </w:rPr>
            </w:pPr>
          </w:p>
        </w:tc>
        <w:tc>
          <w:tcPr>
            <w:tcW w:w="1559" w:type="dxa"/>
            <w:vMerge w:val="continue"/>
            <w:shd w:val="clear" w:color="auto" w:fill="auto"/>
            <w:vAlign w:val="center"/>
          </w:tcPr>
          <w:p>
            <w:pPr>
              <w:pStyle w:val="27"/>
              <w:ind w:firstLine="0" w:firstLineChars="0"/>
              <w:jc w:val="center"/>
              <w:rPr>
                <w:rFonts w:ascii="宋体" w:hAnsi="宋体"/>
                <w:b/>
                <w:color w:val="000000" w:themeColor="text1"/>
                <w:sz w:val="28"/>
                <w:szCs w:val="28"/>
              </w:rPr>
            </w:pPr>
          </w:p>
        </w:tc>
        <w:tc>
          <w:tcPr>
            <w:tcW w:w="11482" w:type="dxa"/>
            <w:shd w:val="clear" w:color="auto" w:fill="auto"/>
            <w:vAlign w:val="center"/>
          </w:tcPr>
          <w:p>
            <w:pPr>
              <w:pStyle w:val="27"/>
              <w:ind w:firstLine="0" w:firstLineChars="0"/>
              <w:rPr>
                <w:rFonts w:ascii="宋体" w:hAnsi="宋体"/>
                <w:b/>
                <w:color w:val="000000" w:themeColor="text1"/>
                <w:sz w:val="28"/>
                <w:szCs w:val="28"/>
              </w:rPr>
            </w:pPr>
            <w:r>
              <w:rPr>
                <w:rFonts w:hint="eastAsia" w:ascii="宋体" w:hAnsi="宋体"/>
                <w:b/>
                <w:color w:val="000000" w:themeColor="text1"/>
                <w:sz w:val="28"/>
                <w:szCs w:val="28"/>
              </w:rPr>
              <w:t>综合比较投标人提供应急服务预案（包括主机控制系统水系统等），包括处理故障响应的时间要求（如多少时间到位，多少时间处理好），应急服务承诺（对承诺内容如何保证，如何将损失降到最低）等进行评审。优秀的得1</w:t>
            </w:r>
            <w:r>
              <w:rPr>
                <w:rFonts w:hint="eastAsia" w:ascii="宋体" w:hAnsi="宋体"/>
                <w:b/>
                <w:color w:val="000000" w:themeColor="text1"/>
                <w:sz w:val="28"/>
                <w:szCs w:val="28"/>
                <w:lang w:val="en-US" w:eastAsia="zh-CN"/>
              </w:rPr>
              <w:t>5</w:t>
            </w:r>
            <w:r>
              <w:rPr>
                <w:rFonts w:hint="eastAsia" w:ascii="宋体" w:hAnsi="宋体"/>
                <w:b/>
                <w:color w:val="000000" w:themeColor="text1"/>
                <w:sz w:val="28"/>
                <w:szCs w:val="28"/>
              </w:rPr>
              <w:t>分，良好的得</w:t>
            </w:r>
            <w:r>
              <w:rPr>
                <w:rFonts w:hint="eastAsia" w:ascii="宋体" w:hAnsi="宋体"/>
                <w:b/>
                <w:color w:val="000000" w:themeColor="text1"/>
                <w:sz w:val="28"/>
                <w:szCs w:val="28"/>
                <w:lang w:val="en-US" w:eastAsia="zh-CN"/>
              </w:rPr>
              <w:t>12</w:t>
            </w:r>
            <w:r>
              <w:rPr>
                <w:rFonts w:hint="eastAsia" w:ascii="宋体" w:hAnsi="宋体"/>
                <w:b/>
                <w:color w:val="000000" w:themeColor="text1"/>
                <w:sz w:val="28"/>
                <w:szCs w:val="28"/>
              </w:rPr>
              <w:t>-</w:t>
            </w:r>
            <w:r>
              <w:rPr>
                <w:rFonts w:hint="eastAsia" w:ascii="宋体" w:hAnsi="宋体"/>
                <w:b/>
                <w:color w:val="000000" w:themeColor="text1"/>
                <w:sz w:val="28"/>
                <w:szCs w:val="28"/>
                <w:lang w:val="en-US" w:eastAsia="zh-CN"/>
              </w:rPr>
              <w:t>9</w:t>
            </w:r>
            <w:r>
              <w:rPr>
                <w:rFonts w:hint="eastAsia" w:ascii="宋体" w:hAnsi="宋体"/>
                <w:b/>
                <w:color w:val="000000" w:themeColor="text1"/>
                <w:sz w:val="28"/>
                <w:szCs w:val="28"/>
              </w:rPr>
              <w:t>分，一般的得</w:t>
            </w:r>
            <w:r>
              <w:rPr>
                <w:rFonts w:hint="eastAsia" w:ascii="宋体" w:hAnsi="宋体"/>
                <w:b/>
                <w:color w:val="000000" w:themeColor="text1"/>
                <w:sz w:val="28"/>
                <w:szCs w:val="28"/>
                <w:lang w:val="en-US" w:eastAsia="zh-CN"/>
              </w:rPr>
              <w:t>6</w:t>
            </w:r>
            <w:r>
              <w:rPr>
                <w:rFonts w:hint="eastAsia" w:ascii="宋体" w:hAnsi="宋体"/>
                <w:b/>
                <w:color w:val="000000" w:themeColor="text1"/>
                <w:sz w:val="28"/>
                <w:szCs w:val="28"/>
              </w:rPr>
              <w:t>-</w:t>
            </w:r>
            <w:r>
              <w:rPr>
                <w:rFonts w:hint="eastAsia" w:ascii="宋体" w:hAnsi="宋体"/>
                <w:b/>
                <w:color w:val="000000" w:themeColor="text1"/>
                <w:sz w:val="28"/>
                <w:szCs w:val="28"/>
                <w:lang w:val="en-US" w:eastAsia="zh-CN"/>
              </w:rPr>
              <w:t>3</w:t>
            </w:r>
            <w:r>
              <w:rPr>
                <w:rFonts w:hint="eastAsia" w:ascii="宋体" w:hAnsi="宋体"/>
                <w:b/>
                <w:color w:val="000000" w:themeColor="text1"/>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560" w:type="dxa"/>
            <w:vMerge w:val="continue"/>
            <w:shd w:val="clear" w:color="auto" w:fill="auto"/>
            <w:vAlign w:val="center"/>
          </w:tcPr>
          <w:p>
            <w:pPr>
              <w:pStyle w:val="27"/>
              <w:ind w:firstLine="0" w:firstLineChars="0"/>
              <w:rPr>
                <w:rFonts w:ascii="宋体" w:hAnsi="宋体"/>
                <w:b/>
                <w:color w:val="000000" w:themeColor="text1"/>
                <w:sz w:val="28"/>
                <w:szCs w:val="28"/>
              </w:rPr>
            </w:pPr>
          </w:p>
        </w:tc>
        <w:tc>
          <w:tcPr>
            <w:tcW w:w="1559" w:type="dxa"/>
            <w:vMerge w:val="continue"/>
            <w:shd w:val="clear" w:color="auto" w:fill="auto"/>
            <w:vAlign w:val="center"/>
          </w:tcPr>
          <w:p>
            <w:pPr>
              <w:pStyle w:val="27"/>
              <w:ind w:firstLine="0" w:firstLineChars="0"/>
              <w:jc w:val="center"/>
              <w:rPr>
                <w:rFonts w:ascii="宋体" w:hAnsi="宋体"/>
                <w:b/>
                <w:color w:val="000000" w:themeColor="text1"/>
                <w:sz w:val="28"/>
                <w:szCs w:val="28"/>
              </w:rPr>
            </w:pPr>
          </w:p>
        </w:tc>
        <w:tc>
          <w:tcPr>
            <w:tcW w:w="11482" w:type="dxa"/>
            <w:shd w:val="clear" w:color="auto" w:fill="auto"/>
            <w:vAlign w:val="center"/>
          </w:tcPr>
          <w:p>
            <w:pPr>
              <w:pStyle w:val="27"/>
              <w:ind w:firstLine="0" w:firstLineChars="0"/>
              <w:rPr>
                <w:rFonts w:ascii="宋体" w:hAnsi="宋体"/>
                <w:b/>
                <w:color w:val="000000" w:themeColor="text1"/>
                <w:sz w:val="28"/>
                <w:szCs w:val="28"/>
              </w:rPr>
            </w:pPr>
            <w:r>
              <w:rPr>
                <w:rFonts w:hint="eastAsia" w:ascii="宋体" w:hAnsi="宋体"/>
                <w:b/>
                <w:color w:val="000000" w:themeColor="text1"/>
                <w:sz w:val="28"/>
                <w:szCs w:val="28"/>
              </w:rPr>
              <w:t>综合比较投标人拟提供的保养细则的内容的完善程度、合理性及可操作性进行评分。优秀的得5分，良好的得4-3分，一般的得2-1分。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2" w:hRule="atLeast"/>
        </w:trPr>
        <w:tc>
          <w:tcPr>
            <w:tcW w:w="1560" w:type="dxa"/>
            <w:vMerge w:val="continue"/>
            <w:shd w:val="clear" w:color="auto" w:fill="auto"/>
            <w:vAlign w:val="center"/>
          </w:tcPr>
          <w:p>
            <w:pPr>
              <w:pStyle w:val="27"/>
              <w:ind w:firstLine="0" w:firstLineChars="0"/>
              <w:rPr>
                <w:rFonts w:ascii="宋体" w:hAnsi="宋体"/>
                <w:b/>
                <w:color w:val="000000" w:themeColor="text1"/>
                <w:sz w:val="28"/>
                <w:szCs w:val="28"/>
              </w:rPr>
            </w:pPr>
          </w:p>
        </w:tc>
        <w:tc>
          <w:tcPr>
            <w:tcW w:w="1559" w:type="dxa"/>
            <w:vMerge w:val="continue"/>
            <w:shd w:val="clear" w:color="auto" w:fill="auto"/>
            <w:vAlign w:val="center"/>
          </w:tcPr>
          <w:p>
            <w:pPr>
              <w:pStyle w:val="27"/>
              <w:ind w:firstLine="0" w:firstLineChars="0"/>
              <w:jc w:val="center"/>
              <w:rPr>
                <w:rFonts w:ascii="宋体" w:hAnsi="宋体"/>
                <w:b/>
                <w:color w:val="000000" w:themeColor="text1"/>
                <w:sz w:val="28"/>
                <w:szCs w:val="28"/>
              </w:rPr>
            </w:pPr>
          </w:p>
        </w:tc>
        <w:tc>
          <w:tcPr>
            <w:tcW w:w="11482" w:type="dxa"/>
            <w:shd w:val="clear" w:color="auto" w:fill="auto"/>
            <w:vAlign w:val="center"/>
          </w:tcPr>
          <w:p>
            <w:pPr>
              <w:pStyle w:val="27"/>
              <w:ind w:firstLine="0" w:firstLineChars="0"/>
              <w:rPr>
                <w:rFonts w:ascii="宋体" w:hAnsi="宋体"/>
                <w:b/>
                <w:color w:val="000000" w:themeColor="text1"/>
                <w:sz w:val="28"/>
                <w:szCs w:val="28"/>
              </w:rPr>
            </w:pPr>
            <w:r>
              <w:rPr>
                <w:rFonts w:hint="eastAsia" w:ascii="宋体" w:hAnsi="宋体"/>
                <w:b/>
                <w:color w:val="000000" w:themeColor="text1"/>
                <w:sz w:val="28"/>
                <w:szCs w:val="28"/>
              </w:rPr>
              <w:t>有2人以上持有高压电工作业证得6分。持有制冷与空调维修作业证1人得2分最多不操过10分。</w:t>
            </w:r>
            <w:r>
              <w:rPr>
                <w:rFonts w:hint="eastAsia" w:ascii="仿宋_GB2312"/>
                <w:b/>
                <w:color w:val="000000" w:themeColor="text1"/>
                <w:sz w:val="28"/>
                <w:szCs w:val="28"/>
              </w:rPr>
              <w:t>（提供人员证书及身份证复印件，提供人员在投标单位的证明材料（所在单位的社会保险参保证明-参保人员明细）证书真伪</w:t>
            </w:r>
            <w:r>
              <w:rPr>
                <w:rFonts w:hint="eastAsia" w:ascii="宋体" w:hAnsi="宋体"/>
                <w:b/>
                <w:color w:val="000000" w:themeColor="text1"/>
                <w:sz w:val="28"/>
                <w:szCs w:val="28"/>
              </w:rPr>
              <w:t>查询网址：http://cx.saws.org.cn/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trPr>
        <w:tc>
          <w:tcPr>
            <w:tcW w:w="1560" w:type="dxa"/>
            <w:vMerge w:val="restart"/>
            <w:shd w:val="clear" w:color="auto" w:fill="auto"/>
            <w:vAlign w:val="center"/>
          </w:tcPr>
          <w:p>
            <w:pPr>
              <w:pStyle w:val="27"/>
              <w:ind w:firstLine="0" w:firstLineChars="0"/>
              <w:rPr>
                <w:rFonts w:ascii="宋体" w:hAnsi="宋体"/>
                <w:b/>
                <w:color w:val="000000" w:themeColor="text1"/>
                <w:sz w:val="28"/>
                <w:szCs w:val="28"/>
              </w:rPr>
            </w:pPr>
            <w:r>
              <w:rPr>
                <w:rFonts w:hint="eastAsia" w:ascii="宋体" w:hAnsi="宋体"/>
                <w:b/>
                <w:color w:val="000000" w:themeColor="text1"/>
                <w:sz w:val="28"/>
                <w:szCs w:val="28"/>
              </w:rPr>
              <w:t>3. 商务</w:t>
            </w:r>
          </w:p>
        </w:tc>
        <w:tc>
          <w:tcPr>
            <w:tcW w:w="1559" w:type="dxa"/>
            <w:vMerge w:val="restart"/>
            <w:shd w:val="clear" w:color="auto" w:fill="auto"/>
            <w:vAlign w:val="center"/>
          </w:tcPr>
          <w:p>
            <w:pPr>
              <w:pStyle w:val="27"/>
              <w:ind w:firstLine="0" w:firstLineChars="0"/>
              <w:jc w:val="center"/>
              <w:rPr>
                <w:rFonts w:ascii="宋体" w:hAnsi="宋体"/>
                <w:b/>
                <w:color w:val="000000" w:themeColor="text1"/>
                <w:sz w:val="28"/>
                <w:szCs w:val="28"/>
              </w:rPr>
            </w:pPr>
            <w:r>
              <w:rPr>
                <w:rFonts w:hint="eastAsia" w:ascii="宋体" w:hAnsi="宋体"/>
                <w:b/>
                <w:color w:val="000000" w:themeColor="text1"/>
                <w:sz w:val="28"/>
                <w:szCs w:val="28"/>
              </w:rPr>
              <w:t>20分</w:t>
            </w:r>
          </w:p>
        </w:tc>
        <w:tc>
          <w:tcPr>
            <w:tcW w:w="11482" w:type="dxa"/>
            <w:shd w:val="clear" w:color="auto" w:fill="auto"/>
            <w:vAlign w:val="center"/>
          </w:tcPr>
          <w:p>
            <w:pPr>
              <w:rPr>
                <w:rFonts w:ascii="宋体" w:hAnsi="宋体"/>
                <w:b/>
                <w:color w:val="000000" w:themeColor="text1"/>
                <w:sz w:val="28"/>
                <w:szCs w:val="28"/>
              </w:rPr>
            </w:pPr>
            <w:r>
              <w:rPr>
                <w:rFonts w:hint="eastAsia" w:ascii="宋体" w:hAnsi="宋体"/>
                <w:b/>
                <w:color w:val="000000" w:themeColor="text1"/>
                <w:sz w:val="28"/>
                <w:szCs w:val="28"/>
              </w:rPr>
              <w:t>业绩项（≤15分），即:提供自2015年以来，与三甲医院签订的关于中央空调维保合同复印件（并加盖公司鲜章）或者中标通知书，每提供1份得5分。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3" w:hRule="atLeast"/>
        </w:trPr>
        <w:tc>
          <w:tcPr>
            <w:tcW w:w="1560" w:type="dxa"/>
            <w:vMerge w:val="continue"/>
            <w:shd w:val="clear" w:color="auto" w:fill="auto"/>
            <w:vAlign w:val="center"/>
          </w:tcPr>
          <w:p>
            <w:pPr>
              <w:pStyle w:val="27"/>
              <w:ind w:firstLine="0" w:firstLineChars="0"/>
              <w:rPr>
                <w:rFonts w:ascii="宋体" w:hAnsi="宋体"/>
                <w:b/>
                <w:color w:val="000000" w:themeColor="text1"/>
                <w:sz w:val="28"/>
                <w:szCs w:val="28"/>
              </w:rPr>
            </w:pPr>
          </w:p>
        </w:tc>
        <w:tc>
          <w:tcPr>
            <w:tcW w:w="1559" w:type="dxa"/>
            <w:vMerge w:val="continue"/>
            <w:shd w:val="clear" w:color="auto" w:fill="auto"/>
            <w:vAlign w:val="center"/>
          </w:tcPr>
          <w:p>
            <w:pPr>
              <w:pStyle w:val="27"/>
              <w:ind w:firstLine="0" w:firstLineChars="0"/>
              <w:rPr>
                <w:rFonts w:ascii="宋体" w:hAnsi="宋体"/>
                <w:b/>
                <w:color w:val="000000" w:themeColor="text1"/>
                <w:sz w:val="28"/>
                <w:szCs w:val="28"/>
              </w:rPr>
            </w:pPr>
          </w:p>
        </w:tc>
        <w:tc>
          <w:tcPr>
            <w:tcW w:w="11482" w:type="dxa"/>
            <w:shd w:val="clear" w:color="auto" w:fill="auto"/>
            <w:vAlign w:val="center"/>
          </w:tcPr>
          <w:p>
            <w:pPr>
              <w:ind w:firstLine="562" w:firstLineChars="200"/>
              <w:rPr>
                <w:rFonts w:ascii="宋体" w:hAnsi="宋体"/>
                <w:b/>
                <w:color w:val="000000" w:themeColor="text1"/>
                <w:sz w:val="28"/>
                <w:szCs w:val="28"/>
              </w:rPr>
            </w:pPr>
            <w:r>
              <w:rPr>
                <w:rFonts w:hint="eastAsia" w:ascii="宋体" w:hAnsi="宋体"/>
                <w:b/>
                <w:color w:val="000000" w:themeColor="text1"/>
                <w:sz w:val="28"/>
                <w:szCs w:val="28"/>
              </w:rPr>
              <w:t>社保证明（≤5分），即:有近两年维保服务工程师缴纳的社保证明，每有1名符合该要求的工程师则得1分，最多得5分。</w:t>
            </w:r>
          </w:p>
        </w:tc>
      </w:tr>
    </w:tbl>
    <w:p>
      <w:pPr>
        <w:pStyle w:val="27"/>
        <w:ind w:left="420" w:firstLine="0" w:firstLineChars="0"/>
        <w:rPr>
          <w:rFonts w:ascii="宋体" w:hAnsi="宋体"/>
          <w:color w:val="000000" w:themeColor="text1"/>
          <w:sz w:val="24"/>
          <w:szCs w:val="24"/>
        </w:rPr>
      </w:pPr>
    </w:p>
    <w:p>
      <w:pPr>
        <w:spacing w:line="360" w:lineRule="auto"/>
        <w:jc w:val="left"/>
        <w:rPr>
          <w:b/>
          <w:color w:val="auto"/>
          <w:sz w:val="28"/>
          <w:szCs w:val="28"/>
        </w:rPr>
      </w:pPr>
      <w:r>
        <w:rPr>
          <w:rFonts w:hint="eastAsia" w:ascii="宋体" w:hAnsi="宋体"/>
          <w:b/>
          <w:color w:val="auto"/>
          <w:sz w:val="28"/>
          <w:szCs w:val="28"/>
          <w:lang w:eastAsia="zh-CN"/>
        </w:rPr>
        <w:t>四</w:t>
      </w:r>
      <w:r>
        <w:rPr>
          <w:rFonts w:hint="eastAsia" w:ascii="宋体" w:hAnsi="宋体"/>
          <w:b/>
          <w:color w:val="auto"/>
          <w:sz w:val="28"/>
          <w:szCs w:val="28"/>
        </w:rPr>
        <w:t>、</w:t>
      </w:r>
      <w:bookmarkEnd w:id="0"/>
      <w:r>
        <w:rPr>
          <w:rFonts w:hint="eastAsia" w:ascii="宋体" w:hAnsi="宋体"/>
          <w:b/>
          <w:color w:val="auto"/>
          <w:sz w:val="28"/>
          <w:szCs w:val="28"/>
        </w:rPr>
        <w:t>合作方选择原则</w:t>
      </w:r>
      <w:bookmarkEnd w:id="1"/>
    </w:p>
    <w:p>
      <w:pPr>
        <w:snapToGrid w:val="0"/>
        <w:spacing w:line="360" w:lineRule="auto"/>
        <w:ind w:firstLine="573"/>
        <w:rPr>
          <w:b/>
          <w:color w:val="auto"/>
          <w:sz w:val="28"/>
          <w:szCs w:val="28"/>
        </w:rPr>
      </w:pPr>
      <w:r>
        <w:rPr>
          <w:rFonts w:hint="eastAsia"/>
          <w:b/>
          <w:color w:val="auto"/>
          <w:sz w:val="28"/>
          <w:szCs w:val="28"/>
        </w:rPr>
        <w:t>1、综合评分法，综合得分最高的确定为中标方。</w:t>
      </w:r>
    </w:p>
    <w:p>
      <w:pPr>
        <w:snapToGrid w:val="0"/>
        <w:spacing w:line="360" w:lineRule="auto"/>
        <w:ind w:firstLine="573"/>
        <w:rPr>
          <w:rFonts w:ascii="宋体" w:hAnsi="宋体"/>
          <w:b/>
          <w:color w:val="auto"/>
          <w:sz w:val="28"/>
          <w:szCs w:val="28"/>
        </w:rPr>
      </w:pPr>
      <w:r>
        <w:rPr>
          <w:rFonts w:hint="eastAsia" w:ascii="宋体" w:hAnsi="宋体"/>
          <w:b/>
          <w:color w:val="auto"/>
          <w:sz w:val="28"/>
          <w:szCs w:val="28"/>
        </w:rPr>
        <w:t>2、评审依据：招标文件、投标文件（含有效的补充资料）。</w:t>
      </w:r>
    </w:p>
    <w:p>
      <w:pPr>
        <w:snapToGrid w:val="0"/>
        <w:spacing w:line="360" w:lineRule="auto"/>
        <w:ind w:firstLine="573"/>
        <w:rPr>
          <w:rFonts w:ascii="宋体" w:hAnsi="宋体"/>
          <w:b/>
          <w:color w:val="auto"/>
          <w:sz w:val="28"/>
          <w:szCs w:val="28"/>
        </w:rPr>
      </w:pPr>
      <w:r>
        <w:rPr>
          <w:rFonts w:hint="eastAsia" w:ascii="宋体" w:hAnsi="宋体"/>
          <w:b/>
          <w:color w:val="auto"/>
          <w:sz w:val="28"/>
          <w:szCs w:val="28"/>
        </w:rPr>
        <w:t>3、投标出现以下情况之一的，作为作废处理：</w:t>
      </w:r>
    </w:p>
    <w:p>
      <w:pPr>
        <w:snapToGrid w:val="0"/>
        <w:spacing w:line="360" w:lineRule="auto"/>
        <w:ind w:firstLine="562" w:firstLineChars="200"/>
        <w:rPr>
          <w:rFonts w:ascii="宋体" w:hAnsi="宋体"/>
          <w:b/>
          <w:color w:val="auto"/>
          <w:sz w:val="28"/>
          <w:szCs w:val="28"/>
        </w:rPr>
      </w:pPr>
      <w:r>
        <w:rPr>
          <w:rFonts w:hint="eastAsia" w:ascii="宋体" w:hAnsi="宋体"/>
          <w:b/>
          <w:color w:val="auto"/>
          <w:sz w:val="28"/>
          <w:szCs w:val="28"/>
        </w:rPr>
        <w:t>（1）影响竞谈公正的违法、违规行为。</w:t>
      </w:r>
    </w:p>
    <w:p>
      <w:pPr>
        <w:snapToGrid w:val="0"/>
        <w:spacing w:line="360" w:lineRule="auto"/>
        <w:ind w:firstLine="562" w:firstLineChars="200"/>
        <w:rPr>
          <w:rFonts w:ascii="宋体" w:hAnsi="宋体"/>
          <w:b/>
          <w:color w:val="auto"/>
          <w:sz w:val="28"/>
          <w:szCs w:val="28"/>
        </w:rPr>
      </w:pPr>
      <w:r>
        <w:rPr>
          <w:rFonts w:hint="eastAsia" w:ascii="宋体" w:hAnsi="宋体"/>
          <w:b/>
          <w:color w:val="auto"/>
          <w:sz w:val="28"/>
          <w:szCs w:val="28"/>
        </w:rPr>
        <w:t>（2）投标资料不符合招标规定的。</w:t>
      </w:r>
    </w:p>
    <w:p>
      <w:pPr>
        <w:rPr>
          <w:b/>
          <w:color w:val="auto"/>
          <w:sz w:val="28"/>
          <w:szCs w:val="28"/>
        </w:rPr>
      </w:pPr>
      <w:r>
        <w:rPr>
          <w:rFonts w:hint="eastAsia" w:ascii="宋体" w:hAnsi="宋体"/>
          <w:b/>
          <w:color w:val="auto"/>
          <w:sz w:val="28"/>
          <w:szCs w:val="28"/>
          <w:lang w:eastAsia="zh-CN"/>
        </w:rPr>
        <w:t>五</w:t>
      </w:r>
      <w:r>
        <w:rPr>
          <w:rFonts w:hint="eastAsia"/>
          <w:b/>
          <w:color w:val="auto"/>
          <w:sz w:val="28"/>
          <w:szCs w:val="28"/>
        </w:rPr>
        <w:t>、付款方式</w:t>
      </w:r>
    </w:p>
    <w:p>
      <w:pPr>
        <w:ind w:firstLine="551" w:firstLineChars="196"/>
        <w:rPr>
          <w:b/>
          <w:color w:val="auto"/>
          <w:sz w:val="28"/>
          <w:szCs w:val="28"/>
        </w:rPr>
      </w:pPr>
      <w:r>
        <w:rPr>
          <w:rFonts w:hint="eastAsia"/>
          <w:b/>
          <w:color w:val="auto"/>
          <w:sz w:val="28"/>
          <w:szCs w:val="28"/>
        </w:rPr>
        <w:t xml:space="preserve">招标方每半年向中标方付款一次，实行先维护后付款，每半年维保完成，经合同考评细则评定合格后30日内支付合同金额的50%。 </w:t>
      </w:r>
    </w:p>
    <w:p>
      <w:pPr>
        <w:rPr>
          <w:b/>
          <w:color w:val="auto"/>
          <w:sz w:val="28"/>
          <w:szCs w:val="28"/>
        </w:rPr>
      </w:pPr>
      <w:r>
        <w:rPr>
          <w:rFonts w:hint="eastAsia"/>
          <w:b/>
          <w:color w:val="auto"/>
          <w:sz w:val="28"/>
          <w:szCs w:val="28"/>
          <w:lang w:eastAsia="zh-CN"/>
        </w:rPr>
        <w:t>六</w:t>
      </w:r>
      <w:r>
        <w:rPr>
          <w:rFonts w:hint="eastAsia"/>
          <w:b/>
          <w:color w:val="auto"/>
          <w:sz w:val="28"/>
          <w:szCs w:val="28"/>
        </w:rPr>
        <w:t>、履约保证金</w:t>
      </w:r>
    </w:p>
    <w:p>
      <w:pPr>
        <w:ind w:left="552" w:leftChars="263"/>
        <w:rPr>
          <w:rFonts w:hint="eastAsia"/>
          <w:b/>
          <w:color w:val="auto"/>
          <w:sz w:val="28"/>
          <w:szCs w:val="28"/>
        </w:rPr>
      </w:pPr>
      <w:r>
        <w:rPr>
          <w:rFonts w:hint="eastAsia"/>
          <w:b/>
          <w:color w:val="auto"/>
          <w:sz w:val="28"/>
          <w:szCs w:val="28"/>
        </w:rPr>
        <w:t>履约保证金：成交供应商在签订合同前缴纳履约保证金（合同总额的10</w:t>
      </w:r>
      <w:r>
        <w:rPr>
          <w:rFonts w:hint="eastAsia" w:ascii="宋体" w:hAnsi="宋体"/>
          <w:b/>
          <w:color w:val="auto"/>
          <w:sz w:val="28"/>
          <w:szCs w:val="28"/>
        </w:rPr>
        <w:t>％）</w:t>
      </w:r>
      <w:r>
        <w:rPr>
          <w:rFonts w:hint="eastAsia"/>
          <w:b/>
          <w:color w:val="auto"/>
          <w:sz w:val="28"/>
          <w:szCs w:val="28"/>
        </w:rPr>
        <w:t>，以转账支票方式缴纳到采购人账户，履约保证金在合同履行完毕后15个工作日内，由采购人予以全额无息退还。</w:t>
      </w:r>
    </w:p>
    <w:p>
      <w:pPr>
        <w:rPr>
          <w:rFonts w:hint="eastAsia" w:eastAsia="宋体"/>
          <w:b/>
          <w:color w:val="auto"/>
          <w:sz w:val="28"/>
          <w:szCs w:val="28"/>
          <w:lang w:eastAsia="zh-CN"/>
        </w:rPr>
      </w:pPr>
      <w:r>
        <w:rPr>
          <w:rFonts w:hint="eastAsia"/>
          <w:b/>
          <w:color w:val="auto"/>
          <w:sz w:val="28"/>
          <w:szCs w:val="28"/>
          <w:lang w:eastAsia="zh-CN"/>
        </w:rPr>
        <w:t>七</w:t>
      </w:r>
      <w:r>
        <w:rPr>
          <w:rFonts w:hint="eastAsia"/>
          <w:b/>
          <w:color w:val="auto"/>
          <w:sz w:val="28"/>
          <w:szCs w:val="28"/>
        </w:rPr>
        <w:t>、</w:t>
      </w:r>
      <w:r>
        <w:rPr>
          <w:rFonts w:hint="eastAsia"/>
          <w:b/>
          <w:color w:val="auto"/>
          <w:sz w:val="28"/>
          <w:szCs w:val="28"/>
          <w:lang w:eastAsia="zh-CN"/>
        </w:rPr>
        <w:t>合同期限：</w:t>
      </w:r>
      <w:r>
        <w:rPr>
          <w:rFonts w:hint="eastAsia"/>
          <w:b/>
          <w:bCs w:val="0"/>
          <w:color w:val="auto"/>
          <w:sz w:val="28"/>
          <w:szCs w:val="28"/>
          <w:lang w:eastAsia="zh-CN"/>
        </w:rPr>
        <w:t>暂定一年</w:t>
      </w:r>
    </w:p>
    <w:p>
      <w:pPr>
        <w:rPr>
          <w:rFonts w:hint="eastAsia"/>
          <w:b/>
          <w:color w:val="auto"/>
          <w:sz w:val="28"/>
          <w:szCs w:val="28"/>
          <w:lang w:val="en-US" w:eastAsia="zh-CN"/>
        </w:rPr>
      </w:pPr>
      <w:r>
        <w:rPr>
          <w:rFonts w:hint="eastAsia"/>
          <w:b/>
          <w:color w:val="auto"/>
          <w:sz w:val="28"/>
          <w:szCs w:val="28"/>
          <w:lang w:eastAsia="zh-CN"/>
        </w:rPr>
        <w:t>八</w:t>
      </w:r>
      <w:r>
        <w:rPr>
          <w:rFonts w:hint="eastAsia"/>
          <w:b/>
          <w:color w:val="auto"/>
          <w:sz w:val="28"/>
          <w:szCs w:val="28"/>
        </w:rPr>
        <w:t>、</w:t>
      </w:r>
      <w:r>
        <w:rPr>
          <w:rFonts w:hint="eastAsia"/>
          <w:b/>
          <w:color w:val="auto"/>
          <w:sz w:val="28"/>
          <w:szCs w:val="28"/>
          <w:lang w:val="en-US" w:eastAsia="zh-CN"/>
        </w:rPr>
        <w:t>维保费用和报价方式</w:t>
      </w:r>
    </w:p>
    <w:p>
      <w:pPr>
        <w:ind w:firstLine="551" w:firstLineChars="196"/>
        <w:rPr>
          <w:rFonts w:hint="eastAsia"/>
          <w:b/>
          <w:color w:val="auto"/>
          <w:sz w:val="28"/>
          <w:szCs w:val="28"/>
          <w:lang w:val="en-US" w:eastAsia="zh-CN"/>
        </w:rPr>
      </w:pPr>
      <w:r>
        <w:rPr>
          <w:rFonts w:hint="eastAsia"/>
          <w:b/>
          <w:color w:val="auto"/>
          <w:sz w:val="28"/>
          <w:szCs w:val="28"/>
          <w:lang w:val="en-US" w:eastAsia="zh-CN"/>
        </w:rPr>
        <w:t>1、本次竞谈服务费费用最高限价为人民币</w:t>
      </w:r>
      <w:r>
        <w:rPr>
          <w:rFonts w:hint="eastAsia"/>
          <w:b/>
          <w:color w:val="000000" w:themeColor="text1"/>
          <w:sz w:val="28"/>
          <w:szCs w:val="28"/>
          <w:lang w:val="en-US" w:eastAsia="zh-CN"/>
        </w:rPr>
        <w:t>60万元整</w:t>
      </w:r>
      <w:r>
        <w:rPr>
          <w:rFonts w:hint="eastAsia"/>
          <w:b/>
          <w:color w:val="auto"/>
          <w:sz w:val="28"/>
          <w:szCs w:val="28"/>
          <w:lang w:val="en-US" w:eastAsia="zh-CN"/>
        </w:rPr>
        <w:t>/年，所有单位报价不得高于本限价，否则视为无效报价。</w:t>
      </w:r>
    </w:p>
    <w:p>
      <w:pPr>
        <w:ind w:firstLine="551" w:firstLineChars="196"/>
        <w:rPr>
          <w:rFonts w:hint="eastAsia"/>
          <w:b/>
          <w:color w:val="auto"/>
          <w:sz w:val="28"/>
          <w:szCs w:val="28"/>
          <w:lang w:val="en-US" w:eastAsia="zh-CN"/>
        </w:rPr>
      </w:pPr>
      <w:r>
        <w:rPr>
          <w:rFonts w:hint="eastAsia"/>
          <w:b/>
          <w:color w:val="auto"/>
          <w:sz w:val="28"/>
          <w:szCs w:val="28"/>
          <w:lang w:val="en-US" w:eastAsia="zh-CN"/>
        </w:rPr>
        <w:t>2、本项目报价采用总价包干，由各竞谈人自行根据自身实力进行报价，报价中标后不得调整。</w:t>
      </w:r>
    </w:p>
    <w:p>
      <w:pPr>
        <w:rPr>
          <w:rFonts w:hint="eastAsia"/>
          <w:b/>
          <w:color w:val="auto"/>
          <w:sz w:val="28"/>
          <w:szCs w:val="28"/>
        </w:rPr>
      </w:pPr>
      <w:r>
        <w:rPr>
          <w:rFonts w:hint="eastAsia"/>
          <w:b/>
          <w:color w:val="auto"/>
          <w:sz w:val="28"/>
          <w:szCs w:val="28"/>
          <w:lang w:eastAsia="zh-CN"/>
        </w:rPr>
        <w:t>九</w:t>
      </w:r>
      <w:r>
        <w:rPr>
          <w:rFonts w:hint="eastAsia"/>
          <w:b/>
          <w:color w:val="auto"/>
          <w:sz w:val="28"/>
          <w:szCs w:val="28"/>
        </w:rPr>
        <w:t>、知识产权</w:t>
      </w:r>
    </w:p>
    <w:p>
      <w:pPr>
        <w:ind w:firstLine="551" w:firstLineChars="196"/>
        <w:rPr>
          <w:b/>
          <w:color w:val="auto"/>
          <w:sz w:val="28"/>
          <w:szCs w:val="28"/>
        </w:rPr>
      </w:pPr>
      <w:r>
        <w:rPr>
          <w:rFonts w:hint="eastAsia"/>
          <w:b/>
          <w:color w:val="auto"/>
          <w:sz w:val="28"/>
          <w:szCs w:val="28"/>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rPr>
          <w:rFonts w:ascii="微软雅黑" w:hAnsi="微软雅黑" w:eastAsia="微软雅黑"/>
          <w:b/>
          <w:szCs w:val="28"/>
        </w:rPr>
      </w:pPr>
      <w:r>
        <w:rPr>
          <w:rFonts w:hint="eastAsia"/>
          <w:b/>
          <w:color w:val="auto"/>
          <w:sz w:val="28"/>
          <w:szCs w:val="28"/>
          <w:lang w:eastAsia="zh-CN"/>
        </w:rPr>
        <w:t>十</w:t>
      </w:r>
      <w:r>
        <w:rPr>
          <w:rFonts w:hint="eastAsia"/>
          <w:b/>
          <w:color w:val="auto"/>
          <w:sz w:val="28"/>
          <w:szCs w:val="28"/>
        </w:rPr>
        <w:t>、踏勘现场</w:t>
      </w:r>
    </w:p>
    <w:p>
      <w:pPr>
        <w:ind w:firstLine="551" w:firstLineChars="196"/>
        <w:rPr>
          <w:rFonts w:hint="eastAsia"/>
          <w:b/>
          <w:color w:val="auto"/>
          <w:sz w:val="28"/>
          <w:szCs w:val="28"/>
        </w:rPr>
      </w:pPr>
      <w:r>
        <w:rPr>
          <w:rFonts w:hint="eastAsia"/>
          <w:b/>
          <w:color w:val="auto"/>
          <w:sz w:val="28"/>
          <w:szCs w:val="28"/>
        </w:rPr>
        <w:t>投标人收到《</w:t>
      </w:r>
      <w:r>
        <w:rPr>
          <w:rFonts w:hint="eastAsia"/>
          <w:b/>
          <w:color w:val="auto"/>
          <w:sz w:val="28"/>
          <w:szCs w:val="28"/>
          <w:lang w:eastAsia="zh-CN"/>
        </w:rPr>
        <w:t>竞</w:t>
      </w:r>
      <w:r>
        <w:rPr>
          <w:rFonts w:hint="eastAsia"/>
          <w:b/>
          <w:color w:val="auto"/>
          <w:sz w:val="28"/>
          <w:szCs w:val="28"/>
        </w:rPr>
        <w:t>标文件》后，若有需要，可自行踏勘项目现场。投标人自身应对勘察中获取的现场资料负责。不管投标人是否勘察过现场，均被认为在递交投标文件之前已勘察现场，对本项目的风险和义务十分了解，并在其投标文件中充分考虑了现场和环境条件。</w:t>
      </w:r>
    </w:p>
    <w:p>
      <w:pPr>
        <w:rPr>
          <w:b/>
          <w:color w:val="auto"/>
          <w:sz w:val="28"/>
          <w:szCs w:val="28"/>
        </w:rPr>
      </w:pPr>
      <w:r>
        <w:rPr>
          <w:rFonts w:hint="eastAsia"/>
          <w:b/>
          <w:color w:val="auto"/>
          <w:sz w:val="28"/>
          <w:szCs w:val="28"/>
          <w:lang w:eastAsia="zh-CN"/>
        </w:rPr>
        <w:t>十一</w:t>
      </w:r>
      <w:r>
        <w:rPr>
          <w:rFonts w:hint="eastAsia"/>
          <w:b/>
          <w:color w:val="auto"/>
          <w:sz w:val="28"/>
          <w:szCs w:val="28"/>
        </w:rPr>
        <w:t>、其他</w:t>
      </w:r>
    </w:p>
    <w:p>
      <w:pPr>
        <w:ind w:firstLine="275" w:firstLineChars="98"/>
        <w:rPr>
          <w:b/>
          <w:color w:val="auto"/>
          <w:sz w:val="28"/>
          <w:szCs w:val="28"/>
        </w:rPr>
      </w:pPr>
      <w:r>
        <w:rPr>
          <w:rFonts w:hint="eastAsia"/>
          <w:b/>
          <w:color w:val="auto"/>
          <w:sz w:val="28"/>
          <w:szCs w:val="28"/>
        </w:rPr>
        <w:t>（一）</w:t>
      </w:r>
      <w:r>
        <w:rPr>
          <w:rFonts w:hint="eastAsia"/>
          <w:b/>
          <w:color w:val="auto"/>
          <w:sz w:val="28"/>
          <w:szCs w:val="28"/>
          <w:lang w:eastAsia="zh-CN"/>
        </w:rPr>
        <w:t>投标人</w:t>
      </w:r>
      <w:r>
        <w:rPr>
          <w:rFonts w:hint="eastAsia"/>
          <w:b/>
          <w:color w:val="auto"/>
          <w:sz w:val="28"/>
          <w:szCs w:val="28"/>
        </w:rPr>
        <w:t>必须在响应文件中对以上条款和服务承诺明确列出，承诺内容必须达到本篇及询价其他条款的要求。</w:t>
      </w:r>
    </w:p>
    <w:p>
      <w:pPr>
        <w:ind w:firstLine="275" w:firstLineChars="98"/>
        <w:rPr>
          <w:b/>
          <w:color w:val="auto"/>
          <w:sz w:val="28"/>
          <w:szCs w:val="28"/>
        </w:rPr>
      </w:pPr>
      <w:r>
        <w:rPr>
          <w:rFonts w:hint="eastAsia"/>
          <w:b/>
          <w:color w:val="auto"/>
          <w:sz w:val="28"/>
          <w:szCs w:val="28"/>
        </w:rPr>
        <w:t>（二）</w:t>
      </w:r>
      <w:r>
        <w:rPr>
          <w:rFonts w:hint="eastAsia"/>
          <w:b/>
          <w:color w:val="auto"/>
          <w:sz w:val="28"/>
          <w:szCs w:val="28"/>
          <w:lang w:eastAsia="zh-CN"/>
        </w:rPr>
        <w:t>投标人</w:t>
      </w:r>
      <w:r>
        <w:rPr>
          <w:rFonts w:hint="eastAsia"/>
          <w:b/>
          <w:color w:val="auto"/>
          <w:sz w:val="28"/>
          <w:szCs w:val="28"/>
        </w:rPr>
        <w:t>须提供类似业绩合同。</w:t>
      </w:r>
    </w:p>
    <w:p>
      <w:pPr>
        <w:ind w:firstLine="275" w:firstLineChars="98"/>
        <w:rPr>
          <w:rFonts w:hint="eastAsia"/>
          <w:b/>
          <w:color w:val="auto"/>
          <w:sz w:val="28"/>
          <w:szCs w:val="28"/>
        </w:rPr>
      </w:pPr>
      <w:r>
        <w:rPr>
          <w:rFonts w:hint="eastAsia"/>
          <w:b/>
          <w:color w:val="auto"/>
          <w:sz w:val="28"/>
          <w:szCs w:val="28"/>
        </w:rPr>
        <w:t>（三）其他未尽事宜由供需双方在采购合同中详细约定。</w:t>
      </w:r>
    </w:p>
    <w:p>
      <w:pPr>
        <w:ind w:firstLine="275" w:firstLineChars="98"/>
        <w:rPr>
          <w:rFonts w:hint="eastAsia"/>
          <w:b/>
          <w:color w:val="auto"/>
          <w:sz w:val="28"/>
          <w:szCs w:val="28"/>
        </w:rPr>
      </w:pPr>
      <w:r>
        <w:rPr>
          <w:rFonts w:hint="eastAsia"/>
          <w:b/>
          <w:color w:val="auto"/>
          <w:sz w:val="28"/>
          <w:szCs w:val="28"/>
        </w:rPr>
        <w:t>（</w:t>
      </w:r>
      <w:r>
        <w:rPr>
          <w:rFonts w:hint="eastAsia"/>
          <w:b/>
          <w:color w:val="auto"/>
          <w:sz w:val="28"/>
          <w:szCs w:val="28"/>
          <w:lang w:eastAsia="zh-CN"/>
        </w:rPr>
        <w:t>四</w:t>
      </w:r>
      <w:r>
        <w:rPr>
          <w:rFonts w:hint="eastAsia"/>
          <w:b/>
          <w:color w:val="auto"/>
          <w:sz w:val="28"/>
          <w:szCs w:val="28"/>
        </w:rPr>
        <w:t>）</w:t>
      </w:r>
      <w:r>
        <w:rPr>
          <w:rFonts w:hint="eastAsia"/>
          <w:b/>
          <w:color w:val="auto"/>
          <w:sz w:val="28"/>
          <w:szCs w:val="28"/>
          <w:lang w:val="en-US" w:eastAsia="zh-CN"/>
        </w:rPr>
        <w:t>在合同期内成交供应商不得擅自将合同转包或分包</w:t>
      </w:r>
      <w:r>
        <w:rPr>
          <w:rFonts w:hint="eastAsia"/>
          <w:b/>
          <w:color w:val="auto"/>
          <w:sz w:val="28"/>
          <w:szCs w:val="28"/>
        </w:rPr>
        <w:t>。</w:t>
      </w:r>
    </w:p>
    <w:p>
      <w:pPr>
        <w:ind w:firstLine="281" w:firstLineChars="100"/>
        <w:rPr>
          <w:rFonts w:hint="eastAsia"/>
          <w:b/>
          <w:color w:val="auto"/>
          <w:sz w:val="28"/>
          <w:szCs w:val="28"/>
          <w:lang w:eastAsia="zh-CN"/>
        </w:rPr>
      </w:pPr>
      <w:r>
        <w:rPr>
          <w:rFonts w:hint="eastAsia"/>
          <w:b/>
          <w:color w:val="auto"/>
          <w:sz w:val="28"/>
          <w:szCs w:val="28"/>
        </w:rPr>
        <w:t>（</w:t>
      </w:r>
      <w:r>
        <w:rPr>
          <w:rFonts w:hint="eastAsia"/>
          <w:b/>
          <w:color w:val="auto"/>
          <w:sz w:val="28"/>
          <w:szCs w:val="28"/>
          <w:lang w:eastAsia="zh-CN"/>
        </w:rPr>
        <w:t>五</w:t>
      </w:r>
      <w:r>
        <w:rPr>
          <w:rFonts w:hint="eastAsia"/>
          <w:b/>
          <w:color w:val="auto"/>
          <w:sz w:val="28"/>
          <w:szCs w:val="28"/>
        </w:rPr>
        <w:t>）</w:t>
      </w:r>
      <w:r>
        <w:rPr>
          <w:rFonts w:hint="eastAsia"/>
          <w:b/>
          <w:color w:val="auto"/>
          <w:sz w:val="28"/>
          <w:szCs w:val="28"/>
          <w:lang w:eastAsia="zh-CN"/>
        </w:rPr>
        <w:t>投标人须提供对设备的操作培训，使相关使用人员能够正常操作相关设备。</w:t>
      </w:r>
    </w:p>
    <w:p>
      <w:pPr>
        <w:ind w:firstLine="281" w:firstLineChars="100"/>
        <w:rPr>
          <w:rFonts w:hint="eastAsia"/>
          <w:b/>
          <w:color w:val="auto"/>
          <w:sz w:val="28"/>
          <w:szCs w:val="28"/>
          <w:lang w:val="en-US" w:eastAsia="zh-CN"/>
        </w:rPr>
      </w:pPr>
      <w:r>
        <w:rPr>
          <w:rFonts w:hint="eastAsia"/>
          <w:b/>
          <w:color w:val="auto"/>
          <w:sz w:val="28"/>
          <w:szCs w:val="28"/>
          <w:lang w:val="en-US" w:eastAsia="zh-CN"/>
        </w:rPr>
        <w:t>（六）</w:t>
      </w:r>
      <w:r>
        <w:rPr>
          <w:rFonts w:hint="eastAsia"/>
          <w:b/>
          <w:color w:val="auto"/>
          <w:sz w:val="28"/>
          <w:szCs w:val="28"/>
          <w:lang w:eastAsia="zh-CN"/>
        </w:rPr>
        <w:t>投标人投标价格须含所有维保需要的设备、材料、清洗剂、药剂等。</w:t>
      </w:r>
      <w:bookmarkStart w:id="2" w:name="_GoBack"/>
      <w:bookmarkEnd w:id="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E0212"/>
    <w:multiLevelType w:val="multilevel"/>
    <w:tmpl w:val="3C1E02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72520"/>
    <w:rsid w:val="0001592C"/>
    <w:rsid w:val="0004133E"/>
    <w:rsid w:val="0012035C"/>
    <w:rsid w:val="00136418"/>
    <w:rsid w:val="001A65FF"/>
    <w:rsid w:val="001E60AB"/>
    <w:rsid w:val="00231F0E"/>
    <w:rsid w:val="00243C5E"/>
    <w:rsid w:val="00260D96"/>
    <w:rsid w:val="003F210F"/>
    <w:rsid w:val="00433070"/>
    <w:rsid w:val="004B0803"/>
    <w:rsid w:val="004C6004"/>
    <w:rsid w:val="004F5E42"/>
    <w:rsid w:val="00536219"/>
    <w:rsid w:val="00574E5D"/>
    <w:rsid w:val="00585F39"/>
    <w:rsid w:val="00590F3B"/>
    <w:rsid w:val="00621B35"/>
    <w:rsid w:val="00646F38"/>
    <w:rsid w:val="00692BAC"/>
    <w:rsid w:val="00713550"/>
    <w:rsid w:val="0074644D"/>
    <w:rsid w:val="007776CC"/>
    <w:rsid w:val="007A401D"/>
    <w:rsid w:val="00872520"/>
    <w:rsid w:val="00892609"/>
    <w:rsid w:val="00895E3E"/>
    <w:rsid w:val="008E341D"/>
    <w:rsid w:val="009902B0"/>
    <w:rsid w:val="00A906C9"/>
    <w:rsid w:val="00BE754E"/>
    <w:rsid w:val="00C07E32"/>
    <w:rsid w:val="00C11DA4"/>
    <w:rsid w:val="00C912A8"/>
    <w:rsid w:val="00D02364"/>
    <w:rsid w:val="00D15B95"/>
    <w:rsid w:val="00D73E4D"/>
    <w:rsid w:val="00DB6D4F"/>
    <w:rsid w:val="00EF354C"/>
    <w:rsid w:val="00F21DC0"/>
    <w:rsid w:val="00F55AE0"/>
    <w:rsid w:val="00FA42F4"/>
    <w:rsid w:val="04BB6D6E"/>
    <w:rsid w:val="05EB33E6"/>
    <w:rsid w:val="08390C48"/>
    <w:rsid w:val="08CB620C"/>
    <w:rsid w:val="0E0973CF"/>
    <w:rsid w:val="175843C4"/>
    <w:rsid w:val="17FF590F"/>
    <w:rsid w:val="18533C75"/>
    <w:rsid w:val="1E9E3B5A"/>
    <w:rsid w:val="2EAC4632"/>
    <w:rsid w:val="329F39F1"/>
    <w:rsid w:val="385059CC"/>
    <w:rsid w:val="39041233"/>
    <w:rsid w:val="39465201"/>
    <w:rsid w:val="3B3C088E"/>
    <w:rsid w:val="3B8121B6"/>
    <w:rsid w:val="3BE93650"/>
    <w:rsid w:val="3E5B7AE0"/>
    <w:rsid w:val="3E714E0F"/>
    <w:rsid w:val="3ED47755"/>
    <w:rsid w:val="3F524F5B"/>
    <w:rsid w:val="415F16CA"/>
    <w:rsid w:val="43DD5164"/>
    <w:rsid w:val="47645042"/>
    <w:rsid w:val="4E3231B8"/>
    <w:rsid w:val="4F6A1FCA"/>
    <w:rsid w:val="51D35213"/>
    <w:rsid w:val="523A1469"/>
    <w:rsid w:val="535639CF"/>
    <w:rsid w:val="540E313E"/>
    <w:rsid w:val="5AA40679"/>
    <w:rsid w:val="5BBC1F06"/>
    <w:rsid w:val="61254FFC"/>
    <w:rsid w:val="634845C7"/>
    <w:rsid w:val="662C27A1"/>
    <w:rsid w:val="6657038C"/>
    <w:rsid w:val="6ADF341D"/>
    <w:rsid w:val="718C3249"/>
    <w:rsid w:val="732722F4"/>
    <w:rsid w:val="75C7556E"/>
    <w:rsid w:val="76181A33"/>
    <w:rsid w:val="77227548"/>
    <w:rsid w:val="7C505CD7"/>
    <w:rsid w:val="7E0471E8"/>
    <w:rsid w:val="7E1F1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qFormat/>
    <w:uiPriority w:val="0"/>
    <w:pPr>
      <w:keepNext/>
      <w:keepLines/>
      <w:tabs>
        <w:tab w:val="left" w:pos="425"/>
      </w:tabs>
      <w:spacing w:before="340" w:after="330" w:line="576" w:lineRule="auto"/>
      <w:outlineLvl w:val="0"/>
    </w:pPr>
    <w:rPr>
      <w:b/>
      <w:kern w:val="44"/>
      <w:sz w:val="44"/>
    </w:rPr>
  </w:style>
  <w:style w:type="paragraph" w:styleId="3">
    <w:name w:val="heading 2"/>
    <w:basedOn w:val="1"/>
    <w:next w:val="1"/>
    <w:link w:val="17"/>
    <w:qFormat/>
    <w:uiPriority w:val="0"/>
    <w:pPr>
      <w:keepNext/>
      <w:keepLines/>
      <w:tabs>
        <w:tab w:val="left" w:pos="538"/>
      </w:tabs>
      <w:spacing w:before="260" w:after="260" w:line="413" w:lineRule="auto"/>
      <w:outlineLvl w:val="1"/>
    </w:pPr>
    <w:rPr>
      <w:rFonts w:ascii="Arial" w:hAnsi="Arial" w:eastAsia="黑体"/>
      <w:b/>
      <w:sz w:val="32"/>
    </w:rPr>
  </w:style>
  <w:style w:type="paragraph" w:styleId="4">
    <w:name w:val="heading 3"/>
    <w:basedOn w:val="1"/>
    <w:next w:val="1"/>
    <w:link w:val="18"/>
    <w:qFormat/>
    <w:uiPriority w:val="0"/>
    <w:pPr>
      <w:keepNext/>
      <w:keepLines/>
      <w:tabs>
        <w:tab w:val="left" w:pos="1418"/>
      </w:tabs>
      <w:spacing w:before="260" w:after="260" w:line="413" w:lineRule="auto"/>
      <w:outlineLvl w:val="2"/>
    </w:pPr>
    <w:rPr>
      <w:b/>
      <w:sz w:val="32"/>
    </w:rPr>
  </w:style>
  <w:style w:type="paragraph" w:styleId="5">
    <w:name w:val="heading 4"/>
    <w:basedOn w:val="1"/>
    <w:next w:val="1"/>
    <w:link w:val="19"/>
    <w:qFormat/>
    <w:uiPriority w:val="0"/>
    <w:pPr>
      <w:keepNext/>
      <w:keepLines/>
      <w:tabs>
        <w:tab w:val="left" w:pos="1984"/>
      </w:tabs>
      <w:spacing w:before="280" w:after="290" w:line="372" w:lineRule="auto"/>
      <w:outlineLvl w:val="3"/>
    </w:pPr>
    <w:rPr>
      <w:rFonts w:ascii="Arial" w:hAnsi="Arial" w:eastAsia="黑体"/>
      <w:b/>
      <w:sz w:val="28"/>
    </w:rPr>
  </w:style>
  <w:style w:type="paragraph" w:styleId="6">
    <w:name w:val="heading 5"/>
    <w:basedOn w:val="1"/>
    <w:next w:val="1"/>
    <w:link w:val="20"/>
    <w:qFormat/>
    <w:uiPriority w:val="0"/>
    <w:pPr>
      <w:keepNext/>
      <w:keepLines/>
      <w:tabs>
        <w:tab w:val="left" w:pos="2551"/>
      </w:tabs>
      <w:spacing w:before="280" w:after="290" w:line="372" w:lineRule="auto"/>
      <w:outlineLvl w:val="4"/>
    </w:pPr>
    <w:rPr>
      <w:b/>
      <w:sz w:val="28"/>
    </w:rPr>
  </w:style>
  <w:style w:type="paragraph" w:styleId="7">
    <w:name w:val="heading 6"/>
    <w:basedOn w:val="1"/>
    <w:next w:val="1"/>
    <w:link w:val="21"/>
    <w:qFormat/>
    <w:uiPriority w:val="0"/>
    <w:pPr>
      <w:keepNext/>
      <w:keepLines/>
      <w:tabs>
        <w:tab w:val="left" w:pos="3260"/>
      </w:tabs>
      <w:spacing w:before="240" w:after="64" w:line="317" w:lineRule="auto"/>
      <w:outlineLvl w:val="5"/>
    </w:pPr>
    <w:rPr>
      <w:rFonts w:ascii="Arial" w:hAnsi="Arial" w:eastAsia="黑体"/>
      <w:b/>
      <w:sz w:val="24"/>
    </w:rPr>
  </w:style>
  <w:style w:type="paragraph" w:styleId="8">
    <w:name w:val="heading 7"/>
    <w:basedOn w:val="1"/>
    <w:next w:val="1"/>
    <w:link w:val="22"/>
    <w:qFormat/>
    <w:uiPriority w:val="0"/>
    <w:pPr>
      <w:keepNext/>
      <w:keepLines/>
      <w:tabs>
        <w:tab w:val="left" w:pos="3827"/>
      </w:tabs>
      <w:spacing w:before="240" w:after="64" w:line="317" w:lineRule="auto"/>
      <w:outlineLvl w:val="6"/>
    </w:pPr>
    <w:rPr>
      <w:b/>
      <w:sz w:val="24"/>
    </w:rPr>
  </w:style>
  <w:style w:type="paragraph" w:styleId="9">
    <w:name w:val="heading 8"/>
    <w:basedOn w:val="1"/>
    <w:next w:val="1"/>
    <w:link w:val="23"/>
    <w:qFormat/>
    <w:uiPriority w:val="0"/>
    <w:pPr>
      <w:keepNext/>
      <w:keepLines/>
      <w:tabs>
        <w:tab w:val="left" w:pos="4394"/>
      </w:tabs>
      <w:spacing w:before="240" w:after="64" w:line="317" w:lineRule="auto"/>
      <w:outlineLvl w:val="7"/>
    </w:pPr>
    <w:rPr>
      <w:rFonts w:ascii="Arial" w:hAnsi="Arial" w:eastAsia="黑体"/>
      <w:sz w:val="24"/>
    </w:rPr>
  </w:style>
  <w:style w:type="paragraph" w:styleId="10">
    <w:name w:val="heading 9"/>
    <w:basedOn w:val="1"/>
    <w:next w:val="1"/>
    <w:link w:val="24"/>
    <w:qFormat/>
    <w:uiPriority w:val="0"/>
    <w:pPr>
      <w:keepNext/>
      <w:keepLines/>
      <w:tabs>
        <w:tab w:val="left" w:pos="5102"/>
      </w:tabs>
      <w:spacing w:before="240" w:after="64" w:line="317" w:lineRule="auto"/>
      <w:outlineLvl w:val="8"/>
    </w:pPr>
    <w:rPr>
      <w:rFonts w:ascii="Arial" w:hAnsi="Arial" w:eastAsia="黑体"/>
    </w:rPr>
  </w:style>
  <w:style w:type="character" w:default="1" w:styleId="13">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11">
    <w:name w:val="footer"/>
    <w:basedOn w:val="1"/>
    <w:link w:val="26"/>
    <w:semiHidden/>
    <w:unhideWhenUsed/>
    <w:qFormat/>
    <w:uiPriority w:val="99"/>
    <w:pPr>
      <w:tabs>
        <w:tab w:val="center" w:pos="4153"/>
        <w:tab w:val="right" w:pos="8306"/>
      </w:tabs>
      <w:snapToGrid w:val="0"/>
      <w:jc w:val="left"/>
    </w:pPr>
    <w:rPr>
      <w:sz w:val="18"/>
      <w:szCs w:val="18"/>
    </w:rPr>
  </w:style>
  <w:style w:type="paragraph" w:styleId="12">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4">
    <w:name w:val="Strong"/>
    <w:basedOn w:val="13"/>
    <w:qFormat/>
    <w:uiPriority w:val="0"/>
    <w:rPr>
      <w:b/>
      <w:bCs/>
    </w:rPr>
  </w:style>
  <w:style w:type="character" w:customStyle="1" w:styleId="16">
    <w:name w:val="标题 1 Char"/>
    <w:basedOn w:val="13"/>
    <w:link w:val="2"/>
    <w:qFormat/>
    <w:uiPriority w:val="0"/>
    <w:rPr>
      <w:b/>
      <w:kern w:val="44"/>
      <w:sz w:val="44"/>
    </w:rPr>
  </w:style>
  <w:style w:type="character" w:customStyle="1" w:styleId="17">
    <w:name w:val="标题 2 Char"/>
    <w:basedOn w:val="13"/>
    <w:link w:val="3"/>
    <w:qFormat/>
    <w:uiPriority w:val="0"/>
    <w:rPr>
      <w:rFonts w:ascii="Arial" w:hAnsi="Arial" w:eastAsia="黑体"/>
      <w:b/>
      <w:kern w:val="2"/>
      <w:sz w:val="32"/>
    </w:rPr>
  </w:style>
  <w:style w:type="character" w:customStyle="1" w:styleId="18">
    <w:name w:val="标题 3 Char"/>
    <w:basedOn w:val="13"/>
    <w:link w:val="4"/>
    <w:qFormat/>
    <w:uiPriority w:val="0"/>
    <w:rPr>
      <w:rFonts w:eastAsia="宋体"/>
      <w:b/>
      <w:kern w:val="2"/>
      <w:sz w:val="32"/>
      <w:lang w:val="en-US" w:eastAsia="zh-CN" w:bidi="ar-SA"/>
    </w:rPr>
  </w:style>
  <w:style w:type="character" w:customStyle="1" w:styleId="19">
    <w:name w:val="标题 4 Char"/>
    <w:basedOn w:val="13"/>
    <w:link w:val="5"/>
    <w:qFormat/>
    <w:uiPriority w:val="0"/>
    <w:rPr>
      <w:rFonts w:ascii="Arial" w:hAnsi="Arial" w:eastAsia="黑体"/>
      <w:b/>
      <w:kern w:val="2"/>
      <w:sz w:val="28"/>
      <w:lang w:val="en-US" w:eastAsia="zh-CN" w:bidi="ar-SA"/>
    </w:rPr>
  </w:style>
  <w:style w:type="character" w:customStyle="1" w:styleId="20">
    <w:name w:val="标题 5 Char"/>
    <w:basedOn w:val="13"/>
    <w:link w:val="6"/>
    <w:qFormat/>
    <w:uiPriority w:val="0"/>
    <w:rPr>
      <w:b/>
      <w:kern w:val="2"/>
      <w:sz w:val="28"/>
    </w:rPr>
  </w:style>
  <w:style w:type="character" w:customStyle="1" w:styleId="21">
    <w:name w:val="标题 6 Char"/>
    <w:basedOn w:val="13"/>
    <w:link w:val="7"/>
    <w:qFormat/>
    <w:uiPriority w:val="0"/>
    <w:rPr>
      <w:rFonts w:ascii="Arial" w:hAnsi="Arial" w:eastAsia="黑体"/>
      <w:b/>
      <w:kern w:val="2"/>
      <w:sz w:val="24"/>
    </w:rPr>
  </w:style>
  <w:style w:type="character" w:customStyle="1" w:styleId="22">
    <w:name w:val="标题 7 Char"/>
    <w:basedOn w:val="13"/>
    <w:link w:val="8"/>
    <w:qFormat/>
    <w:uiPriority w:val="0"/>
    <w:rPr>
      <w:b/>
      <w:kern w:val="2"/>
      <w:sz w:val="24"/>
    </w:rPr>
  </w:style>
  <w:style w:type="character" w:customStyle="1" w:styleId="23">
    <w:name w:val="标题 8 Char"/>
    <w:basedOn w:val="13"/>
    <w:link w:val="9"/>
    <w:qFormat/>
    <w:uiPriority w:val="0"/>
    <w:rPr>
      <w:rFonts w:ascii="Arial" w:hAnsi="Arial" w:eastAsia="黑体"/>
      <w:kern w:val="2"/>
      <w:sz w:val="24"/>
    </w:rPr>
  </w:style>
  <w:style w:type="character" w:customStyle="1" w:styleId="24">
    <w:name w:val="标题 9 Char"/>
    <w:basedOn w:val="13"/>
    <w:link w:val="10"/>
    <w:qFormat/>
    <w:uiPriority w:val="0"/>
    <w:rPr>
      <w:rFonts w:ascii="Arial" w:hAnsi="Arial" w:eastAsia="黑体"/>
      <w:kern w:val="2"/>
      <w:sz w:val="21"/>
    </w:rPr>
  </w:style>
  <w:style w:type="character" w:customStyle="1" w:styleId="25">
    <w:name w:val="页眉 Char"/>
    <w:basedOn w:val="13"/>
    <w:link w:val="12"/>
    <w:semiHidden/>
    <w:qFormat/>
    <w:uiPriority w:val="99"/>
    <w:rPr>
      <w:kern w:val="2"/>
      <w:sz w:val="18"/>
      <w:szCs w:val="18"/>
    </w:rPr>
  </w:style>
  <w:style w:type="character" w:customStyle="1" w:styleId="26">
    <w:name w:val="页脚 Char"/>
    <w:basedOn w:val="13"/>
    <w:link w:val="11"/>
    <w:semiHidden/>
    <w:qFormat/>
    <w:uiPriority w:val="99"/>
    <w:rPr>
      <w:kern w:val="2"/>
      <w:sz w:val="18"/>
      <w:szCs w:val="18"/>
    </w:rPr>
  </w:style>
  <w:style w:type="paragraph" w:styleId="2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460</Words>
  <Characters>2627</Characters>
  <Lines>21</Lines>
  <Paragraphs>6</Paragraphs>
  <TotalTime>2</TotalTime>
  <ScaleCrop>false</ScaleCrop>
  <LinksUpToDate>false</LinksUpToDate>
  <CharactersWithSpaces>3081</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2019-02-28T03:55:00Z</dcterms:created>
  <dc:creator>admin</dc:creator>
  <cp:lastModifiedBy>a a</cp:lastModifiedBy>
  <dcterms:modified xsi:type="dcterms:W3CDTF">2019-03-18T08:55:09Z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