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color w:val="000000"/>
          <w:sz w:val="22"/>
        </w:rPr>
      </w:pPr>
    </w:p>
    <w:p>
      <w:pPr>
        <w:jc w:val="right"/>
        <w:rPr>
          <w:rFonts w:ascii="宋体"/>
          <w:color w:val="000000"/>
          <w:sz w:val="22"/>
          <w:u w:val="single"/>
        </w:rPr>
      </w:pPr>
    </w:p>
    <w:p>
      <w:pPr>
        <w:jc w:val="center"/>
        <w:rPr>
          <w:rFonts w:ascii="宋体" w:hAnsi="宋体"/>
          <w:color w:val="000000"/>
          <w:sz w:val="44"/>
          <w:szCs w:val="44"/>
        </w:rPr>
      </w:pPr>
    </w:p>
    <w:p>
      <w:pPr>
        <w:jc w:val="center"/>
        <w:rPr>
          <w:rFonts w:ascii="仿宋_GB2312" w:hAnsi="仿宋_GB2312"/>
          <w:snapToGrid w:val="0"/>
          <w:sz w:val="36"/>
          <w:szCs w:val="36"/>
        </w:rPr>
      </w:pPr>
      <w:r>
        <w:rPr>
          <w:rFonts w:hint="eastAsia" w:ascii="仿宋_GB2312" w:hAnsi="仿宋_GB2312"/>
          <w:snapToGrid w:val="0"/>
          <w:sz w:val="36"/>
          <w:szCs w:val="36"/>
        </w:rPr>
        <w:t>重庆医科大学附属第二医院江南院区</w:t>
      </w:r>
    </w:p>
    <w:p>
      <w:pPr>
        <w:jc w:val="center"/>
        <w:rPr>
          <w:rFonts w:ascii="宋体" w:hAnsi="宋体" w:cs="宋体"/>
          <w:kern w:val="0"/>
          <w:sz w:val="24"/>
        </w:rPr>
      </w:pPr>
      <w:r>
        <w:rPr>
          <w:rFonts w:ascii="仿宋_GB2312" w:hAnsi="仿宋_GB2312"/>
          <w:snapToGrid w:val="0"/>
          <w:sz w:val="36"/>
          <w:szCs w:val="36"/>
        </w:rPr>
        <w:t>部分科室二次装修</w:t>
      </w:r>
      <w:r>
        <w:rPr>
          <w:rFonts w:hint="eastAsia" w:ascii="仿宋_GB2312" w:hAnsi="仿宋_GB2312"/>
          <w:snapToGrid w:val="0"/>
          <w:sz w:val="36"/>
          <w:szCs w:val="36"/>
        </w:rPr>
        <w:t>清单及最高限价编制</w:t>
      </w:r>
    </w:p>
    <w:p>
      <w:pPr>
        <w:wordWrap w:val="0"/>
        <w:autoSpaceDE w:val="0"/>
        <w:autoSpaceDN w:val="0"/>
        <w:adjustRightInd w:val="0"/>
        <w:spacing w:before="120" w:after="120" w:line="720" w:lineRule="atLeast"/>
        <w:jc w:val="center"/>
        <w:rPr>
          <w:rFonts w:ascii="仿宋_GB2312" w:hAnsi="仿宋_GB2312"/>
          <w:snapToGrid w:val="0"/>
          <w:sz w:val="36"/>
          <w:szCs w:val="36"/>
        </w:rPr>
      </w:pPr>
    </w:p>
    <w:p>
      <w:pPr>
        <w:wordWrap w:val="0"/>
        <w:autoSpaceDE w:val="0"/>
        <w:autoSpaceDN w:val="0"/>
        <w:adjustRightInd w:val="0"/>
        <w:spacing w:before="120" w:after="120" w:line="720" w:lineRule="atLeast"/>
        <w:jc w:val="center"/>
        <w:rPr>
          <w:rFonts w:ascii="仿宋_GB2312" w:hAnsi="仿宋_GB2312"/>
          <w:snapToGrid w:val="0"/>
          <w:sz w:val="36"/>
          <w:szCs w:val="36"/>
        </w:rPr>
      </w:pPr>
    </w:p>
    <w:p>
      <w:pPr>
        <w:wordWrap w:val="0"/>
        <w:autoSpaceDE w:val="0"/>
        <w:autoSpaceDN w:val="0"/>
        <w:adjustRightInd w:val="0"/>
        <w:spacing w:before="120" w:after="120" w:line="720" w:lineRule="atLeast"/>
        <w:jc w:val="center"/>
        <w:rPr>
          <w:rFonts w:ascii="仿宋_GB2312" w:hAnsi="仿宋_GB2312"/>
          <w:snapToGrid w:val="0"/>
          <w:sz w:val="36"/>
          <w:szCs w:val="36"/>
        </w:rPr>
      </w:pPr>
    </w:p>
    <w:p>
      <w:pPr>
        <w:wordWrap w:val="0"/>
        <w:autoSpaceDE w:val="0"/>
        <w:autoSpaceDN w:val="0"/>
        <w:adjustRightInd w:val="0"/>
        <w:spacing w:before="120" w:after="120" w:line="720" w:lineRule="atLeast"/>
        <w:jc w:val="center"/>
        <w:rPr>
          <w:rFonts w:ascii="仿宋_GB2312" w:hAnsi="仿宋_GB2312"/>
          <w:snapToGrid w:val="0"/>
          <w:sz w:val="36"/>
          <w:szCs w:val="36"/>
        </w:rPr>
      </w:pPr>
    </w:p>
    <w:p>
      <w:pPr>
        <w:wordWrap w:val="0"/>
        <w:autoSpaceDE w:val="0"/>
        <w:autoSpaceDN w:val="0"/>
        <w:adjustRightInd w:val="0"/>
        <w:spacing w:before="120" w:after="120" w:line="720" w:lineRule="atLeast"/>
        <w:jc w:val="center"/>
        <w:rPr>
          <w:rFonts w:ascii="仿宋_GB2312" w:hAnsi="仿宋_GB2312"/>
          <w:b/>
          <w:snapToGrid w:val="0"/>
          <w:sz w:val="72"/>
          <w:szCs w:val="72"/>
        </w:rPr>
      </w:pPr>
      <w:r>
        <w:rPr>
          <w:rFonts w:ascii="仿宋_GB2312" w:hAnsi="仿宋_GB2312"/>
          <w:b/>
          <w:snapToGrid w:val="0"/>
          <w:sz w:val="72"/>
          <w:szCs w:val="72"/>
        </w:rPr>
        <w:t>竞争性谈判文件</w:t>
      </w:r>
    </w:p>
    <w:p>
      <w:pPr>
        <w:wordWrap w:val="0"/>
        <w:autoSpaceDE w:val="0"/>
        <w:autoSpaceDN w:val="0"/>
        <w:adjustRightInd w:val="0"/>
        <w:spacing w:line="560" w:lineRule="atLeast"/>
        <w:jc w:val="center"/>
        <w:rPr>
          <w:rFonts w:eastAsia="彩虹小标宋"/>
          <w:b/>
          <w:snapToGrid w:val="0"/>
          <w:color w:val="000000"/>
          <w:sz w:val="36"/>
          <w:szCs w:val="48"/>
        </w:rPr>
      </w:pPr>
    </w:p>
    <w:p>
      <w:pPr>
        <w:wordWrap w:val="0"/>
        <w:autoSpaceDE w:val="0"/>
        <w:autoSpaceDN w:val="0"/>
        <w:adjustRightInd w:val="0"/>
        <w:spacing w:line="560" w:lineRule="atLeast"/>
        <w:ind w:firstLine="624"/>
        <w:jc w:val="left"/>
        <w:rPr>
          <w:snapToGrid w:val="0"/>
          <w:color w:val="000000"/>
          <w:sz w:val="32"/>
        </w:rPr>
      </w:pPr>
    </w:p>
    <w:p>
      <w:pPr>
        <w:wordWrap w:val="0"/>
        <w:autoSpaceDE w:val="0"/>
        <w:autoSpaceDN w:val="0"/>
        <w:adjustRightInd w:val="0"/>
        <w:spacing w:line="560" w:lineRule="atLeast"/>
        <w:ind w:firstLine="624"/>
        <w:jc w:val="left"/>
        <w:rPr>
          <w:snapToGrid w:val="0"/>
          <w:color w:val="000000"/>
          <w:sz w:val="32"/>
        </w:rPr>
      </w:pPr>
    </w:p>
    <w:p>
      <w:pPr>
        <w:adjustRightInd w:val="0"/>
        <w:spacing w:line="560" w:lineRule="atLeast"/>
        <w:ind w:firstLine="624"/>
        <w:jc w:val="center"/>
        <w:rPr>
          <w:snapToGrid w:val="0"/>
          <w:color w:val="000000"/>
          <w:sz w:val="44"/>
        </w:rPr>
      </w:pPr>
    </w:p>
    <w:p>
      <w:pPr>
        <w:adjustRightInd w:val="0"/>
        <w:spacing w:line="560" w:lineRule="atLeast"/>
        <w:ind w:firstLine="624"/>
        <w:jc w:val="center"/>
        <w:rPr>
          <w:snapToGrid w:val="0"/>
          <w:color w:val="000000"/>
          <w:sz w:val="44"/>
        </w:rPr>
      </w:pPr>
    </w:p>
    <w:p>
      <w:pPr>
        <w:adjustRightInd w:val="0"/>
        <w:spacing w:line="560" w:lineRule="atLeast"/>
        <w:ind w:firstLine="624"/>
        <w:jc w:val="center"/>
        <w:rPr>
          <w:snapToGrid w:val="0"/>
          <w:color w:val="000000"/>
          <w:sz w:val="44"/>
        </w:rPr>
      </w:pPr>
    </w:p>
    <w:p>
      <w:pPr>
        <w:adjustRightInd w:val="0"/>
        <w:spacing w:line="560" w:lineRule="atLeast"/>
        <w:ind w:firstLine="624"/>
        <w:jc w:val="center"/>
        <w:rPr>
          <w:snapToGrid w:val="0"/>
          <w:color w:val="000000"/>
          <w:sz w:val="44"/>
        </w:rPr>
      </w:pPr>
    </w:p>
    <w:p>
      <w:pPr>
        <w:adjustRightInd w:val="0"/>
        <w:spacing w:line="560" w:lineRule="atLeast"/>
        <w:ind w:firstLine="624"/>
        <w:jc w:val="center"/>
        <w:rPr>
          <w:snapToGrid w:val="0"/>
          <w:color w:val="000000"/>
          <w:sz w:val="36"/>
          <w:szCs w:val="36"/>
        </w:rPr>
      </w:pPr>
      <w:r>
        <w:rPr>
          <w:rFonts w:hint="eastAsia"/>
          <w:snapToGrid w:val="0"/>
          <w:color w:val="000000"/>
          <w:sz w:val="36"/>
          <w:szCs w:val="36"/>
        </w:rPr>
        <w:t>重庆医科大学附属第二医院</w:t>
      </w:r>
      <w:r>
        <w:rPr>
          <w:snapToGrid w:val="0"/>
          <w:color w:val="000000"/>
          <w:sz w:val="36"/>
          <w:szCs w:val="36"/>
        </w:rPr>
        <w:t xml:space="preserve"> </w:t>
      </w:r>
    </w:p>
    <w:p>
      <w:pPr>
        <w:adjustRightInd w:val="0"/>
        <w:spacing w:line="560" w:lineRule="atLeast"/>
        <w:ind w:firstLine="624"/>
        <w:jc w:val="center"/>
        <w:rPr>
          <w:snapToGrid w:val="0"/>
          <w:color w:val="000000"/>
          <w:sz w:val="44"/>
        </w:rPr>
      </w:pPr>
      <w:r>
        <w:rPr>
          <w:rFonts w:hint="eastAsia"/>
          <w:snapToGrid w:val="0"/>
          <w:color w:val="000000"/>
          <w:sz w:val="36"/>
          <w:szCs w:val="36"/>
        </w:rPr>
        <w:t>二〇一九年四月八日</w:t>
      </w:r>
    </w:p>
    <w:p>
      <w:pPr>
        <w:jc w:val="center"/>
        <w:rPr>
          <w:rFonts w:ascii="宋体"/>
          <w:color w:val="000000"/>
          <w:sz w:val="36"/>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936" w:left="1418" w:header="680" w:footer="992" w:gutter="0"/>
          <w:pgNumType w:fmt="numberInDash" w:start="1"/>
          <w:cols w:space="720" w:num="1"/>
          <w:titlePg/>
          <w:docGrid w:linePitch="312" w:charSpace="0"/>
        </w:sectPr>
      </w:pPr>
    </w:p>
    <w:tbl>
      <w:tblPr>
        <w:tblStyle w:val="21"/>
        <w:tblpPr w:leftFromText="180" w:rightFromText="180" w:vertAnchor="text" w:tblpXSpec="center" w:tblpY="1"/>
        <w:tblOverlap w:val="never"/>
        <w:tblW w:w="9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845"/>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855" w:type="dxa"/>
            <w:vAlign w:val="center"/>
          </w:tcPr>
          <w:p>
            <w:pPr>
              <w:pStyle w:val="38"/>
              <w:ind w:firstLine="0"/>
              <w:jc w:val="center"/>
            </w:pPr>
            <w:r>
              <w:rPr>
                <w:rFonts w:hint="eastAsia"/>
              </w:rPr>
              <w:t>项号</w:t>
            </w:r>
          </w:p>
        </w:tc>
        <w:tc>
          <w:tcPr>
            <w:tcW w:w="1845" w:type="dxa"/>
            <w:vAlign w:val="center"/>
          </w:tcPr>
          <w:p>
            <w:pPr>
              <w:pStyle w:val="38"/>
              <w:ind w:firstLine="0"/>
              <w:jc w:val="center"/>
            </w:pPr>
            <w:r>
              <w:rPr>
                <w:rFonts w:hint="eastAsia"/>
              </w:rPr>
              <w:t>内容</w:t>
            </w:r>
          </w:p>
        </w:tc>
        <w:tc>
          <w:tcPr>
            <w:tcW w:w="6948" w:type="dxa"/>
            <w:vAlign w:val="center"/>
          </w:tcPr>
          <w:p>
            <w:pPr>
              <w:pStyle w:val="38"/>
              <w:ind w:firstLine="0"/>
              <w:jc w:val="center"/>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jc w:val="center"/>
        </w:trPr>
        <w:tc>
          <w:tcPr>
            <w:tcW w:w="855" w:type="dxa"/>
            <w:vAlign w:val="center"/>
          </w:tcPr>
          <w:p>
            <w:pPr>
              <w:pStyle w:val="13"/>
              <w:jc w:val="center"/>
            </w:pPr>
            <w:r>
              <w:rPr>
                <w:rFonts w:hint="eastAsia"/>
              </w:rPr>
              <w:t>1</w:t>
            </w:r>
          </w:p>
        </w:tc>
        <w:tc>
          <w:tcPr>
            <w:tcW w:w="1845" w:type="dxa"/>
            <w:vAlign w:val="center"/>
          </w:tcPr>
          <w:p>
            <w:pPr>
              <w:pStyle w:val="13"/>
              <w:jc w:val="center"/>
            </w:pPr>
            <w:r>
              <w:rPr>
                <w:rFonts w:ascii="仿宋_GB2312" w:hAnsi="宋体" w:eastAsia="仿宋_GB2312"/>
                <w:kern w:val="0"/>
              </w:rPr>
              <w:t>项目名称</w:t>
            </w:r>
          </w:p>
        </w:tc>
        <w:tc>
          <w:tcPr>
            <w:tcW w:w="6948" w:type="dxa"/>
            <w:vAlign w:val="center"/>
          </w:tcPr>
          <w:p>
            <w:pPr>
              <w:snapToGrid w:val="0"/>
              <w:spacing w:line="300" w:lineRule="auto"/>
              <w:ind w:right="-20"/>
              <w:rPr>
                <w:rFonts w:ascii="仿宋_GB2312" w:hAnsi="宋体" w:eastAsia="仿宋_GB2312"/>
                <w:kern w:val="0"/>
                <w:sz w:val="24"/>
                <w:szCs w:val="20"/>
              </w:rPr>
            </w:pPr>
            <w:r>
              <w:rPr>
                <w:rFonts w:hint="eastAsia" w:ascii="仿宋_GB2312" w:hAnsi="宋体" w:eastAsia="仿宋_GB2312"/>
                <w:kern w:val="0"/>
                <w:sz w:val="24"/>
                <w:szCs w:val="20"/>
              </w:rPr>
              <w:t>重庆医科大学附属第二医院江南院区部分科室二次装修清单及最高限价编制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38"/>
              <w:ind w:firstLine="0"/>
              <w:jc w:val="center"/>
            </w:pPr>
            <w:r>
              <w:rPr>
                <w:rFonts w:hint="eastAsia"/>
              </w:rPr>
              <w:t>2</w:t>
            </w:r>
          </w:p>
        </w:tc>
        <w:tc>
          <w:tcPr>
            <w:tcW w:w="1845" w:type="dxa"/>
            <w:vAlign w:val="center"/>
          </w:tcPr>
          <w:p>
            <w:pPr>
              <w:pStyle w:val="38"/>
              <w:ind w:firstLine="0"/>
              <w:jc w:val="center"/>
            </w:pPr>
            <w:r>
              <w:rPr>
                <w:rFonts w:hint="eastAsia"/>
              </w:rPr>
              <w:t>项目概况</w:t>
            </w:r>
          </w:p>
        </w:tc>
        <w:tc>
          <w:tcPr>
            <w:tcW w:w="6948" w:type="dxa"/>
            <w:vAlign w:val="center"/>
          </w:tcPr>
          <w:p>
            <w:pPr>
              <w:pStyle w:val="38"/>
              <w:ind w:firstLine="0"/>
            </w:pPr>
            <w:r>
              <w:rPr>
                <w:rFonts w:hint="eastAsia"/>
              </w:rPr>
              <w:t>建设地点：重庆市茶园新城区B区</w:t>
            </w:r>
          </w:p>
          <w:p>
            <w:pPr>
              <w:pStyle w:val="38"/>
              <w:ind w:firstLine="0"/>
            </w:pPr>
            <w:r>
              <w:rPr>
                <w:rFonts w:hint="eastAsia"/>
              </w:rPr>
              <w:t>工程规模：投资约3000万元，建筑面积约17000平方米。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30" w:hRule="atLeast"/>
          <w:jc w:val="center"/>
        </w:trPr>
        <w:tc>
          <w:tcPr>
            <w:tcW w:w="855" w:type="dxa"/>
            <w:vAlign w:val="center"/>
          </w:tcPr>
          <w:p>
            <w:pPr>
              <w:pStyle w:val="38"/>
              <w:ind w:firstLine="0"/>
              <w:jc w:val="center"/>
            </w:pPr>
            <w:r>
              <w:rPr>
                <w:rFonts w:hint="eastAsia"/>
              </w:rPr>
              <w:t>3</w:t>
            </w:r>
          </w:p>
        </w:tc>
        <w:tc>
          <w:tcPr>
            <w:tcW w:w="1845" w:type="dxa"/>
            <w:vAlign w:val="center"/>
          </w:tcPr>
          <w:p>
            <w:pPr>
              <w:pStyle w:val="38"/>
              <w:ind w:firstLine="0"/>
              <w:jc w:val="center"/>
            </w:pPr>
            <w:r>
              <w:rPr>
                <w:rFonts w:hint="eastAsia"/>
              </w:rPr>
              <w:t>编制范围</w:t>
            </w:r>
          </w:p>
        </w:tc>
        <w:tc>
          <w:tcPr>
            <w:tcW w:w="6948" w:type="dxa"/>
            <w:vAlign w:val="center"/>
          </w:tcPr>
          <w:p>
            <w:pPr>
              <w:pStyle w:val="38"/>
              <w:ind w:firstLine="0"/>
            </w:pPr>
            <w:r>
              <w:rPr>
                <w:rFonts w:hint="eastAsia"/>
              </w:rPr>
              <w:t>本项目编制范围为重医附二院江南院区综合楼负一楼、二楼（核医学科）、综合楼门诊3楼（产前诊断实验室）、综合楼门诊4楼（干细胞实验室、一期临床与生殖中心）、综合楼6楼（图书馆、后勤、设备处物质库房）、肝病楼生物治疗室、职工食堂、宽仁药房的二次装修工程及公交车站、停车港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30" w:hRule="atLeast"/>
          <w:jc w:val="center"/>
        </w:trPr>
        <w:tc>
          <w:tcPr>
            <w:tcW w:w="855" w:type="dxa"/>
            <w:vAlign w:val="center"/>
          </w:tcPr>
          <w:p>
            <w:pPr>
              <w:pStyle w:val="38"/>
              <w:ind w:firstLine="0"/>
              <w:jc w:val="center"/>
            </w:pPr>
            <w:r>
              <w:rPr>
                <w:rFonts w:hint="eastAsia"/>
              </w:rPr>
              <w:t>4</w:t>
            </w:r>
          </w:p>
        </w:tc>
        <w:tc>
          <w:tcPr>
            <w:tcW w:w="1845" w:type="dxa"/>
            <w:vAlign w:val="center"/>
          </w:tcPr>
          <w:p>
            <w:pPr>
              <w:pStyle w:val="38"/>
              <w:ind w:firstLine="0"/>
              <w:jc w:val="center"/>
            </w:pPr>
            <w:r>
              <w:rPr>
                <w:rFonts w:hint="eastAsia"/>
              </w:rPr>
              <w:t>编制时间</w:t>
            </w:r>
          </w:p>
        </w:tc>
        <w:tc>
          <w:tcPr>
            <w:tcW w:w="6948" w:type="dxa"/>
            <w:vAlign w:val="center"/>
          </w:tcPr>
          <w:p>
            <w:pPr>
              <w:pStyle w:val="38"/>
              <w:ind w:firstLine="0"/>
              <w:rPr>
                <w:color w:val="auto"/>
              </w:rPr>
            </w:pPr>
            <w:r>
              <w:rPr>
                <w:rFonts w:hint="eastAsia"/>
                <w:b/>
                <w:color w:val="auto"/>
              </w:rPr>
              <w:t>本项目工程量清单编制时间为接到各项图纸后</w:t>
            </w:r>
            <w:r>
              <w:rPr>
                <w:rFonts w:hint="eastAsia"/>
                <w:b/>
                <w:color w:val="auto"/>
                <w:u w:val="single"/>
              </w:rPr>
              <w:t>15</w:t>
            </w:r>
            <w:r>
              <w:rPr>
                <w:rFonts w:hint="eastAsia"/>
                <w:b/>
                <w:color w:val="auto"/>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8"/>
              <w:ind w:firstLine="0"/>
              <w:jc w:val="center"/>
            </w:pPr>
            <w:r>
              <w:rPr>
                <w:rFonts w:hint="eastAsia"/>
              </w:rPr>
              <w:t>5</w:t>
            </w:r>
          </w:p>
        </w:tc>
        <w:tc>
          <w:tcPr>
            <w:tcW w:w="1845" w:type="dxa"/>
            <w:vAlign w:val="center"/>
          </w:tcPr>
          <w:p>
            <w:pPr>
              <w:pStyle w:val="38"/>
              <w:ind w:firstLine="0"/>
              <w:jc w:val="center"/>
            </w:pPr>
            <w:r>
              <w:rPr>
                <w:rFonts w:hint="eastAsia"/>
              </w:rPr>
              <w:t>竞谈目标</w:t>
            </w:r>
          </w:p>
        </w:tc>
        <w:tc>
          <w:tcPr>
            <w:tcW w:w="6948" w:type="dxa"/>
            <w:vAlign w:val="center"/>
          </w:tcPr>
          <w:p>
            <w:pPr>
              <w:pStyle w:val="38"/>
              <w:ind w:firstLine="0"/>
              <w:rPr>
                <w:color w:val="auto"/>
              </w:rPr>
            </w:pPr>
            <w:r>
              <w:rPr>
                <w:rFonts w:hint="eastAsia"/>
                <w:color w:val="auto"/>
              </w:rPr>
              <w:t>按照国家标准《建设工程工程量清单计价规范》（GB50500-2013）、《重庆市建设工程工程量清单计价规则》（CQQDGZ-2013）、本工程施工图设计文件图纸、施工现场情况、工程特点进行该工程招标控制价编制。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55" w:type="dxa"/>
            <w:vAlign w:val="center"/>
          </w:tcPr>
          <w:p>
            <w:pPr>
              <w:pStyle w:val="38"/>
              <w:ind w:firstLine="0"/>
              <w:jc w:val="center"/>
            </w:pPr>
            <w:r>
              <w:rPr>
                <w:rFonts w:hint="eastAsia"/>
              </w:rPr>
              <w:t>6</w:t>
            </w:r>
          </w:p>
        </w:tc>
        <w:tc>
          <w:tcPr>
            <w:tcW w:w="1845" w:type="dxa"/>
            <w:vAlign w:val="center"/>
          </w:tcPr>
          <w:p>
            <w:pPr>
              <w:pStyle w:val="38"/>
              <w:ind w:firstLine="0"/>
              <w:jc w:val="center"/>
            </w:pPr>
            <w:r>
              <w:t>竞谈人</w:t>
            </w:r>
            <w:r>
              <w:rPr>
                <w:rFonts w:hint="eastAsia"/>
              </w:rPr>
              <w:t>条件</w:t>
            </w:r>
          </w:p>
        </w:tc>
        <w:tc>
          <w:tcPr>
            <w:tcW w:w="6948" w:type="dxa"/>
            <w:vAlign w:val="center"/>
          </w:tcPr>
          <w:p>
            <w:pPr>
              <w:widowControl/>
              <w:spacing w:line="450" w:lineRule="atLeast"/>
              <w:jc w:val="left"/>
              <w:rPr>
                <w:rFonts w:ascii="仿宋_GB2312" w:hAnsi="宋体" w:eastAsia="仿宋_GB2312"/>
                <w:color w:val="auto"/>
                <w:kern w:val="0"/>
                <w:sz w:val="24"/>
                <w:szCs w:val="20"/>
              </w:rPr>
            </w:pPr>
            <w:r>
              <w:rPr>
                <w:rFonts w:hint="eastAsia" w:ascii="仿宋_GB2312" w:hAnsi="宋体" w:eastAsia="仿宋_GB2312"/>
                <w:color w:val="auto"/>
                <w:kern w:val="0"/>
                <w:sz w:val="24"/>
                <w:szCs w:val="20"/>
              </w:rPr>
              <w:t>1、具有有效的独立法人资格。</w:t>
            </w:r>
          </w:p>
          <w:p>
            <w:pPr>
              <w:pStyle w:val="38"/>
              <w:ind w:firstLine="0"/>
              <w:rPr>
                <w:color w:val="auto"/>
              </w:rPr>
            </w:pPr>
            <w:r>
              <w:rPr>
                <w:rFonts w:hint="eastAsia"/>
                <w:color w:val="auto"/>
              </w:rPr>
              <w:t>2、具备建设行政主管部门颁发的工程造价咨询甲级资质。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53" w:hRule="atLeast"/>
          <w:jc w:val="center"/>
        </w:trPr>
        <w:tc>
          <w:tcPr>
            <w:tcW w:w="855" w:type="dxa"/>
            <w:vAlign w:val="center"/>
          </w:tcPr>
          <w:p>
            <w:pPr>
              <w:pStyle w:val="38"/>
              <w:ind w:firstLine="0"/>
              <w:jc w:val="center"/>
            </w:pPr>
            <w:r>
              <w:rPr>
                <w:rFonts w:hint="eastAsia"/>
              </w:rPr>
              <w:t>7</w:t>
            </w:r>
          </w:p>
        </w:tc>
        <w:tc>
          <w:tcPr>
            <w:tcW w:w="1845" w:type="dxa"/>
            <w:vAlign w:val="center"/>
          </w:tcPr>
          <w:p>
            <w:pPr>
              <w:pStyle w:val="38"/>
              <w:ind w:firstLine="0"/>
              <w:jc w:val="center"/>
            </w:pPr>
            <w:r>
              <w:rPr>
                <w:rFonts w:hint="eastAsia"/>
              </w:rPr>
              <w:t>谈判文件递交截止时间</w:t>
            </w:r>
          </w:p>
        </w:tc>
        <w:tc>
          <w:tcPr>
            <w:tcW w:w="6948" w:type="dxa"/>
            <w:vAlign w:val="center"/>
          </w:tcPr>
          <w:p>
            <w:pPr>
              <w:pStyle w:val="38"/>
              <w:ind w:firstLine="0"/>
              <w:rPr>
                <w:color w:val="auto"/>
              </w:rPr>
            </w:pPr>
            <w:r>
              <w:rPr>
                <w:rFonts w:hint="eastAsia"/>
                <w:color w:val="auto"/>
              </w:rPr>
              <w:t xml:space="preserve">2019年4月17日上午8点30分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7" w:hRule="atLeast"/>
          <w:jc w:val="center"/>
        </w:trPr>
        <w:tc>
          <w:tcPr>
            <w:tcW w:w="855" w:type="dxa"/>
            <w:vAlign w:val="center"/>
          </w:tcPr>
          <w:p>
            <w:pPr>
              <w:pStyle w:val="38"/>
              <w:ind w:firstLine="0"/>
              <w:jc w:val="center"/>
            </w:pPr>
            <w:r>
              <w:rPr>
                <w:rFonts w:hint="eastAsia"/>
              </w:rPr>
              <w:t>8</w:t>
            </w:r>
          </w:p>
        </w:tc>
        <w:tc>
          <w:tcPr>
            <w:tcW w:w="1845" w:type="dxa"/>
            <w:vAlign w:val="center"/>
          </w:tcPr>
          <w:p>
            <w:pPr>
              <w:pStyle w:val="38"/>
              <w:ind w:firstLine="0"/>
              <w:jc w:val="center"/>
            </w:pPr>
            <w:r>
              <w:rPr>
                <w:rFonts w:hint="eastAsia"/>
              </w:rPr>
              <w:t>报价方式</w:t>
            </w:r>
          </w:p>
        </w:tc>
        <w:tc>
          <w:tcPr>
            <w:tcW w:w="6948" w:type="dxa"/>
            <w:vAlign w:val="center"/>
          </w:tcPr>
          <w:p>
            <w:pPr>
              <w:pStyle w:val="38"/>
              <w:rPr>
                <w:color w:val="auto"/>
              </w:rPr>
            </w:pPr>
            <w:r>
              <w:rPr>
                <w:rFonts w:hint="eastAsia"/>
                <w:color w:val="auto"/>
              </w:rPr>
              <w:t>本项目报价采用</w:t>
            </w:r>
            <w:r>
              <w:rPr>
                <w:rFonts w:hint="eastAsia"/>
                <w:b/>
                <w:color w:val="auto"/>
              </w:rPr>
              <w:t>费率</w:t>
            </w:r>
            <w:r>
              <w:rPr>
                <w:rFonts w:hint="eastAsia"/>
                <w:color w:val="auto"/>
              </w:rPr>
              <w:t>报价，由各竞谈人自行参照《重庆市物价局关于工程造价咨询服务收费标准的通知》（渝价[2013]428号文件）附表2工程量清单及组价编制取费标准，进行自主下浮报价。</w:t>
            </w:r>
          </w:p>
          <w:p>
            <w:pPr>
              <w:pStyle w:val="38"/>
              <w:rPr>
                <w:color w:val="auto"/>
              </w:rPr>
            </w:pPr>
            <w:r>
              <w:rPr>
                <w:rFonts w:hint="eastAsia"/>
                <w:color w:val="auto"/>
              </w:rPr>
              <w:t>本次清单及最高限价编制费用不得超过人民币</w:t>
            </w:r>
            <w:r>
              <w:rPr>
                <w:rFonts w:hint="eastAsia"/>
                <w:b/>
                <w:color w:val="auto"/>
                <w:u w:val="single"/>
              </w:rPr>
              <w:t>13.2万元</w:t>
            </w:r>
            <w:r>
              <w:rPr>
                <w:rFonts w:hint="eastAsia"/>
                <w:color w:val="auto"/>
              </w:rPr>
              <w:t>整，下浮比例不低于20%（不含20%），所有单位报价不得超过本限价，否则视为无效报价。</w:t>
            </w:r>
          </w:p>
          <w:p>
            <w:pPr>
              <w:pStyle w:val="38"/>
              <w:ind w:firstLine="480" w:firstLineChars="200"/>
              <w:rPr>
                <w:color w:val="auto"/>
              </w:rPr>
            </w:pPr>
            <w:r>
              <w:rPr>
                <w:rFonts w:hint="eastAsia"/>
                <w:color w:val="auto"/>
              </w:rPr>
              <w:t>费率中标后不得调整。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8" w:hRule="atLeast"/>
          <w:jc w:val="center"/>
        </w:trPr>
        <w:tc>
          <w:tcPr>
            <w:tcW w:w="855" w:type="dxa"/>
            <w:vAlign w:val="center"/>
          </w:tcPr>
          <w:p>
            <w:pPr>
              <w:pStyle w:val="38"/>
              <w:ind w:firstLine="0"/>
              <w:jc w:val="center"/>
            </w:pPr>
            <w:r>
              <w:rPr>
                <w:rFonts w:hint="eastAsia"/>
              </w:rPr>
              <w:t>9</w:t>
            </w:r>
          </w:p>
        </w:tc>
        <w:tc>
          <w:tcPr>
            <w:tcW w:w="1845" w:type="dxa"/>
            <w:vAlign w:val="center"/>
          </w:tcPr>
          <w:p>
            <w:pPr>
              <w:pStyle w:val="38"/>
              <w:ind w:firstLine="0"/>
              <w:jc w:val="center"/>
            </w:pPr>
            <w:r>
              <w:rPr>
                <w:rFonts w:hint="eastAsia"/>
              </w:rPr>
              <w:t>合同价格</w:t>
            </w:r>
          </w:p>
        </w:tc>
        <w:tc>
          <w:tcPr>
            <w:tcW w:w="6948" w:type="dxa"/>
            <w:vAlign w:val="center"/>
          </w:tcPr>
          <w:p>
            <w:pPr>
              <w:pStyle w:val="38"/>
              <w:ind w:firstLine="0"/>
            </w:pPr>
            <w:r>
              <w:rPr>
                <w:rFonts w:hint="eastAsia"/>
              </w:rPr>
              <w:t>中标价格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17" w:hRule="atLeast"/>
          <w:jc w:val="center"/>
        </w:trPr>
        <w:tc>
          <w:tcPr>
            <w:tcW w:w="855" w:type="dxa"/>
            <w:vAlign w:val="center"/>
          </w:tcPr>
          <w:p>
            <w:pPr>
              <w:pStyle w:val="38"/>
              <w:ind w:firstLine="0"/>
              <w:jc w:val="center"/>
            </w:pPr>
            <w:r>
              <w:rPr>
                <w:rFonts w:hint="eastAsia"/>
              </w:rPr>
              <w:t>10</w:t>
            </w:r>
          </w:p>
        </w:tc>
        <w:tc>
          <w:tcPr>
            <w:tcW w:w="1845" w:type="dxa"/>
            <w:vAlign w:val="center"/>
          </w:tcPr>
          <w:p>
            <w:pPr>
              <w:pStyle w:val="38"/>
              <w:ind w:firstLine="0"/>
              <w:jc w:val="center"/>
            </w:pPr>
            <w:r>
              <w:rPr>
                <w:rFonts w:hint="eastAsia"/>
              </w:rPr>
              <w:t>费用支付</w:t>
            </w:r>
          </w:p>
        </w:tc>
        <w:tc>
          <w:tcPr>
            <w:tcW w:w="6948" w:type="dxa"/>
            <w:vAlign w:val="center"/>
          </w:tcPr>
          <w:p>
            <w:pPr>
              <w:pStyle w:val="38"/>
              <w:ind w:firstLine="0"/>
            </w:pPr>
            <w:r>
              <w:rPr>
                <w:rFonts w:hint="eastAsia"/>
              </w:rPr>
              <w:t>待江南院区该项目招标完成后一次性支付。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8"/>
              <w:ind w:firstLine="0"/>
              <w:jc w:val="center"/>
            </w:pPr>
            <w:r>
              <w:rPr>
                <w:rFonts w:hint="eastAsia"/>
              </w:rPr>
              <w:t>11</w:t>
            </w:r>
          </w:p>
        </w:tc>
        <w:tc>
          <w:tcPr>
            <w:tcW w:w="1845" w:type="dxa"/>
            <w:vAlign w:val="center"/>
          </w:tcPr>
          <w:p>
            <w:pPr>
              <w:pStyle w:val="38"/>
              <w:ind w:firstLine="0"/>
              <w:jc w:val="center"/>
            </w:pPr>
            <w:r>
              <w:rPr>
                <w:rFonts w:hint="eastAsia"/>
              </w:rPr>
              <w:t>竞争性谈判</w:t>
            </w:r>
          </w:p>
          <w:p>
            <w:pPr>
              <w:pStyle w:val="38"/>
              <w:ind w:firstLine="0"/>
              <w:jc w:val="center"/>
            </w:pPr>
            <w:r>
              <w:rPr>
                <w:rFonts w:hint="eastAsia"/>
              </w:rPr>
              <w:t>文件组成</w:t>
            </w:r>
          </w:p>
        </w:tc>
        <w:tc>
          <w:tcPr>
            <w:tcW w:w="6948" w:type="dxa"/>
            <w:vAlign w:val="center"/>
          </w:tcPr>
          <w:p>
            <w:pPr>
              <w:pStyle w:val="38"/>
              <w:ind w:firstLine="0"/>
            </w:pPr>
            <w:r>
              <w:rPr>
                <w:rFonts w:hint="eastAsia"/>
              </w:rPr>
              <w:t>1、</w:t>
            </w:r>
            <w:r>
              <w:t>法定代表人授权</w:t>
            </w:r>
            <w:r>
              <w:rPr>
                <w:rFonts w:hint="eastAsia"/>
              </w:rPr>
              <w:t>委托</w:t>
            </w:r>
            <w:r>
              <w:t>书</w:t>
            </w:r>
          </w:p>
          <w:p>
            <w:pPr>
              <w:pStyle w:val="38"/>
              <w:ind w:firstLine="0"/>
            </w:pPr>
            <w:r>
              <w:rPr>
                <w:rFonts w:hint="eastAsia"/>
              </w:rPr>
              <w:t>2、报价书</w:t>
            </w:r>
          </w:p>
          <w:p>
            <w:pPr>
              <w:pStyle w:val="38"/>
              <w:ind w:firstLine="0"/>
            </w:pPr>
            <w:r>
              <w:rPr>
                <w:rFonts w:hint="eastAsia"/>
              </w:rPr>
              <w:t>3、公司基本情况表</w:t>
            </w:r>
          </w:p>
          <w:p>
            <w:pPr>
              <w:pStyle w:val="38"/>
              <w:ind w:firstLine="0"/>
            </w:pPr>
            <w:r>
              <w:rPr>
                <w:rFonts w:hint="eastAsia"/>
              </w:rPr>
              <w:t>资格证明材料：①</w:t>
            </w:r>
            <w:r>
              <w:t>企业营业执照</w:t>
            </w:r>
            <w:r>
              <w:rPr>
                <w:rFonts w:hint="eastAsia"/>
              </w:rPr>
              <w:t>；②</w:t>
            </w:r>
            <w:r>
              <w:t>组织机构代码证</w:t>
            </w:r>
            <w:r>
              <w:rPr>
                <w:rFonts w:hint="eastAsia"/>
              </w:rPr>
              <w:t>；③</w:t>
            </w:r>
            <w:r>
              <w:t>税务登记证</w:t>
            </w:r>
            <w:r>
              <w:rPr>
                <w:rFonts w:hint="eastAsia"/>
              </w:rPr>
              <w:t>；④资质等级</w:t>
            </w:r>
            <w:r>
              <w:t>证书</w:t>
            </w:r>
            <w:r>
              <w:rPr>
                <w:rFonts w:hint="eastAsia"/>
              </w:rPr>
              <w:t>。以上复印件需加盖公章。</w:t>
            </w:r>
          </w:p>
          <w:p>
            <w:pPr>
              <w:pStyle w:val="38"/>
              <w:ind w:firstLine="0"/>
            </w:pPr>
            <w:r>
              <w:rPr>
                <w:rFonts w:hint="eastAsia"/>
              </w:rPr>
              <w:t>4、公司类似工程业绩表</w:t>
            </w:r>
          </w:p>
          <w:p>
            <w:pPr>
              <w:pStyle w:val="38"/>
              <w:ind w:firstLine="0"/>
            </w:pPr>
            <w:r>
              <w:rPr>
                <w:rFonts w:hint="eastAsia"/>
              </w:rPr>
              <w:t>5、拟派编制人员一览表</w:t>
            </w:r>
          </w:p>
          <w:p>
            <w:pPr>
              <w:pStyle w:val="38"/>
              <w:ind w:firstLine="0"/>
            </w:pPr>
            <w:r>
              <w:rPr>
                <w:rFonts w:hint="eastAsia"/>
              </w:rPr>
              <w:t>6、承诺书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8"/>
              <w:ind w:firstLine="0"/>
              <w:jc w:val="center"/>
            </w:pPr>
            <w:r>
              <w:rPr>
                <w:rFonts w:hint="eastAsia"/>
              </w:rPr>
              <w:t>12</w:t>
            </w:r>
          </w:p>
        </w:tc>
        <w:tc>
          <w:tcPr>
            <w:tcW w:w="1845" w:type="dxa"/>
            <w:vAlign w:val="center"/>
          </w:tcPr>
          <w:p>
            <w:pPr>
              <w:pStyle w:val="38"/>
              <w:ind w:firstLine="0"/>
              <w:jc w:val="center"/>
            </w:pPr>
            <w:r>
              <w:t>文件密封</w:t>
            </w:r>
          </w:p>
        </w:tc>
        <w:tc>
          <w:tcPr>
            <w:tcW w:w="6948" w:type="dxa"/>
            <w:vAlign w:val="center"/>
          </w:tcPr>
          <w:p>
            <w:pPr>
              <w:pStyle w:val="38"/>
              <w:ind w:firstLine="0"/>
            </w:pPr>
            <w:r>
              <w:rPr>
                <w:rFonts w:hint="eastAsia"/>
              </w:rPr>
              <w:t>谈判文件装入袋中密封并在袋上加盖单位公章。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30" w:hRule="atLeast"/>
          <w:jc w:val="center"/>
        </w:trPr>
        <w:tc>
          <w:tcPr>
            <w:tcW w:w="855" w:type="dxa"/>
            <w:vAlign w:val="center"/>
          </w:tcPr>
          <w:p>
            <w:pPr>
              <w:pStyle w:val="38"/>
              <w:ind w:firstLine="0"/>
              <w:jc w:val="center"/>
            </w:pPr>
            <w:r>
              <w:rPr>
                <w:rFonts w:hint="eastAsia"/>
              </w:rPr>
              <w:t>13</w:t>
            </w:r>
          </w:p>
        </w:tc>
        <w:tc>
          <w:tcPr>
            <w:tcW w:w="1845" w:type="dxa"/>
            <w:vAlign w:val="center"/>
          </w:tcPr>
          <w:p>
            <w:pPr>
              <w:pStyle w:val="38"/>
              <w:ind w:firstLine="0"/>
              <w:jc w:val="center"/>
            </w:pPr>
            <w:r>
              <w:t>递交文件地点</w:t>
            </w:r>
          </w:p>
        </w:tc>
        <w:tc>
          <w:tcPr>
            <w:tcW w:w="6948" w:type="dxa"/>
            <w:vAlign w:val="center"/>
          </w:tcPr>
          <w:p>
            <w:pPr>
              <w:pStyle w:val="38"/>
              <w:ind w:firstLine="0"/>
            </w:pPr>
            <w:r>
              <w:t>重庆医科大学附属第二医院</w:t>
            </w:r>
            <w:r>
              <w:rPr>
                <w:rFonts w:hint="eastAsia"/>
              </w:rPr>
              <w:t>综合楼17楼江南院区建设办公室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855" w:type="dxa"/>
            <w:vAlign w:val="center"/>
          </w:tcPr>
          <w:p>
            <w:pPr>
              <w:pStyle w:val="38"/>
              <w:ind w:firstLine="0"/>
              <w:jc w:val="center"/>
            </w:pPr>
            <w:bookmarkStart w:id="2" w:name="_GoBack" w:colFirst="1" w:colLast="2"/>
            <w:r>
              <w:rPr>
                <w:rFonts w:hint="eastAsia"/>
              </w:rPr>
              <w:t>14</w:t>
            </w:r>
          </w:p>
        </w:tc>
        <w:tc>
          <w:tcPr>
            <w:tcW w:w="1845" w:type="dxa"/>
            <w:vAlign w:val="center"/>
          </w:tcPr>
          <w:p>
            <w:pPr>
              <w:pStyle w:val="38"/>
              <w:ind w:firstLine="0"/>
              <w:jc w:val="center"/>
              <w:rPr>
                <w:color w:val="auto"/>
              </w:rPr>
            </w:pPr>
            <w:r>
              <w:rPr>
                <w:rFonts w:hint="eastAsia"/>
                <w:color w:val="auto"/>
              </w:rPr>
              <w:t>谈判</w:t>
            </w:r>
            <w:r>
              <w:rPr>
                <w:color w:val="auto"/>
              </w:rPr>
              <w:t>时间</w:t>
            </w:r>
          </w:p>
          <w:p>
            <w:pPr>
              <w:pStyle w:val="38"/>
              <w:ind w:firstLine="0"/>
              <w:jc w:val="center"/>
              <w:rPr>
                <w:color w:val="auto"/>
              </w:rPr>
            </w:pPr>
            <w:r>
              <w:rPr>
                <w:color w:val="auto"/>
              </w:rPr>
              <w:t>和地点</w:t>
            </w:r>
          </w:p>
        </w:tc>
        <w:tc>
          <w:tcPr>
            <w:tcW w:w="6948" w:type="dxa"/>
            <w:vAlign w:val="center"/>
          </w:tcPr>
          <w:p>
            <w:pPr>
              <w:pStyle w:val="38"/>
              <w:ind w:firstLine="0"/>
              <w:rPr>
                <w:color w:val="auto"/>
              </w:rPr>
            </w:pPr>
            <w:r>
              <w:rPr>
                <w:rFonts w:hint="eastAsia"/>
                <w:color w:val="auto"/>
              </w:rPr>
              <w:t>谈判</w:t>
            </w:r>
            <w:r>
              <w:rPr>
                <w:color w:val="auto"/>
              </w:rPr>
              <w:t>时间：同</w:t>
            </w:r>
            <w:r>
              <w:rPr>
                <w:rFonts w:hint="eastAsia"/>
                <w:color w:val="auto"/>
              </w:rPr>
              <w:t>递交截止时间</w:t>
            </w:r>
          </w:p>
          <w:p>
            <w:pPr>
              <w:pStyle w:val="38"/>
              <w:ind w:firstLine="0"/>
              <w:rPr>
                <w:color w:val="auto"/>
              </w:rPr>
            </w:pPr>
            <w:r>
              <w:rPr>
                <w:rFonts w:hint="eastAsia"/>
                <w:color w:val="auto"/>
              </w:rPr>
              <w:t>谈判</w:t>
            </w:r>
            <w:r>
              <w:rPr>
                <w:color w:val="auto"/>
              </w:rPr>
              <w:t>地点：重庆医科大学附属第二医院</w:t>
            </w:r>
            <w:r>
              <w:rPr>
                <w:rFonts w:hint="eastAsia"/>
                <w:color w:val="auto"/>
              </w:rPr>
              <w:t>综合楼17楼会议室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83" w:hRule="atLeast"/>
          <w:jc w:val="center"/>
        </w:trPr>
        <w:tc>
          <w:tcPr>
            <w:tcW w:w="855" w:type="dxa"/>
            <w:vAlign w:val="center"/>
          </w:tcPr>
          <w:p>
            <w:pPr>
              <w:pStyle w:val="38"/>
              <w:ind w:firstLine="0"/>
              <w:jc w:val="center"/>
            </w:pPr>
            <w:r>
              <w:rPr>
                <w:rFonts w:hint="eastAsia"/>
              </w:rPr>
              <w:t>15</w:t>
            </w:r>
          </w:p>
        </w:tc>
        <w:tc>
          <w:tcPr>
            <w:tcW w:w="1845" w:type="dxa"/>
            <w:vAlign w:val="center"/>
          </w:tcPr>
          <w:p>
            <w:pPr>
              <w:pStyle w:val="38"/>
              <w:ind w:firstLine="0"/>
              <w:jc w:val="center"/>
              <w:rPr>
                <w:color w:val="auto"/>
              </w:rPr>
            </w:pPr>
            <w:r>
              <w:rPr>
                <w:rFonts w:hint="eastAsia"/>
                <w:color w:val="auto"/>
              </w:rPr>
              <w:t>评定方法</w:t>
            </w:r>
          </w:p>
        </w:tc>
        <w:tc>
          <w:tcPr>
            <w:tcW w:w="6948" w:type="dxa"/>
            <w:vAlign w:val="center"/>
          </w:tcPr>
          <w:p>
            <w:pPr>
              <w:pStyle w:val="38"/>
              <w:ind w:firstLine="0"/>
              <w:rPr>
                <w:color w:val="auto"/>
              </w:rPr>
            </w:pPr>
            <w:r>
              <w:rPr>
                <w:rFonts w:hint="eastAsia"/>
                <w:color w:val="auto"/>
              </w:rPr>
              <w:t>评分标准见附表</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543" w:hRule="atLeast"/>
          <w:jc w:val="center"/>
        </w:trPr>
        <w:tc>
          <w:tcPr>
            <w:tcW w:w="855" w:type="dxa"/>
            <w:vAlign w:val="center"/>
          </w:tcPr>
          <w:p>
            <w:pPr>
              <w:pStyle w:val="38"/>
              <w:ind w:firstLine="0"/>
              <w:jc w:val="center"/>
            </w:pPr>
            <w:r>
              <w:rPr>
                <w:rFonts w:hint="eastAsia"/>
              </w:rPr>
              <w:t>16</w:t>
            </w:r>
          </w:p>
        </w:tc>
        <w:tc>
          <w:tcPr>
            <w:tcW w:w="1845" w:type="dxa"/>
            <w:vAlign w:val="center"/>
          </w:tcPr>
          <w:p>
            <w:pPr>
              <w:pStyle w:val="38"/>
              <w:ind w:firstLine="0"/>
              <w:jc w:val="center"/>
            </w:pPr>
            <w:r>
              <w:rPr>
                <w:rFonts w:hint="eastAsia"/>
              </w:rPr>
              <w:t>联系人及方式</w:t>
            </w:r>
          </w:p>
        </w:tc>
        <w:tc>
          <w:tcPr>
            <w:tcW w:w="6948" w:type="dxa"/>
            <w:vAlign w:val="center"/>
          </w:tcPr>
          <w:p>
            <w:pPr>
              <w:pStyle w:val="38"/>
              <w:ind w:left="1080" w:hanging="1080" w:hangingChars="450"/>
            </w:pPr>
            <w:r>
              <w:rPr>
                <w:rFonts w:hint="eastAsia"/>
              </w:rPr>
              <w:t>联系地址：重庆市渝中区临江路74号重庆医科大学附属第二医院江南院区建设办公室</w:t>
            </w:r>
          </w:p>
          <w:p>
            <w:pPr>
              <w:pStyle w:val="38"/>
              <w:ind w:firstLine="0"/>
            </w:pPr>
            <w:r>
              <w:rPr>
                <w:rFonts w:hint="eastAsia"/>
              </w:rPr>
              <w:t>联 系 人：尹女士    联系电话：023-63693319</w:t>
            </w:r>
          </w:p>
        </w:tc>
      </w:tr>
    </w:tbl>
    <w:p>
      <w:pPr>
        <w:pStyle w:val="38"/>
        <w:ind w:firstLine="0"/>
      </w:pPr>
    </w:p>
    <w:p>
      <w:pPr>
        <w:spacing w:line="360" w:lineRule="auto"/>
        <w:rPr>
          <w:rFonts w:ascii="仿宋_GB2312" w:hAnsi="宋体" w:eastAsia="仿宋_GB2312"/>
          <w:kern w:val="0"/>
          <w:sz w:val="24"/>
          <w:szCs w:val="20"/>
        </w:rPr>
      </w:pPr>
      <w:r>
        <w:rPr>
          <w:rFonts w:hint="eastAsia" w:ascii="仿宋_GB2312" w:hAnsi="宋体" w:eastAsia="仿宋_GB2312"/>
          <w:kern w:val="0"/>
          <w:sz w:val="24"/>
          <w:szCs w:val="20"/>
        </w:rPr>
        <w:t>附件：</w:t>
      </w:r>
    </w:p>
    <w:p>
      <w:pPr>
        <w:numPr>
          <w:ilvl w:val="0"/>
          <w:numId w:val="3"/>
        </w:numPr>
        <w:spacing w:line="360" w:lineRule="auto"/>
        <w:rPr>
          <w:rFonts w:ascii="仿宋_GB2312" w:hAnsi="宋体" w:eastAsia="仿宋_GB2312"/>
          <w:kern w:val="0"/>
          <w:sz w:val="24"/>
          <w:szCs w:val="20"/>
        </w:rPr>
      </w:pPr>
      <w:r>
        <w:rPr>
          <w:rFonts w:ascii="仿宋_GB2312" w:hAnsi="宋体" w:eastAsia="仿宋_GB2312"/>
          <w:kern w:val="0"/>
          <w:sz w:val="24"/>
          <w:szCs w:val="20"/>
        </w:rPr>
        <w:t>法定代表人授权书</w:t>
      </w:r>
      <w:r>
        <w:rPr>
          <w:rFonts w:hint="eastAsia" w:ascii="仿宋_GB2312" w:hAnsi="宋体" w:eastAsia="仿宋_GB2312"/>
          <w:kern w:val="0"/>
          <w:sz w:val="24"/>
          <w:szCs w:val="20"/>
        </w:rPr>
        <w:t>（格式）</w:t>
      </w:r>
    </w:p>
    <w:p>
      <w:pPr>
        <w:numPr>
          <w:ilvl w:val="0"/>
          <w:numId w:val="3"/>
        </w:numPr>
        <w:spacing w:line="360" w:lineRule="auto"/>
        <w:rPr>
          <w:rFonts w:ascii="仿宋_GB2312" w:hAnsi="宋体" w:eastAsia="仿宋_GB2312"/>
          <w:kern w:val="0"/>
          <w:sz w:val="24"/>
          <w:szCs w:val="20"/>
        </w:rPr>
      </w:pPr>
      <w:r>
        <w:rPr>
          <w:rFonts w:hint="eastAsia" w:ascii="仿宋_GB2312" w:hAnsi="宋体" w:eastAsia="仿宋_GB2312"/>
          <w:kern w:val="0"/>
          <w:sz w:val="24"/>
          <w:szCs w:val="20"/>
        </w:rPr>
        <w:t>承诺书（格式）</w:t>
      </w:r>
    </w:p>
    <w:p>
      <w:pPr>
        <w:numPr>
          <w:ilvl w:val="0"/>
          <w:numId w:val="3"/>
        </w:numPr>
        <w:spacing w:line="360" w:lineRule="auto"/>
        <w:rPr>
          <w:rFonts w:ascii="仿宋_GB2312" w:hAnsi="宋体" w:eastAsia="仿宋_GB2312"/>
          <w:kern w:val="0"/>
          <w:sz w:val="24"/>
          <w:szCs w:val="20"/>
        </w:rPr>
      </w:pPr>
      <w:r>
        <w:rPr>
          <w:rFonts w:hint="eastAsia" w:ascii="仿宋_GB2312" w:hAnsi="宋体" w:eastAsia="仿宋_GB2312"/>
          <w:kern w:val="0"/>
          <w:sz w:val="24"/>
          <w:szCs w:val="20"/>
        </w:rPr>
        <w:t>报价书（格式）</w:t>
      </w:r>
    </w:p>
    <w:p>
      <w:pPr>
        <w:numPr>
          <w:ilvl w:val="0"/>
          <w:numId w:val="3"/>
        </w:numPr>
        <w:spacing w:line="360" w:lineRule="auto"/>
        <w:rPr>
          <w:rFonts w:ascii="仿宋_GB2312" w:hAnsi="宋体" w:eastAsia="仿宋_GB2312"/>
          <w:kern w:val="0"/>
          <w:sz w:val="24"/>
          <w:szCs w:val="20"/>
        </w:rPr>
      </w:pPr>
      <w:r>
        <w:rPr>
          <w:rFonts w:hint="eastAsia" w:ascii="仿宋_GB2312" w:hAnsi="宋体" w:eastAsia="仿宋_GB2312"/>
          <w:kern w:val="0"/>
          <w:sz w:val="24"/>
          <w:szCs w:val="20"/>
        </w:rPr>
        <w:t>本项目造价咨询人员一览表</w:t>
      </w:r>
    </w:p>
    <w:p>
      <w:pPr>
        <w:numPr>
          <w:ilvl w:val="0"/>
          <w:numId w:val="3"/>
        </w:numPr>
        <w:spacing w:line="360" w:lineRule="auto"/>
        <w:rPr>
          <w:rFonts w:ascii="仿宋_GB2312" w:hAnsi="宋体" w:eastAsia="仿宋_GB2312"/>
          <w:kern w:val="0"/>
          <w:sz w:val="24"/>
          <w:szCs w:val="20"/>
        </w:rPr>
      </w:pPr>
      <w:r>
        <w:rPr>
          <w:rFonts w:hint="eastAsia" w:ascii="仿宋_GB2312" w:hAnsi="宋体" w:eastAsia="仿宋_GB2312"/>
          <w:kern w:val="0"/>
          <w:sz w:val="24"/>
          <w:szCs w:val="20"/>
        </w:rPr>
        <w:t>类似业绩一览表（自拟）</w:t>
      </w:r>
    </w:p>
    <w:p>
      <w:pPr>
        <w:numPr>
          <w:ilvl w:val="0"/>
          <w:numId w:val="3"/>
        </w:numPr>
        <w:spacing w:line="360" w:lineRule="auto"/>
        <w:rPr>
          <w:rFonts w:ascii="仿宋_GB2312" w:hAnsi="宋体" w:eastAsia="仿宋_GB2312"/>
          <w:kern w:val="0"/>
          <w:sz w:val="24"/>
          <w:szCs w:val="20"/>
        </w:rPr>
      </w:pPr>
      <w:r>
        <w:rPr>
          <w:rFonts w:hint="eastAsia" w:ascii="仿宋_GB2312" w:hAnsi="宋体" w:eastAsia="仿宋_GB2312"/>
          <w:kern w:val="0"/>
          <w:sz w:val="24"/>
          <w:szCs w:val="20"/>
        </w:rPr>
        <w:t>评分标准</w:t>
      </w: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r>
        <w:rPr>
          <w:rFonts w:hint="eastAsia" w:ascii="黑体" w:eastAsia="黑体"/>
          <w:sz w:val="44"/>
          <w:szCs w:val="44"/>
        </w:rPr>
        <w:t>法定代表人授权书</w:t>
      </w:r>
    </w:p>
    <w:p>
      <w:pPr>
        <w:jc w:val="center"/>
        <w:rPr>
          <w:rFonts w:ascii="黑体" w:eastAsia="黑体"/>
          <w:sz w:val="44"/>
          <w:szCs w:val="44"/>
        </w:rPr>
      </w:pPr>
    </w:p>
    <w:p>
      <w:pPr>
        <w:pStyle w:val="12"/>
        <w:rPr>
          <w:sz w:val="28"/>
          <w:szCs w:val="28"/>
        </w:rPr>
      </w:pPr>
    </w:p>
    <w:p>
      <w:pPr>
        <w:pStyle w:val="12"/>
        <w:spacing w:line="360" w:lineRule="auto"/>
        <w:ind w:firstLine="560" w:firstLineChars="200"/>
        <w:jc w:val="both"/>
        <w:rPr>
          <w:color w:val="000000"/>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color w:val="000000"/>
          <w:sz w:val="28"/>
          <w:szCs w:val="28"/>
          <w:u w:val="single"/>
        </w:rPr>
        <w:t>重庆医科大学附属第二医院江南院区部分科室二次装修清单及最高限价编制</w:t>
      </w:r>
      <w:r>
        <w:rPr>
          <w:rFonts w:hint="eastAsia"/>
          <w:sz w:val="28"/>
          <w:szCs w:val="28"/>
        </w:rPr>
        <w:t>竞争性谈判，代理人在竞争性谈判、合同谈判过程中所签署的一切文件和处理与之有关的一</w:t>
      </w:r>
      <w:r>
        <w:rPr>
          <w:rFonts w:hint="eastAsia"/>
          <w:color w:val="000000"/>
          <w:sz w:val="28"/>
          <w:szCs w:val="28"/>
        </w:rPr>
        <w:t>切事务，本人均予以承认。</w:t>
      </w:r>
    </w:p>
    <w:p>
      <w:pPr>
        <w:pStyle w:val="12"/>
        <w:spacing w:line="360" w:lineRule="auto"/>
        <w:ind w:firstLine="560" w:firstLineChars="200"/>
        <w:rPr>
          <w:color w:val="000000"/>
          <w:sz w:val="28"/>
          <w:szCs w:val="28"/>
        </w:rPr>
      </w:pPr>
    </w:p>
    <w:p>
      <w:pPr>
        <w:pStyle w:val="14"/>
        <w:spacing w:after="0" w:line="360" w:lineRule="auto"/>
        <w:ind w:left="430" w:leftChars="205" w:firstLine="140" w:firstLineChars="50"/>
        <w:rPr>
          <w:color w:val="000000"/>
          <w:sz w:val="28"/>
          <w:szCs w:val="28"/>
        </w:rPr>
      </w:pPr>
      <w:r>
        <w:rPr>
          <w:rFonts w:hint="eastAsia"/>
          <w:color w:val="000000"/>
          <w:sz w:val="28"/>
          <w:szCs w:val="28"/>
        </w:rPr>
        <w:t>特此授权。</w:t>
      </w:r>
    </w:p>
    <w:p>
      <w:pPr>
        <w:pStyle w:val="12"/>
        <w:spacing w:line="360" w:lineRule="auto"/>
        <w:ind w:firstLine="560" w:firstLineChars="200"/>
        <w:rPr>
          <w:color w:val="000000"/>
          <w:sz w:val="28"/>
          <w:szCs w:val="28"/>
        </w:rPr>
      </w:pPr>
    </w:p>
    <w:p>
      <w:pPr>
        <w:pStyle w:val="12"/>
        <w:spacing w:line="360" w:lineRule="auto"/>
        <w:ind w:firstLine="560" w:firstLineChars="200"/>
        <w:rPr>
          <w:color w:val="000000"/>
          <w:sz w:val="28"/>
          <w:szCs w:val="28"/>
        </w:rPr>
      </w:pPr>
    </w:p>
    <w:p>
      <w:pPr>
        <w:pStyle w:val="10"/>
        <w:spacing w:after="0"/>
        <w:ind w:left="135"/>
        <w:rPr>
          <w:rFonts w:ascii="宋体" w:hAnsi="宋体"/>
          <w:color w:val="000000"/>
          <w:szCs w:val="28"/>
        </w:rPr>
      </w:pPr>
    </w:p>
    <w:p>
      <w:pPr>
        <w:pStyle w:val="10"/>
        <w:spacing w:after="0"/>
        <w:ind w:left="135"/>
        <w:rPr>
          <w:rFonts w:ascii="宋体" w:hAnsi="宋体"/>
          <w:color w:val="000000"/>
          <w:szCs w:val="28"/>
        </w:rPr>
      </w:pPr>
    </w:p>
    <w:p>
      <w:pPr>
        <w:pStyle w:val="10"/>
        <w:spacing w:after="0"/>
        <w:ind w:left="135"/>
        <w:rPr>
          <w:rFonts w:ascii="宋体" w:hAnsi="宋体"/>
          <w:kern w:val="0"/>
          <w:sz w:val="28"/>
          <w:szCs w:val="28"/>
        </w:rPr>
      </w:pPr>
      <w:r>
        <w:rPr>
          <w:rFonts w:hint="eastAsia" w:ascii="宋体" w:hAnsi="宋体"/>
          <w:kern w:val="0"/>
          <w:sz w:val="28"/>
          <w:szCs w:val="28"/>
        </w:rPr>
        <w:t>被授权人：                   部门：                 职务：</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 xml:space="preserve">单位（盖章）                 </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法定代表人：（签字或盖章）</w:t>
      </w:r>
    </w:p>
    <w:p>
      <w:pPr>
        <w:pStyle w:val="37"/>
        <w:spacing w:beforeLines="0" w:afterLines="0"/>
        <w:jc w:val="both"/>
        <w:rPr>
          <w:rFonts w:ascii="宋体" w:hAnsi="宋体" w:eastAsia="宋体"/>
          <w:kern w:val="0"/>
          <w:sz w:val="28"/>
          <w:szCs w:val="28"/>
        </w:rPr>
      </w:pPr>
    </w:p>
    <w:p>
      <w:pPr>
        <w:pStyle w:val="37"/>
        <w:spacing w:beforeLines="0" w:afterLines="0"/>
        <w:jc w:val="both"/>
        <w:rPr>
          <w:rFonts w:ascii="宋体" w:hAnsi="宋体" w:eastAsia="宋体"/>
          <w:kern w:val="0"/>
          <w:sz w:val="28"/>
          <w:szCs w:val="28"/>
        </w:rPr>
      </w:pPr>
      <w:r>
        <w:rPr>
          <w:rFonts w:hint="eastAsia" w:ascii="宋体" w:hAnsi="宋体" w:eastAsia="宋体"/>
          <w:kern w:val="0"/>
          <w:sz w:val="28"/>
          <w:szCs w:val="28"/>
        </w:rPr>
        <w:t>（该处粘贴代理人身份证正反两面复印件）</w:t>
      </w:r>
    </w:p>
    <w:p>
      <w:pPr>
        <w:pStyle w:val="37"/>
        <w:spacing w:beforeLines="0" w:afterLines="0"/>
        <w:jc w:val="both"/>
        <w:rPr>
          <w:rFonts w:ascii="宋体" w:hAnsi="宋体" w:eastAsia="宋体"/>
          <w:kern w:val="0"/>
          <w:sz w:val="28"/>
          <w:szCs w:val="28"/>
        </w:rPr>
      </w:pPr>
    </w:p>
    <w:p>
      <w:pPr>
        <w:jc w:val="center"/>
        <w:rPr>
          <w:rFonts w:ascii="宋体" w:hAnsi="宋体"/>
          <w:color w:val="000000"/>
          <w:sz w:val="28"/>
        </w:rPr>
      </w:pPr>
      <w:r>
        <w:rPr>
          <w:rFonts w:hint="eastAsia" w:ascii="宋体" w:hAnsi="宋体"/>
          <w:color w:val="000000"/>
          <w:sz w:val="28"/>
        </w:rPr>
        <w:t xml:space="preserve">                                               </w:t>
      </w:r>
    </w:p>
    <w:p>
      <w:pPr>
        <w:jc w:val="right"/>
        <w:rPr>
          <w:rFonts w:ascii="宋体" w:hAnsi="宋体"/>
          <w:color w:val="000000"/>
          <w:sz w:val="28"/>
        </w:rPr>
      </w:pPr>
    </w:p>
    <w:p>
      <w:pPr>
        <w:jc w:val="right"/>
        <w:rPr>
          <w:rFonts w:ascii="宋体" w:hAnsi="宋体"/>
          <w:color w:val="000000"/>
          <w:sz w:val="28"/>
        </w:rPr>
      </w:pPr>
    </w:p>
    <w:p>
      <w:pPr>
        <w:jc w:val="right"/>
        <w:rPr>
          <w:rFonts w:ascii="宋体" w:hAnsi="宋体"/>
          <w:color w:val="000000"/>
          <w:sz w:val="28"/>
        </w:rPr>
      </w:pPr>
    </w:p>
    <w:p>
      <w:pPr>
        <w:jc w:val="right"/>
        <w:rPr>
          <w:rFonts w:ascii="宋体" w:hAnsi="宋体"/>
          <w:color w:val="000000"/>
          <w:sz w:val="28"/>
        </w:rPr>
      </w:pPr>
    </w:p>
    <w:p>
      <w:pPr>
        <w:jc w:val="right"/>
        <w:rPr>
          <w:rFonts w:ascii="宋体" w:hAnsi="宋体"/>
          <w:color w:val="000000"/>
          <w:sz w:val="28"/>
        </w:rPr>
      </w:pPr>
      <w:r>
        <w:rPr>
          <w:rFonts w:hint="eastAsia" w:ascii="宋体" w:hAnsi="宋体"/>
          <w:color w:val="000000"/>
          <w:sz w:val="28"/>
        </w:rPr>
        <w:t>日期：    年    月   日</w:t>
      </w:r>
    </w:p>
    <w:p>
      <w:pPr>
        <w:jc w:val="right"/>
        <w:rPr>
          <w:rFonts w:ascii="宋体" w:hAnsi="宋体"/>
          <w:color w:val="000000"/>
          <w:sz w:val="28"/>
        </w:rPr>
      </w:pPr>
    </w:p>
    <w:p>
      <w:pPr>
        <w:jc w:val="right"/>
        <w:rPr>
          <w:rFonts w:ascii="宋体" w:hAnsi="宋体"/>
          <w:color w:val="000000"/>
          <w:sz w:val="28"/>
        </w:rPr>
      </w:pPr>
    </w:p>
    <w:p>
      <w:pPr>
        <w:jc w:val="right"/>
        <w:rPr>
          <w:rFonts w:ascii="宋体" w:hAnsi="宋体"/>
          <w:color w:val="000000"/>
          <w:sz w:val="28"/>
        </w:rPr>
      </w:pPr>
    </w:p>
    <w:p>
      <w:pPr>
        <w:jc w:val="right"/>
        <w:rPr>
          <w:rFonts w:ascii="宋体" w:hAnsi="宋体"/>
          <w:color w:val="000000"/>
          <w:sz w:val="28"/>
        </w:rPr>
      </w:pPr>
    </w:p>
    <w:p>
      <w:pPr>
        <w:jc w:val="right"/>
        <w:rPr>
          <w:rFonts w:ascii="宋体" w:hAnsi="宋体"/>
          <w:color w:val="000000"/>
          <w:sz w:val="28"/>
        </w:rPr>
      </w:pPr>
    </w:p>
    <w:p>
      <w:pPr>
        <w:jc w:val="right"/>
        <w:rPr>
          <w:rFonts w:ascii="宋体" w:hAnsi="宋体"/>
          <w:color w:val="000000"/>
          <w:sz w:val="28"/>
        </w:rPr>
      </w:pPr>
    </w:p>
    <w:p>
      <w:pPr>
        <w:jc w:val="center"/>
        <w:rPr>
          <w:rFonts w:ascii="黑体" w:hAnsi="宋体" w:eastAsia="黑体"/>
          <w:color w:val="000000"/>
          <w:sz w:val="44"/>
          <w:szCs w:val="44"/>
        </w:rPr>
      </w:pPr>
      <w:r>
        <w:rPr>
          <w:rFonts w:hint="eastAsia" w:ascii="黑体" w:hAnsi="宋体" w:eastAsia="黑体"/>
          <w:color w:val="000000"/>
          <w:sz w:val="44"/>
          <w:szCs w:val="44"/>
        </w:rPr>
        <w:t>承诺书</w:t>
      </w:r>
    </w:p>
    <w:p>
      <w:pPr>
        <w:spacing w:line="360" w:lineRule="auto"/>
        <w:rPr>
          <w:rFonts w:ascii="宋体" w:hAnsi="宋体"/>
          <w:b/>
          <w:color w:val="000000"/>
          <w:sz w:val="28"/>
        </w:rPr>
      </w:pPr>
      <w:r>
        <w:rPr>
          <w:rFonts w:hint="eastAsia" w:ascii="宋体" w:hAnsi="宋体"/>
          <w:color w:val="000000"/>
          <w:sz w:val="28"/>
        </w:rPr>
        <w:t>致</w:t>
      </w:r>
      <w:r>
        <w:rPr>
          <w:rFonts w:hint="eastAsia" w:ascii="宋体" w:hAnsi="宋体"/>
          <w:b/>
          <w:color w:val="000000"/>
          <w:sz w:val="28"/>
        </w:rPr>
        <w:t>：</w:t>
      </w:r>
      <w:r>
        <w:rPr>
          <w:rFonts w:hint="eastAsia" w:ascii="宋体" w:hAnsi="宋体"/>
          <w:sz w:val="28"/>
          <w:u w:val="single"/>
        </w:rPr>
        <w:t>重庆医科大学附属第二医院</w:t>
      </w:r>
    </w:p>
    <w:p>
      <w:pPr>
        <w:spacing w:line="360" w:lineRule="auto"/>
        <w:ind w:left="-2" w:leftChars="-1" w:firstLine="560" w:firstLineChars="200"/>
        <w:rPr>
          <w:rFonts w:ascii="宋体" w:hAnsi="宋体"/>
          <w:color w:val="000000"/>
          <w:sz w:val="28"/>
        </w:rPr>
      </w:pPr>
      <w:r>
        <w:rPr>
          <w:rFonts w:hint="eastAsia" w:ascii="宋体" w:hAnsi="宋体"/>
          <w:color w:val="000000"/>
          <w:sz w:val="28"/>
        </w:rPr>
        <w:t>我单位参加贵院</w:t>
      </w:r>
      <w:r>
        <w:rPr>
          <w:rFonts w:hint="eastAsia" w:ascii="宋体"/>
          <w:color w:val="000000"/>
          <w:kern w:val="0"/>
          <w:sz w:val="28"/>
          <w:szCs w:val="28"/>
          <w:u w:val="single"/>
        </w:rPr>
        <w:t>江南院区部分科室二次装修清单及最高限价编制</w:t>
      </w:r>
      <w:r>
        <w:rPr>
          <w:rFonts w:hint="eastAsia" w:ascii="宋体" w:hAnsi="宋体"/>
          <w:color w:val="000000"/>
          <w:sz w:val="28"/>
        </w:rPr>
        <w:t>的竞争性谈判工作，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pPr>
        <w:spacing w:line="360" w:lineRule="auto"/>
        <w:ind w:left="-2" w:leftChars="-1" w:firstLine="560" w:firstLineChars="200"/>
        <w:rPr>
          <w:rFonts w:ascii="宋体" w:hAnsi="宋体"/>
          <w:color w:val="000000"/>
          <w:sz w:val="28"/>
        </w:rPr>
      </w:pPr>
      <w:r>
        <w:rPr>
          <w:rFonts w:hint="eastAsia" w:ascii="宋体" w:hAnsi="宋体"/>
          <w:color w:val="000000"/>
          <w:sz w:val="28"/>
        </w:rPr>
        <w:t>1、若我司中标，保证不会有转包、卖标等行为。</w:t>
      </w:r>
    </w:p>
    <w:p>
      <w:pPr>
        <w:spacing w:line="360" w:lineRule="auto"/>
        <w:ind w:left="-2" w:leftChars="-1" w:firstLine="560" w:firstLineChars="200"/>
        <w:rPr>
          <w:rFonts w:ascii="宋体" w:hAnsi="宋体"/>
          <w:color w:val="000000"/>
          <w:sz w:val="28"/>
        </w:rPr>
      </w:pPr>
      <w:r>
        <w:rPr>
          <w:rFonts w:hint="eastAsia" w:ascii="宋体" w:hAnsi="宋体"/>
          <w:color w:val="000000"/>
          <w:sz w:val="28"/>
        </w:rPr>
        <w:t>2、我司保证按时签定合同。</w:t>
      </w:r>
    </w:p>
    <w:p>
      <w:pPr>
        <w:spacing w:line="360" w:lineRule="auto"/>
        <w:ind w:left="-2" w:leftChars="-1" w:firstLine="560" w:firstLineChars="200"/>
        <w:rPr>
          <w:rFonts w:ascii="宋体" w:hAnsi="宋体"/>
          <w:color w:val="000000"/>
          <w:sz w:val="28"/>
        </w:rPr>
      </w:pPr>
      <w:r>
        <w:rPr>
          <w:rFonts w:hint="eastAsia" w:ascii="宋体" w:hAnsi="宋体"/>
          <w:color w:val="000000"/>
          <w:sz w:val="28"/>
        </w:rPr>
        <w:t>3、在中标后，保证在规定时间内根据国家相关规范条例、行业标准、发包人及合同要求等按质按量完成编制工作。</w:t>
      </w:r>
    </w:p>
    <w:p>
      <w:pPr>
        <w:spacing w:line="360" w:lineRule="auto"/>
        <w:ind w:left="-2" w:leftChars="-1" w:firstLine="560" w:firstLineChars="200"/>
        <w:rPr>
          <w:rFonts w:ascii="宋体" w:hAnsi="宋体"/>
          <w:color w:val="000000"/>
          <w:sz w:val="28"/>
        </w:rPr>
      </w:pPr>
    </w:p>
    <w:p>
      <w:pPr>
        <w:spacing w:line="360" w:lineRule="auto"/>
        <w:ind w:left="-2" w:leftChars="-1" w:firstLine="560" w:firstLineChars="200"/>
        <w:rPr>
          <w:rFonts w:ascii="宋体" w:hAnsi="宋体"/>
          <w:color w:val="000000"/>
          <w:sz w:val="28"/>
        </w:rPr>
      </w:pPr>
      <w:r>
        <w:rPr>
          <w:rFonts w:hint="eastAsia" w:ascii="宋体" w:hAnsi="宋体"/>
          <w:color w:val="000000"/>
          <w:sz w:val="28"/>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竞谈人（公章）</w:t>
      </w:r>
    </w:p>
    <w:p>
      <w:pPr>
        <w:spacing w:line="360" w:lineRule="auto"/>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 xml:space="preserve">法定代表人（签章）       </w:t>
      </w:r>
    </w:p>
    <w:p>
      <w:pPr>
        <w:spacing w:line="360" w:lineRule="auto"/>
        <w:ind w:firstLine="560" w:firstLineChars="200"/>
        <w:rPr>
          <w:rFonts w:ascii="宋体" w:hAnsi="宋体"/>
          <w:color w:val="000000"/>
          <w:sz w:val="30"/>
          <w:szCs w:val="30"/>
        </w:rPr>
      </w:pPr>
      <w:r>
        <w:rPr>
          <w:rFonts w:hint="eastAsia" w:ascii="宋体" w:hAnsi="宋体"/>
          <w:color w:val="000000"/>
          <w:sz w:val="28"/>
        </w:rPr>
        <w:t xml:space="preserve">                                        年    月    日</w:t>
      </w:r>
    </w:p>
    <w:p>
      <w:pPr>
        <w:snapToGrid w:val="0"/>
        <w:spacing w:line="360" w:lineRule="auto"/>
        <w:ind w:firstLine="420" w:firstLineChars="200"/>
        <w:rPr>
          <w:kern w:val="0"/>
        </w:rPr>
      </w:pPr>
    </w:p>
    <w:p>
      <w:pPr>
        <w:snapToGrid w:val="0"/>
        <w:spacing w:line="360" w:lineRule="auto"/>
        <w:ind w:firstLine="420" w:firstLineChars="200"/>
        <w:rPr>
          <w:kern w:val="0"/>
        </w:rPr>
      </w:pPr>
    </w:p>
    <w:p>
      <w:pPr>
        <w:snapToGrid w:val="0"/>
        <w:ind w:firstLine="420" w:firstLineChars="200"/>
        <w:rPr>
          <w:kern w:val="0"/>
        </w:rPr>
      </w:pPr>
    </w:p>
    <w:p>
      <w:pPr>
        <w:snapToGrid w:val="0"/>
        <w:ind w:firstLine="420" w:firstLineChars="200"/>
        <w:rPr>
          <w:kern w:val="0"/>
        </w:rPr>
      </w:pPr>
    </w:p>
    <w:p>
      <w:pPr>
        <w:widowControl/>
        <w:spacing w:line="360" w:lineRule="auto"/>
        <w:ind w:firstLine="420" w:firstLineChars="200"/>
        <w:jc w:val="left"/>
        <w:rPr>
          <w:rFonts w:ascii="宋体" w:hAnsi="宋体"/>
          <w:color w:val="000000"/>
          <w:szCs w:val="21"/>
        </w:rPr>
      </w:pPr>
    </w:p>
    <w:p>
      <w:pPr>
        <w:widowControl/>
        <w:tabs>
          <w:tab w:val="left" w:pos="720"/>
        </w:tabs>
        <w:spacing w:before="120" w:beforeLines="50" w:line="440" w:lineRule="exact"/>
        <w:jc w:val="center"/>
        <w:rPr>
          <w:color w:val="000000"/>
          <w:kern w:val="0"/>
          <w:sz w:val="30"/>
          <w:szCs w:val="30"/>
        </w:rPr>
      </w:pPr>
    </w:p>
    <w:p>
      <w:pPr>
        <w:widowControl/>
        <w:tabs>
          <w:tab w:val="left" w:pos="720"/>
        </w:tabs>
        <w:spacing w:before="120" w:beforeLines="50" w:line="440" w:lineRule="exact"/>
        <w:jc w:val="center"/>
        <w:rPr>
          <w:color w:val="000000"/>
          <w:kern w:val="0"/>
          <w:sz w:val="30"/>
          <w:szCs w:val="30"/>
        </w:rPr>
      </w:pPr>
    </w:p>
    <w:p>
      <w:pPr>
        <w:pStyle w:val="39"/>
        <w:spacing w:before="120" w:after="120"/>
        <w:rPr>
          <w:sz w:val="44"/>
          <w:szCs w:val="44"/>
        </w:rPr>
      </w:pPr>
      <w:bookmarkStart w:id="0" w:name="_Toc299614844"/>
      <w:r>
        <w:rPr>
          <w:rFonts w:hint="eastAsia"/>
          <w:sz w:val="44"/>
          <w:szCs w:val="44"/>
        </w:rPr>
        <w:t>报价书（格式）</w:t>
      </w:r>
    </w:p>
    <w:p>
      <w:pPr>
        <w:pStyle w:val="38"/>
        <w:spacing w:line="360" w:lineRule="auto"/>
        <w:ind w:firstLine="539"/>
        <w:rPr>
          <w:sz w:val="28"/>
          <w:szCs w:val="28"/>
        </w:rPr>
      </w:pPr>
    </w:p>
    <w:p>
      <w:pPr>
        <w:pStyle w:val="38"/>
        <w:spacing w:line="360" w:lineRule="auto"/>
        <w:ind w:firstLine="539"/>
        <w:rPr>
          <w:sz w:val="28"/>
          <w:szCs w:val="28"/>
        </w:rPr>
      </w:pPr>
      <w:r>
        <w:rPr>
          <w:rFonts w:hint="eastAsia"/>
          <w:sz w:val="28"/>
          <w:szCs w:val="28"/>
        </w:rPr>
        <w:t>致：重庆医科大学附属第二医院</w:t>
      </w:r>
    </w:p>
    <w:p>
      <w:pPr>
        <w:pStyle w:val="38"/>
        <w:spacing w:line="360" w:lineRule="auto"/>
        <w:ind w:firstLine="539"/>
        <w:rPr>
          <w:sz w:val="28"/>
          <w:szCs w:val="28"/>
        </w:rPr>
      </w:pPr>
      <w:r>
        <w:rPr>
          <w:rFonts w:hint="eastAsia"/>
          <w:sz w:val="28"/>
          <w:szCs w:val="28"/>
        </w:rPr>
        <w:t>我们已经仔细地研究了</w:t>
      </w:r>
      <w:r>
        <w:rPr>
          <w:rFonts w:hint="eastAsia"/>
          <w:sz w:val="28"/>
          <w:szCs w:val="28"/>
          <w:u w:val="single"/>
        </w:rPr>
        <w:t>江南院区部分科室二次装修清单及最高限价编制</w:t>
      </w:r>
      <w:r>
        <w:rPr>
          <w:rFonts w:hint="eastAsia"/>
          <w:sz w:val="28"/>
          <w:szCs w:val="28"/>
        </w:rPr>
        <w:t>竞争性谈判文件的全部内容。我们已完全理解了竞争性谈判文件规定的合同范围、要求，并考虑到了潜在所有风险。</w:t>
      </w:r>
    </w:p>
    <w:p>
      <w:pPr>
        <w:pStyle w:val="38"/>
        <w:spacing w:line="360" w:lineRule="auto"/>
        <w:ind w:firstLine="539"/>
        <w:rPr>
          <w:rFonts w:ascii="黑体" w:eastAsia="黑体"/>
          <w:sz w:val="28"/>
          <w:szCs w:val="28"/>
          <w:u w:val="single"/>
        </w:rPr>
      </w:pPr>
      <w:r>
        <w:rPr>
          <w:rFonts w:hint="eastAsia"/>
          <w:sz w:val="28"/>
          <w:szCs w:val="28"/>
        </w:rPr>
        <w:t>据此，我们承诺参照《</w:t>
      </w:r>
      <w:r>
        <w:rPr>
          <w:sz w:val="28"/>
          <w:szCs w:val="28"/>
        </w:rPr>
        <w:t>重庆市物价局关于工程造价咨询服务收费有关事项的通知</w:t>
      </w:r>
      <w:r>
        <w:rPr>
          <w:rFonts w:hint="eastAsia"/>
          <w:sz w:val="28"/>
          <w:szCs w:val="28"/>
        </w:rPr>
        <w:t>》</w:t>
      </w:r>
      <w:r>
        <w:rPr>
          <w:sz w:val="28"/>
          <w:szCs w:val="28"/>
        </w:rPr>
        <w:t>渝价</w:t>
      </w:r>
      <w:r>
        <w:rPr>
          <w:rFonts w:hint="eastAsia"/>
          <w:sz w:val="28"/>
          <w:szCs w:val="28"/>
        </w:rPr>
        <w:t>〔</w:t>
      </w:r>
      <w:r>
        <w:rPr>
          <w:sz w:val="28"/>
          <w:szCs w:val="28"/>
        </w:rPr>
        <w:t>20</w:t>
      </w:r>
      <w:r>
        <w:rPr>
          <w:rFonts w:hint="eastAsia"/>
          <w:sz w:val="28"/>
          <w:szCs w:val="28"/>
        </w:rPr>
        <w:t>13〕428</w:t>
      </w:r>
      <w:r>
        <w:rPr>
          <w:sz w:val="28"/>
          <w:szCs w:val="28"/>
        </w:rPr>
        <w:t>号</w:t>
      </w:r>
      <w:r>
        <w:rPr>
          <w:rFonts w:hint="eastAsia"/>
          <w:sz w:val="28"/>
          <w:szCs w:val="28"/>
        </w:rPr>
        <w:t>文规定的工程造价咨询费收费标准，结合本项目特点及我方实际情况，本项目咨询费下浮</w:t>
      </w:r>
      <w:r>
        <w:rPr>
          <w:rFonts w:hint="eastAsia"/>
          <w:sz w:val="28"/>
          <w:szCs w:val="28"/>
          <w:u w:val="single"/>
        </w:rPr>
        <w:t xml:space="preserve">         </w:t>
      </w:r>
    </w:p>
    <w:p>
      <w:pPr>
        <w:pStyle w:val="38"/>
        <w:spacing w:line="360" w:lineRule="auto"/>
        <w:ind w:firstLine="539"/>
        <w:rPr>
          <w:sz w:val="28"/>
          <w:szCs w:val="28"/>
        </w:rPr>
      </w:pPr>
    </w:p>
    <w:p>
      <w:pPr>
        <w:pStyle w:val="38"/>
        <w:spacing w:line="360" w:lineRule="auto"/>
        <w:ind w:firstLine="539"/>
        <w:rPr>
          <w:sz w:val="28"/>
          <w:szCs w:val="28"/>
        </w:rPr>
      </w:pPr>
      <w:r>
        <w:rPr>
          <w:rFonts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pPr>
        <w:pStyle w:val="38"/>
        <w:spacing w:line="360" w:lineRule="auto"/>
        <w:ind w:firstLine="539"/>
        <w:rPr>
          <w:sz w:val="28"/>
          <w:szCs w:val="28"/>
        </w:rPr>
      </w:pPr>
      <w:r>
        <w:rPr>
          <w:rFonts w:hint="eastAsia"/>
          <w:sz w:val="28"/>
          <w:szCs w:val="28"/>
        </w:rPr>
        <w:t>我方同意贵单位并不一定必须接受收到的最低报价的报价或任何报价。</w:t>
      </w:r>
    </w:p>
    <w:p>
      <w:pPr>
        <w:pStyle w:val="38"/>
        <w:spacing w:line="360" w:lineRule="auto"/>
        <w:ind w:firstLine="0"/>
        <w:rPr>
          <w:sz w:val="30"/>
          <w:szCs w:val="30"/>
        </w:rPr>
      </w:pPr>
    </w:p>
    <w:p>
      <w:pPr>
        <w:pStyle w:val="38"/>
        <w:spacing w:line="700" w:lineRule="atLeast"/>
        <w:ind w:firstLine="539"/>
        <w:rPr>
          <w:sz w:val="30"/>
          <w:szCs w:val="30"/>
        </w:rPr>
      </w:pPr>
      <w:r>
        <w:rPr>
          <w:rFonts w:hint="eastAsia"/>
          <w:sz w:val="30"/>
          <w:szCs w:val="30"/>
        </w:rPr>
        <w:t>竞谈单位（盖章）：</w:t>
      </w:r>
    </w:p>
    <w:p>
      <w:pPr>
        <w:pStyle w:val="38"/>
        <w:spacing w:line="700" w:lineRule="atLeast"/>
        <w:ind w:firstLine="539"/>
        <w:rPr>
          <w:sz w:val="30"/>
          <w:szCs w:val="30"/>
        </w:rPr>
      </w:pPr>
      <w:r>
        <w:rPr>
          <w:rFonts w:hint="eastAsia"/>
          <w:sz w:val="30"/>
          <w:szCs w:val="30"/>
        </w:rPr>
        <w:t>法定代表人或法人授权代表（签字）：</w:t>
      </w:r>
    </w:p>
    <w:p>
      <w:pPr>
        <w:pStyle w:val="38"/>
        <w:spacing w:line="700" w:lineRule="atLeast"/>
        <w:ind w:firstLine="539"/>
        <w:rPr>
          <w:sz w:val="30"/>
          <w:szCs w:val="30"/>
        </w:rPr>
      </w:pPr>
      <w:r>
        <w:rPr>
          <w:rFonts w:hint="eastAsia"/>
          <w:sz w:val="30"/>
          <w:szCs w:val="30"/>
        </w:rPr>
        <w:t>时间：</w:t>
      </w:r>
    </w:p>
    <w:p>
      <w:pPr>
        <w:pStyle w:val="38"/>
        <w:spacing w:before="120" w:after="120"/>
      </w:pPr>
      <w:bookmarkStart w:id="1" w:name="_Toc232834233"/>
    </w:p>
    <w:p>
      <w:pPr>
        <w:pStyle w:val="38"/>
        <w:spacing w:before="120" w:after="120"/>
        <w:sectPr>
          <w:footerReference r:id="rId9" w:type="default"/>
          <w:type w:val="continuous"/>
          <w:pgSz w:w="11907" w:h="16840"/>
          <w:pgMar w:top="1134" w:right="1134" w:bottom="1134" w:left="1440" w:header="851" w:footer="992" w:gutter="0"/>
          <w:cols w:space="425" w:num="1"/>
          <w:docGrid w:linePitch="312" w:charSpace="0"/>
        </w:sectPr>
      </w:pPr>
    </w:p>
    <w:p>
      <w:pPr>
        <w:spacing w:line="460" w:lineRule="exact"/>
        <w:ind w:firstLine="6045" w:firstLineChars="2007"/>
        <w:rPr>
          <w:rFonts w:ascii="仿宋_GB2312" w:eastAsia="仿宋_GB2312"/>
          <w:b/>
          <w:sz w:val="30"/>
          <w:szCs w:val="30"/>
        </w:rPr>
      </w:pPr>
      <w:r>
        <w:rPr>
          <w:rFonts w:hint="eastAsia" w:ascii="仿宋_GB2312" w:eastAsia="仿宋_GB2312"/>
          <w:b/>
          <w:sz w:val="30"/>
          <w:szCs w:val="30"/>
        </w:rPr>
        <w:t>本工程造价咨询人员一览表</w:t>
      </w:r>
    </w:p>
    <w:p>
      <w:pPr>
        <w:spacing w:line="460" w:lineRule="exact"/>
        <w:ind w:firstLine="482"/>
        <w:rPr>
          <w:rFonts w:ascii="仿宋_GB2312" w:eastAsia="仿宋_GB2312"/>
        </w:rPr>
      </w:pPr>
    </w:p>
    <w:tbl>
      <w:tblPr>
        <w:tblStyle w:val="21"/>
        <w:tblW w:w="1068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94"/>
        <w:gridCol w:w="1440"/>
        <w:gridCol w:w="900"/>
        <w:gridCol w:w="1080"/>
        <w:gridCol w:w="929"/>
        <w:gridCol w:w="929"/>
        <w:gridCol w:w="959"/>
        <w:gridCol w:w="1522"/>
        <w:gridCol w:w="14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vAlign w:val="center"/>
          </w:tcPr>
          <w:p>
            <w:pPr>
              <w:spacing w:line="460" w:lineRule="exact"/>
              <w:ind w:firstLine="482"/>
              <w:rPr>
                <w:rFonts w:ascii="仿宋_GB2312" w:eastAsia="仿宋_GB2312"/>
              </w:rPr>
            </w:pPr>
            <w:r>
              <w:rPr>
                <w:rFonts w:hint="eastAsia" w:ascii="仿宋_GB2312" w:eastAsia="仿宋_GB2312"/>
              </w:rPr>
              <w:t>岗位</w:t>
            </w:r>
          </w:p>
        </w:tc>
        <w:tc>
          <w:tcPr>
            <w:tcW w:w="1440" w:type="dxa"/>
            <w:vAlign w:val="center"/>
          </w:tcPr>
          <w:p>
            <w:pPr>
              <w:spacing w:line="460" w:lineRule="exact"/>
              <w:ind w:firstLine="482"/>
              <w:rPr>
                <w:rFonts w:ascii="仿宋_GB2312" w:eastAsia="仿宋_GB2312"/>
              </w:rPr>
            </w:pPr>
            <w:r>
              <w:rPr>
                <w:rFonts w:hint="eastAsia" w:ascii="仿宋_GB2312" w:eastAsia="仿宋_GB2312"/>
              </w:rPr>
              <w:t>姓名</w:t>
            </w:r>
          </w:p>
        </w:tc>
        <w:tc>
          <w:tcPr>
            <w:tcW w:w="900" w:type="dxa"/>
            <w:vAlign w:val="center"/>
          </w:tcPr>
          <w:p>
            <w:pPr>
              <w:spacing w:line="460" w:lineRule="exact"/>
              <w:ind w:hanging="18"/>
              <w:jc w:val="center"/>
              <w:rPr>
                <w:rFonts w:ascii="仿宋_GB2312" w:eastAsia="仿宋_GB2312"/>
              </w:rPr>
            </w:pPr>
            <w:r>
              <w:rPr>
                <w:rFonts w:hint="eastAsia" w:ascii="仿宋_GB2312" w:eastAsia="仿宋_GB2312"/>
              </w:rPr>
              <w:t>性别</w:t>
            </w:r>
          </w:p>
        </w:tc>
        <w:tc>
          <w:tcPr>
            <w:tcW w:w="1080" w:type="dxa"/>
            <w:vAlign w:val="center"/>
          </w:tcPr>
          <w:p>
            <w:pPr>
              <w:spacing w:line="460" w:lineRule="exact"/>
              <w:ind w:firstLine="30"/>
              <w:jc w:val="center"/>
              <w:rPr>
                <w:rFonts w:ascii="仿宋_GB2312" w:eastAsia="仿宋_GB2312"/>
              </w:rPr>
            </w:pPr>
            <w:r>
              <w:rPr>
                <w:rFonts w:hint="eastAsia" w:ascii="仿宋_GB2312" w:eastAsia="仿宋_GB2312"/>
              </w:rPr>
              <w:t>年龄</w:t>
            </w:r>
          </w:p>
        </w:tc>
        <w:tc>
          <w:tcPr>
            <w:tcW w:w="929" w:type="dxa"/>
            <w:vAlign w:val="center"/>
          </w:tcPr>
          <w:p>
            <w:pPr>
              <w:spacing w:line="460" w:lineRule="exact"/>
              <w:jc w:val="center"/>
              <w:rPr>
                <w:rFonts w:ascii="仿宋_GB2312" w:eastAsia="仿宋_GB2312"/>
              </w:rPr>
            </w:pPr>
            <w:r>
              <w:rPr>
                <w:rFonts w:hint="eastAsia" w:ascii="仿宋_GB2312" w:eastAsia="仿宋_GB2312"/>
              </w:rPr>
              <w:t>职称</w:t>
            </w:r>
          </w:p>
        </w:tc>
        <w:tc>
          <w:tcPr>
            <w:tcW w:w="929" w:type="dxa"/>
            <w:vAlign w:val="center"/>
          </w:tcPr>
          <w:p>
            <w:pPr>
              <w:spacing w:line="460" w:lineRule="exact"/>
              <w:jc w:val="center"/>
              <w:rPr>
                <w:rFonts w:ascii="仿宋_GB2312" w:eastAsia="仿宋_GB2312"/>
              </w:rPr>
            </w:pPr>
            <w:r>
              <w:rPr>
                <w:rFonts w:hint="eastAsia" w:ascii="仿宋_GB2312" w:eastAsia="仿宋_GB2312"/>
              </w:rPr>
              <w:t>职务</w:t>
            </w:r>
          </w:p>
        </w:tc>
        <w:tc>
          <w:tcPr>
            <w:tcW w:w="959" w:type="dxa"/>
            <w:vAlign w:val="center"/>
          </w:tcPr>
          <w:p>
            <w:pPr>
              <w:spacing w:line="460" w:lineRule="exact"/>
              <w:jc w:val="center"/>
              <w:rPr>
                <w:rFonts w:ascii="仿宋_GB2312" w:eastAsia="仿宋_GB2312"/>
              </w:rPr>
            </w:pPr>
            <w:r>
              <w:rPr>
                <w:rFonts w:hint="eastAsia" w:ascii="仿宋_GB2312" w:eastAsia="仿宋_GB2312"/>
              </w:rPr>
              <w:t>学历</w:t>
            </w:r>
          </w:p>
        </w:tc>
        <w:tc>
          <w:tcPr>
            <w:tcW w:w="1522" w:type="dxa"/>
            <w:vAlign w:val="center"/>
          </w:tcPr>
          <w:p>
            <w:pPr>
              <w:spacing w:line="460" w:lineRule="exact"/>
              <w:jc w:val="center"/>
              <w:rPr>
                <w:rFonts w:ascii="仿宋_GB2312" w:eastAsia="仿宋_GB2312"/>
              </w:rPr>
            </w:pPr>
            <w:r>
              <w:rPr>
                <w:rFonts w:hint="eastAsia" w:ascii="仿宋_GB2312" w:eastAsia="仿宋_GB2312"/>
              </w:rPr>
              <w:t>专业</w:t>
            </w:r>
          </w:p>
        </w:tc>
        <w:tc>
          <w:tcPr>
            <w:tcW w:w="1427" w:type="dxa"/>
            <w:vAlign w:val="center"/>
          </w:tcPr>
          <w:p>
            <w:pPr>
              <w:spacing w:line="460" w:lineRule="exact"/>
              <w:jc w:val="center"/>
              <w:rPr>
                <w:rFonts w:ascii="仿宋_GB2312" w:eastAsia="仿宋_GB2312"/>
              </w:rPr>
            </w:pPr>
            <w:r>
              <w:rPr>
                <w:rFonts w:hint="eastAsia" w:ascii="仿宋_GB2312" w:eastAsia="仿宋_GB2312"/>
              </w:rPr>
              <w:t>造价资格证编号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10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c>
          <w:tcPr>
            <w:tcW w:w="1427" w:type="dxa"/>
          </w:tcPr>
          <w:p>
            <w:pPr>
              <w:spacing w:line="460" w:lineRule="exact"/>
              <w:ind w:firstLine="482"/>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48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c>
          <w:tcPr>
            <w:tcW w:w="1427" w:type="dxa"/>
          </w:tcPr>
          <w:p>
            <w:pPr>
              <w:spacing w:line="460" w:lineRule="exact"/>
              <w:ind w:firstLine="482"/>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48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c>
          <w:tcPr>
            <w:tcW w:w="1427" w:type="dxa"/>
          </w:tcPr>
          <w:p>
            <w:pPr>
              <w:spacing w:line="460" w:lineRule="exact"/>
              <w:ind w:firstLine="482"/>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48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c>
          <w:tcPr>
            <w:tcW w:w="1427" w:type="dxa"/>
          </w:tcPr>
          <w:p>
            <w:pPr>
              <w:spacing w:line="460" w:lineRule="exact"/>
              <w:ind w:firstLine="482"/>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48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c>
          <w:tcPr>
            <w:tcW w:w="1427" w:type="dxa"/>
          </w:tcPr>
          <w:p>
            <w:pPr>
              <w:spacing w:line="460" w:lineRule="exact"/>
              <w:ind w:firstLine="482"/>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48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c>
          <w:tcPr>
            <w:tcW w:w="1427" w:type="dxa"/>
          </w:tcPr>
          <w:p>
            <w:pPr>
              <w:spacing w:line="460" w:lineRule="exact"/>
              <w:ind w:firstLine="482"/>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48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c>
          <w:tcPr>
            <w:tcW w:w="1427" w:type="dxa"/>
          </w:tcPr>
          <w:p>
            <w:pPr>
              <w:spacing w:line="460" w:lineRule="exact"/>
              <w:ind w:firstLine="482"/>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48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c>
          <w:tcPr>
            <w:tcW w:w="1427" w:type="dxa"/>
          </w:tcPr>
          <w:p>
            <w:pPr>
              <w:spacing w:line="460" w:lineRule="exact"/>
              <w:ind w:firstLine="482"/>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48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c>
          <w:tcPr>
            <w:tcW w:w="1427" w:type="dxa"/>
          </w:tcPr>
          <w:p>
            <w:pPr>
              <w:spacing w:line="460" w:lineRule="exact"/>
              <w:ind w:firstLine="482"/>
              <w:rPr>
                <w:rFonts w:ascii="仿宋_GB2312" w:eastAsia="仿宋_GB2312"/>
              </w:rPr>
            </w:pPr>
          </w:p>
        </w:tc>
      </w:tr>
    </w:tbl>
    <w:p>
      <w:pPr>
        <w:spacing w:line="460" w:lineRule="exact"/>
        <w:ind w:firstLine="1110" w:firstLineChars="529"/>
      </w:pPr>
      <w:r>
        <w:rPr>
          <w:rFonts w:hint="eastAsia"/>
        </w:rPr>
        <w:t>用于该工程的咨询人员未经甲方批准不得擅自更换，否则按合同相关条款承担违约责任。</w:t>
      </w:r>
    </w:p>
    <w:p>
      <w:pPr>
        <w:spacing w:line="460" w:lineRule="exact"/>
        <w:ind w:firstLine="1110" w:firstLineChars="529"/>
      </w:pPr>
    </w:p>
    <w:p>
      <w:pPr>
        <w:spacing w:line="460" w:lineRule="exact"/>
        <w:ind w:firstLine="1110" w:firstLineChars="529"/>
      </w:pPr>
    </w:p>
    <w:p>
      <w:pPr>
        <w:spacing w:line="460" w:lineRule="exact"/>
        <w:ind w:firstLine="1110" w:firstLineChars="529"/>
      </w:pPr>
    </w:p>
    <w:p>
      <w:pPr>
        <w:spacing w:line="460" w:lineRule="exact"/>
        <w:ind w:firstLine="1110" w:firstLineChars="529"/>
      </w:pPr>
    </w:p>
    <w:p>
      <w:pPr>
        <w:spacing w:line="460" w:lineRule="exact"/>
        <w:ind w:firstLine="1110" w:firstLineChars="529"/>
      </w:pPr>
    </w:p>
    <w:p>
      <w:pPr>
        <w:spacing w:line="460" w:lineRule="exact"/>
        <w:ind w:firstLine="1110" w:firstLineChars="529"/>
        <w:sectPr>
          <w:type w:val="continuous"/>
          <w:pgSz w:w="16840" w:h="11907" w:orient="landscape"/>
          <w:pgMar w:top="1440" w:right="1134" w:bottom="1134" w:left="1134" w:header="851" w:footer="992" w:gutter="0"/>
          <w:cols w:space="425" w:num="1"/>
          <w:docGrid w:linePitch="312" w:charSpace="0"/>
        </w:sectPr>
      </w:pPr>
    </w:p>
    <w:bookmarkEnd w:id="0"/>
    <w:bookmarkEnd w:id="1"/>
    <w:p>
      <w:pPr>
        <w:spacing w:line="460" w:lineRule="exact"/>
        <w:jc w:val="center"/>
        <w:rPr>
          <w:rFonts w:ascii="仿宋_GB2312" w:eastAsia="仿宋_GB2312"/>
          <w:b/>
          <w:sz w:val="30"/>
          <w:szCs w:val="30"/>
        </w:rPr>
      </w:pPr>
      <w:r>
        <w:rPr>
          <w:rFonts w:hint="eastAsia" w:ascii="仿宋_GB2312" w:eastAsia="仿宋_GB2312"/>
          <w:b/>
          <w:sz w:val="30"/>
          <w:szCs w:val="30"/>
        </w:rPr>
        <w:t>评分办法</w:t>
      </w:r>
    </w:p>
    <w:p>
      <w:pPr>
        <w:rPr>
          <w:rFonts w:ascii="仿宋" w:hAnsi="仿宋" w:eastAsia="仿宋" w:cs="仿宋"/>
          <w:b/>
          <w:sz w:val="24"/>
        </w:rPr>
      </w:pPr>
    </w:p>
    <w:p>
      <w:pPr>
        <w:pStyle w:val="42"/>
        <w:ind w:firstLine="0" w:firstLineChars="0"/>
        <w:rPr>
          <w:rFonts w:ascii="Times New Roman" w:hAnsi="Times New Roman"/>
          <w:szCs w:val="24"/>
        </w:rPr>
      </w:pPr>
      <w:r>
        <w:rPr>
          <w:rFonts w:hint="eastAsia" w:ascii="Times New Roman" w:hAnsi="Times New Roman"/>
          <w:szCs w:val="24"/>
        </w:rPr>
        <w:t>评标总分为100分，由经济分、技术分和商务分综合组成：</w:t>
      </w:r>
    </w:p>
    <w:tbl>
      <w:tblPr>
        <w:tblStyle w:val="21"/>
        <w:tblW w:w="1460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559"/>
        <w:gridCol w:w="1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560" w:type="dxa"/>
            <w:shd w:val="clear" w:color="auto" w:fill="auto"/>
            <w:vAlign w:val="center"/>
          </w:tcPr>
          <w:p>
            <w:pPr>
              <w:pStyle w:val="42"/>
              <w:ind w:firstLine="0" w:firstLineChars="0"/>
              <w:jc w:val="center"/>
              <w:rPr>
                <w:rFonts w:ascii="Times New Roman" w:hAnsi="Times New Roman"/>
                <w:szCs w:val="24"/>
              </w:rPr>
            </w:pPr>
            <w:r>
              <w:rPr>
                <w:rFonts w:hint="eastAsia" w:ascii="Times New Roman" w:hAnsi="Times New Roman"/>
                <w:szCs w:val="24"/>
              </w:rPr>
              <w:t>组成部分</w:t>
            </w:r>
          </w:p>
        </w:tc>
        <w:tc>
          <w:tcPr>
            <w:tcW w:w="1559" w:type="dxa"/>
            <w:shd w:val="clear" w:color="auto" w:fill="auto"/>
            <w:vAlign w:val="center"/>
          </w:tcPr>
          <w:p>
            <w:pPr>
              <w:pStyle w:val="42"/>
              <w:ind w:firstLine="0" w:firstLineChars="0"/>
              <w:jc w:val="center"/>
              <w:rPr>
                <w:rFonts w:ascii="Times New Roman" w:hAnsi="Times New Roman"/>
                <w:szCs w:val="24"/>
              </w:rPr>
            </w:pPr>
            <w:r>
              <w:rPr>
                <w:rFonts w:hint="eastAsia" w:ascii="Times New Roman" w:hAnsi="Times New Roman"/>
                <w:szCs w:val="24"/>
              </w:rPr>
              <w:t>单项总分</w:t>
            </w:r>
          </w:p>
        </w:tc>
        <w:tc>
          <w:tcPr>
            <w:tcW w:w="11482" w:type="dxa"/>
            <w:shd w:val="clear" w:color="auto" w:fill="auto"/>
            <w:vAlign w:val="center"/>
          </w:tcPr>
          <w:p>
            <w:pPr>
              <w:pStyle w:val="42"/>
              <w:ind w:firstLine="0" w:firstLineChars="0"/>
              <w:jc w:val="center"/>
              <w:rPr>
                <w:rFonts w:ascii="Times New Roman" w:hAnsi="Times New Roman"/>
                <w:szCs w:val="24"/>
              </w:rPr>
            </w:pPr>
            <w:r>
              <w:rPr>
                <w:rFonts w:hint="eastAsia" w:ascii="Times New Roman" w:hAnsi="Times New Roman"/>
                <w:szCs w:val="24"/>
              </w:rPr>
              <w:t>评定细则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1560" w:type="dxa"/>
            <w:shd w:val="clear" w:color="auto" w:fill="auto"/>
            <w:vAlign w:val="center"/>
          </w:tcPr>
          <w:p>
            <w:pPr>
              <w:pStyle w:val="42"/>
              <w:ind w:firstLine="0" w:firstLineChars="0"/>
              <w:rPr>
                <w:rFonts w:ascii="Times New Roman" w:hAnsi="Times New Roman"/>
                <w:szCs w:val="24"/>
              </w:rPr>
            </w:pPr>
            <w:r>
              <w:rPr>
                <w:rFonts w:hint="eastAsia" w:ascii="Times New Roman" w:hAnsi="Times New Roman"/>
                <w:szCs w:val="24"/>
              </w:rPr>
              <w:t>1. 经济</w:t>
            </w:r>
          </w:p>
        </w:tc>
        <w:tc>
          <w:tcPr>
            <w:tcW w:w="1559" w:type="dxa"/>
            <w:shd w:val="clear" w:color="auto" w:fill="auto"/>
            <w:vAlign w:val="center"/>
          </w:tcPr>
          <w:p>
            <w:pPr>
              <w:pStyle w:val="42"/>
              <w:ind w:firstLine="0" w:firstLineChars="0"/>
              <w:jc w:val="center"/>
              <w:rPr>
                <w:rFonts w:ascii="Times New Roman" w:hAnsi="Times New Roman"/>
                <w:szCs w:val="24"/>
              </w:rPr>
            </w:pPr>
            <w:r>
              <w:rPr>
                <w:rFonts w:hint="eastAsia" w:ascii="Times New Roman" w:hAnsi="Times New Roman"/>
                <w:szCs w:val="24"/>
              </w:rPr>
              <w:t>60分</w:t>
            </w:r>
          </w:p>
        </w:tc>
        <w:tc>
          <w:tcPr>
            <w:tcW w:w="11482" w:type="dxa"/>
            <w:shd w:val="clear" w:color="auto" w:fill="auto"/>
            <w:vAlign w:val="center"/>
          </w:tcPr>
          <w:p>
            <w:pPr>
              <w:spacing w:line="360" w:lineRule="auto"/>
            </w:pPr>
            <w:r>
              <w:rPr>
                <w:rFonts w:hint="eastAsia"/>
              </w:rPr>
              <w:t>本项目费用参照《重庆市物价局关于工程造价咨询服务收费标准的通知》（渝价[2013]428号文件）工程量清单及组价编制取费标准，采用费率下浮方式报价，下浮比例不得低于20%（不含20%）。投标人报价每多下浮1%加2分，最高得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560" w:type="dxa"/>
            <w:vMerge w:val="restart"/>
            <w:shd w:val="clear" w:color="auto" w:fill="auto"/>
            <w:vAlign w:val="center"/>
          </w:tcPr>
          <w:p>
            <w:pPr>
              <w:pStyle w:val="42"/>
              <w:ind w:firstLine="0" w:firstLineChars="0"/>
              <w:rPr>
                <w:rFonts w:ascii="Times New Roman" w:hAnsi="Times New Roman"/>
                <w:szCs w:val="24"/>
              </w:rPr>
            </w:pPr>
            <w:r>
              <w:rPr>
                <w:rFonts w:hint="eastAsia" w:ascii="Times New Roman" w:hAnsi="Times New Roman"/>
                <w:szCs w:val="24"/>
              </w:rPr>
              <w:t>2. 技术</w:t>
            </w:r>
          </w:p>
        </w:tc>
        <w:tc>
          <w:tcPr>
            <w:tcW w:w="1559" w:type="dxa"/>
            <w:vMerge w:val="restart"/>
            <w:shd w:val="clear" w:color="auto" w:fill="auto"/>
            <w:vAlign w:val="center"/>
          </w:tcPr>
          <w:p>
            <w:pPr>
              <w:pStyle w:val="42"/>
              <w:ind w:firstLine="0" w:firstLineChars="0"/>
              <w:jc w:val="center"/>
              <w:rPr>
                <w:rFonts w:ascii="Times New Roman" w:hAnsi="Times New Roman"/>
                <w:szCs w:val="24"/>
              </w:rPr>
            </w:pPr>
            <w:r>
              <w:rPr>
                <w:rFonts w:hint="eastAsia" w:ascii="Times New Roman" w:hAnsi="Times New Roman"/>
                <w:szCs w:val="24"/>
              </w:rPr>
              <w:t>20分</w:t>
            </w:r>
          </w:p>
        </w:tc>
        <w:tc>
          <w:tcPr>
            <w:tcW w:w="11482" w:type="dxa"/>
            <w:shd w:val="clear" w:color="auto" w:fill="auto"/>
            <w:vAlign w:val="center"/>
          </w:tcPr>
          <w:p>
            <w:pPr>
              <w:pStyle w:val="42"/>
              <w:spacing w:line="360" w:lineRule="auto"/>
              <w:ind w:firstLine="0" w:firstLineChars="0"/>
              <w:rPr>
                <w:rFonts w:ascii="Times New Roman" w:hAnsi="Times New Roman"/>
                <w:szCs w:val="24"/>
              </w:rPr>
            </w:pPr>
            <w:r>
              <w:rPr>
                <w:rFonts w:hint="eastAsia" w:ascii="Times New Roman" w:hAnsi="Times New Roman"/>
                <w:szCs w:val="24"/>
              </w:rPr>
              <w:t>综合比较投标人提供的预算编制的服务指导思想及工作目标。优秀的得5分，良好的3分，一般的1分。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1560" w:type="dxa"/>
            <w:vMerge w:val="continue"/>
            <w:shd w:val="clear" w:color="auto" w:fill="auto"/>
            <w:vAlign w:val="center"/>
          </w:tcPr>
          <w:p>
            <w:pPr>
              <w:pStyle w:val="42"/>
              <w:ind w:firstLine="0" w:firstLineChars="0"/>
              <w:rPr>
                <w:rFonts w:ascii="Times New Roman" w:hAnsi="Times New Roman"/>
                <w:szCs w:val="24"/>
              </w:rPr>
            </w:pPr>
          </w:p>
        </w:tc>
        <w:tc>
          <w:tcPr>
            <w:tcW w:w="1559" w:type="dxa"/>
            <w:vMerge w:val="continue"/>
            <w:shd w:val="clear" w:color="auto" w:fill="auto"/>
            <w:vAlign w:val="center"/>
          </w:tcPr>
          <w:p>
            <w:pPr>
              <w:pStyle w:val="42"/>
              <w:ind w:firstLine="0" w:firstLineChars="0"/>
              <w:jc w:val="center"/>
              <w:rPr>
                <w:rFonts w:ascii="Times New Roman" w:hAnsi="Times New Roman"/>
                <w:szCs w:val="24"/>
              </w:rPr>
            </w:pPr>
          </w:p>
        </w:tc>
        <w:tc>
          <w:tcPr>
            <w:tcW w:w="11482" w:type="dxa"/>
            <w:shd w:val="clear" w:color="auto" w:fill="auto"/>
            <w:vAlign w:val="center"/>
          </w:tcPr>
          <w:p>
            <w:pPr>
              <w:pStyle w:val="42"/>
              <w:spacing w:line="360" w:lineRule="auto"/>
              <w:ind w:firstLine="0" w:firstLineChars="0"/>
              <w:rPr>
                <w:rFonts w:ascii="Times New Roman" w:hAnsi="Times New Roman"/>
                <w:szCs w:val="24"/>
              </w:rPr>
            </w:pPr>
            <w:r>
              <w:rPr>
                <w:rFonts w:hint="eastAsia" w:ascii="Times New Roman" w:hAnsi="Times New Roman"/>
                <w:szCs w:val="24"/>
              </w:rPr>
              <w:t>综合比较投标人提供的预算编制的岗位职责和职业守则。优秀的得5分，良好的得3分，一般的得1分。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1560" w:type="dxa"/>
            <w:vMerge w:val="continue"/>
            <w:shd w:val="clear" w:color="auto" w:fill="auto"/>
            <w:vAlign w:val="center"/>
          </w:tcPr>
          <w:p>
            <w:pPr>
              <w:pStyle w:val="42"/>
              <w:ind w:firstLine="0" w:firstLineChars="0"/>
              <w:rPr>
                <w:rFonts w:ascii="Times New Roman" w:hAnsi="Times New Roman"/>
                <w:szCs w:val="24"/>
              </w:rPr>
            </w:pPr>
          </w:p>
        </w:tc>
        <w:tc>
          <w:tcPr>
            <w:tcW w:w="1559" w:type="dxa"/>
            <w:vMerge w:val="continue"/>
            <w:shd w:val="clear" w:color="auto" w:fill="auto"/>
            <w:vAlign w:val="center"/>
          </w:tcPr>
          <w:p>
            <w:pPr>
              <w:pStyle w:val="42"/>
              <w:ind w:firstLine="0" w:firstLineChars="0"/>
              <w:jc w:val="center"/>
              <w:rPr>
                <w:rFonts w:ascii="Times New Roman" w:hAnsi="Times New Roman"/>
                <w:szCs w:val="24"/>
              </w:rPr>
            </w:pPr>
          </w:p>
        </w:tc>
        <w:tc>
          <w:tcPr>
            <w:tcW w:w="11482" w:type="dxa"/>
            <w:shd w:val="clear" w:color="auto" w:fill="auto"/>
            <w:vAlign w:val="center"/>
          </w:tcPr>
          <w:p>
            <w:pPr>
              <w:pStyle w:val="42"/>
              <w:spacing w:line="360" w:lineRule="auto"/>
              <w:ind w:firstLine="0" w:firstLineChars="0"/>
              <w:rPr>
                <w:rFonts w:ascii="Times New Roman" w:hAnsi="Times New Roman"/>
                <w:szCs w:val="24"/>
              </w:rPr>
            </w:pPr>
            <w:r>
              <w:rPr>
                <w:rFonts w:hint="eastAsia" w:ascii="Times New Roman" w:hAnsi="Times New Roman"/>
                <w:szCs w:val="24"/>
              </w:rPr>
              <w:t>综合比较投标人提供的预算编制措施及本工程预算编制的重难点分析。优秀的得5分，良好的得3分，一般的得1分。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1560" w:type="dxa"/>
            <w:vMerge w:val="continue"/>
            <w:shd w:val="clear" w:color="auto" w:fill="auto"/>
            <w:vAlign w:val="center"/>
          </w:tcPr>
          <w:p>
            <w:pPr>
              <w:pStyle w:val="42"/>
              <w:ind w:firstLine="0" w:firstLineChars="0"/>
              <w:rPr>
                <w:rFonts w:ascii="Times New Roman" w:hAnsi="Times New Roman"/>
                <w:szCs w:val="24"/>
              </w:rPr>
            </w:pPr>
          </w:p>
        </w:tc>
        <w:tc>
          <w:tcPr>
            <w:tcW w:w="1559" w:type="dxa"/>
            <w:vMerge w:val="continue"/>
            <w:shd w:val="clear" w:color="auto" w:fill="auto"/>
            <w:vAlign w:val="center"/>
          </w:tcPr>
          <w:p>
            <w:pPr>
              <w:pStyle w:val="42"/>
              <w:ind w:firstLine="0" w:firstLineChars="0"/>
              <w:jc w:val="center"/>
              <w:rPr>
                <w:rFonts w:ascii="Times New Roman" w:hAnsi="Times New Roman"/>
                <w:szCs w:val="24"/>
              </w:rPr>
            </w:pPr>
          </w:p>
        </w:tc>
        <w:tc>
          <w:tcPr>
            <w:tcW w:w="11482" w:type="dxa"/>
            <w:shd w:val="clear" w:color="auto" w:fill="auto"/>
            <w:vAlign w:val="center"/>
          </w:tcPr>
          <w:p>
            <w:pPr>
              <w:pStyle w:val="42"/>
              <w:spacing w:line="360" w:lineRule="auto"/>
              <w:ind w:firstLine="0" w:firstLineChars="0"/>
              <w:rPr>
                <w:rFonts w:ascii="Times New Roman" w:hAnsi="Times New Roman"/>
                <w:szCs w:val="24"/>
              </w:rPr>
            </w:pPr>
            <w:r>
              <w:rPr>
                <w:rFonts w:hint="eastAsia" w:ascii="Times New Roman" w:hAnsi="Times New Roman"/>
                <w:szCs w:val="24"/>
              </w:rPr>
              <w:t>综合比较投标人提供的预算编制质量及进度控制措施。优秀的得5分，良好的得3分，一般的得1分。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trPr>
        <w:tc>
          <w:tcPr>
            <w:tcW w:w="1560" w:type="dxa"/>
            <w:vMerge w:val="restart"/>
            <w:shd w:val="clear" w:color="auto" w:fill="auto"/>
            <w:vAlign w:val="center"/>
          </w:tcPr>
          <w:p>
            <w:pPr>
              <w:pStyle w:val="42"/>
              <w:ind w:firstLine="0" w:firstLineChars="0"/>
              <w:rPr>
                <w:rFonts w:ascii="Times New Roman" w:hAnsi="Times New Roman"/>
                <w:szCs w:val="24"/>
              </w:rPr>
            </w:pPr>
            <w:r>
              <w:rPr>
                <w:rFonts w:hint="eastAsia" w:ascii="Times New Roman" w:hAnsi="Times New Roman"/>
                <w:szCs w:val="24"/>
              </w:rPr>
              <w:t>3. 商务</w:t>
            </w:r>
          </w:p>
        </w:tc>
        <w:tc>
          <w:tcPr>
            <w:tcW w:w="1559" w:type="dxa"/>
            <w:vMerge w:val="restart"/>
            <w:shd w:val="clear" w:color="auto" w:fill="auto"/>
            <w:vAlign w:val="center"/>
          </w:tcPr>
          <w:p>
            <w:pPr>
              <w:pStyle w:val="42"/>
              <w:ind w:firstLine="0" w:firstLineChars="0"/>
              <w:jc w:val="center"/>
              <w:rPr>
                <w:rFonts w:ascii="Times New Roman" w:hAnsi="Times New Roman"/>
                <w:szCs w:val="24"/>
              </w:rPr>
            </w:pPr>
            <w:r>
              <w:rPr>
                <w:rFonts w:hint="eastAsia" w:ascii="Times New Roman" w:hAnsi="Times New Roman"/>
                <w:szCs w:val="24"/>
              </w:rPr>
              <w:t>20分</w:t>
            </w:r>
          </w:p>
        </w:tc>
        <w:tc>
          <w:tcPr>
            <w:tcW w:w="11482" w:type="dxa"/>
            <w:shd w:val="clear" w:color="auto" w:fill="auto"/>
            <w:vAlign w:val="center"/>
          </w:tcPr>
          <w:p>
            <w:pPr>
              <w:spacing w:line="360" w:lineRule="auto"/>
            </w:pPr>
            <w:r>
              <w:rPr>
                <w:rFonts w:hint="eastAsia"/>
              </w:rPr>
              <w:t>业绩项（≤9分），即:提供自2015年以来，与三甲医院签订的类似的装修项目预算合同复印件或者中标通知书复印件（并加盖公司鲜章），同时提供甲方负责人或经办人的姓名及联系电话，每提供1份得3分。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3" w:hRule="atLeast"/>
        </w:trPr>
        <w:tc>
          <w:tcPr>
            <w:tcW w:w="1560" w:type="dxa"/>
            <w:vMerge w:val="continue"/>
            <w:shd w:val="clear" w:color="auto" w:fill="auto"/>
            <w:vAlign w:val="center"/>
          </w:tcPr>
          <w:p>
            <w:pPr>
              <w:pStyle w:val="42"/>
              <w:ind w:firstLine="0" w:firstLineChars="0"/>
              <w:rPr>
                <w:rFonts w:ascii="Times New Roman" w:hAnsi="Times New Roman"/>
                <w:szCs w:val="24"/>
              </w:rPr>
            </w:pPr>
          </w:p>
        </w:tc>
        <w:tc>
          <w:tcPr>
            <w:tcW w:w="1559" w:type="dxa"/>
            <w:vMerge w:val="continue"/>
            <w:shd w:val="clear" w:color="auto" w:fill="auto"/>
            <w:vAlign w:val="center"/>
          </w:tcPr>
          <w:p>
            <w:pPr>
              <w:pStyle w:val="42"/>
              <w:ind w:firstLine="0" w:firstLineChars="0"/>
              <w:rPr>
                <w:rFonts w:ascii="Times New Roman" w:hAnsi="Times New Roman"/>
                <w:szCs w:val="24"/>
              </w:rPr>
            </w:pPr>
          </w:p>
        </w:tc>
        <w:tc>
          <w:tcPr>
            <w:tcW w:w="11482" w:type="dxa"/>
            <w:shd w:val="clear" w:color="auto" w:fill="auto"/>
            <w:vAlign w:val="center"/>
          </w:tcPr>
          <w:p>
            <w:pPr>
              <w:spacing w:line="360" w:lineRule="auto"/>
            </w:pPr>
            <w:r>
              <w:rPr>
                <w:rFonts w:hint="eastAsia"/>
              </w:rPr>
              <w:t>信用（≤3分），即：投标人获得2015-2017年度重庆市工程建设造价咨询行业自律综合信用评价5A级的，得3分。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3" w:hRule="atLeast"/>
        </w:trPr>
        <w:tc>
          <w:tcPr>
            <w:tcW w:w="1560" w:type="dxa"/>
            <w:vMerge w:val="continue"/>
            <w:shd w:val="clear" w:color="auto" w:fill="auto"/>
            <w:vAlign w:val="center"/>
          </w:tcPr>
          <w:p>
            <w:pPr>
              <w:pStyle w:val="42"/>
              <w:ind w:firstLine="0" w:firstLineChars="0"/>
              <w:rPr>
                <w:rFonts w:ascii="Times New Roman" w:hAnsi="Times New Roman"/>
                <w:szCs w:val="24"/>
              </w:rPr>
            </w:pPr>
          </w:p>
        </w:tc>
        <w:tc>
          <w:tcPr>
            <w:tcW w:w="1559" w:type="dxa"/>
            <w:vMerge w:val="continue"/>
            <w:shd w:val="clear" w:color="auto" w:fill="auto"/>
            <w:vAlign w:val="center"/>
          </w:tcPr>
          <w:p>
            <w:pPr>
              <w:pStyle w:val="42"/>
              <w:ind w:firstLine="0" w:firstLineChars="0"/>
              <w:rPr>
                <w:rFonts w:ascii="Times New Roman" w:hAnsi="Times New Roman"/>
                <w:szCs w:val="24"/>
              </w:rPr>
            </w:pPr>
          </w:p>
        </w:tc>
        <w:tc>
          <w:tcPr>
            <w:tcW w:w="11482" w:type="dxa"/>
            <w:shd w:val="clear" w:color="auto" w:fill="auto"/>
            <w:vAlign w:val="center"/>
          </w:tcPr>
          <w:p>
            <w:pPr>
              <w:spacing w:line="360" w:lineRule="auto"/>
            </w:pPr>
            <w:r>
              <w:rPr>
                <w:rFonts w:hint="eastAsia"/>
              </w:rPr>
              <w:t>拟投人员（≤8分），即:投标人每提供一个注册造价工程师得4分。（提供造价师注册证书及本单位为其缴纳的个人社保证明复印件并加盖公章）</w:t>
            </w:r>
          </w:p>
        </w:tc>
      </w:tr>
    </w:tbl>
    <w:p>
      <w:pPr>
        <w:spacing w:line="360" w:lineRule="auto"/>
        <w:rPr>
          <w:rFonts w:ascii="仿宋_GB2312" w:hAnsi="宋体" w:eastAsia="仿宋_GB2312"/>
          <w:kern w:val="0"/>
          <w:sz w:val="24"/>
          <w:szCs w:val="20"/>
        </w:rPr>
        <w:sectPr>
          <w:type w:val="continuous"/>
          <w:pgSz w:w="16840" w:h="11907" w:orient="landscape"/>
          <w:pgMar w:top="1440" w:right="1134" w:bottom="1134" w:left="1134" w:header="851" w:footer="992" w:gutter="0"/>
          <w:cols w:space="425" w:num="1"/>
          <w:docGrid w:linePitch="312" w:charSpace="0"/>
        </w:sectPr>
      </w:pPr>
    </w:p>
    <w:p>
      <w:pPr>
        <w:pStyle w:val="38"/>
        <w:spacing w:before="120" w:after="120"/>
        <w:ind w:firstLine="0"/>
      </w:pPr>
    </w:p>
    <w:sectPr>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Arial">
    <w:panose1 w:val="020B0604020202020204"/>
    <w:charset w:val="00"/>
    <w:family w:val="swiss"/>
    <w:pitch w:val="default"/>
    <w:sig w:usb0="00007A87" w:usb1="80000000" w:usb2="00000008" w:usb3="00000000" w:csb0="400001FF" w:csb1="FFFF0000"/>
  </w:font>
  <w:font w:name="Plotter">
    <w:altName w:val="Lucida Console"/>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61007A87" w:usb1="80000000" w:usb2="00000008" w:usb3="00000000" w:csb0="200101FF" w:csb1="2028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4"/>
      </w:rPr>
      <w:fldChar w:fldCharType="begin"/>
    </w:r>
    <w:r>
      <w:rPr>
        <w:rStyle w:val="24"/>
      </w:rPr>
      <w:instrText xml:space="preserve"> PAGE </w:instrText>
    </w:r>
    <w:r>
      <w:rPr>
        <w:rStyle w:val="24"/>
      </w:rPr>
      <w:fldChar w:fldCharType="separate"/>
    </w:r>
    <w:r>
      <w:rPr>
        <w:rStyle w:val="24"/>
      </w:rPr>
      <w:t>- 2 -</w:t>
    </w:r>
    <w:r>
      <w:rPr>
        <w:rStyle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fldChar w:fldCharType="begin"/>
    </w:r>
    <w:r>
      <w:rPr>
        <w:rStyle w:val="24"/>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4"/>
      </w:rPr>
      <w:fldChar w:fldCharType="begin"/>
    </w:r>
    <w:r>
      <w:rPr>
        <w:rStyle w:val="24"/>
      </w:rPr>
      <w:instrText xml:space="preserve"> PAGE </w:instrText>
    </w:r>
    <w:r>
      <w:rPr>
        <w:rStyle w:val="24"/>
      </w:rPr>
      <w:fldChar w:fldCharType="separate"/>
    </w:r>
    <w:r>
      <w:rPr>
        <w:rStyle w:val="24"/>
      </w:rPr>
      <w:t>8</w:t>
    </w:r>
    <w:r>
      <w:rPr>
        <w:rStyle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4"/>
      </w:rPr>
    </w:pPr>
    <w:r>
      <w:fldChar w:fldCharType="begin"/>
    </w:r>
    <w:r>
      <w:rPr>
        <w:rStyle w:val="24"/>
      </w:rPr>
      <w:instrText xml:space="preserve">PAGE  </w:instrText>
    </w:r>
    <w:r>
      <w:fldChar w:fldCharType="end"/>
    </w:r>
  </w:p>
  <w:p>
    <w:pPr>
      <w:pStyle w:val="1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
      <w:pStyle w:val="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586E7B"/>
    <w:multiLevelType w:val="multilevel"/>
    <w:tmpl w:val="00586E7B"/>
    <w:lvl w:ilvl="0" w:tentative="0">
      <w:start w:val="1"/>
      <w:numFmt w:val="decimal"/>
      <w:pStyle w:val="30"/>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2">
    <w:nsid w:val="50DC54F4"/>
    <w:multiLevelType w:val="multilevel"/>
    <w:tmpl w:val="50DC54F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C46"/>
    <w:rsid w:val="000001EA"/>
    <w:rsid w:val="000008E5"/>
    <w:rsid w:val="00001991"/>
    <w:rsid w:val="00002092"/>
    <w:rsid w:val="0000308A"/>
    <w:rsid w:val="000077D8"/>
    <w:rsid w:val="00007C43"/>
    <w:rsid w:val="00010A55"/>
    <w:rsid w:val="0001370C"/>
    <w:rsid w:val="000222A6"/>
    <w:rsid w:val="00024088"/>
    <w:rsid w:val="00024EF3"/>
    <w:rsid w:val="0002603E"/>
    <w:rsid w:val="00026671"/>
    <w:rsid w:val="00047684"/>
    <w:rsid w:val="00054C27"/>
    <w:rsid w:val="00056B28"/>
    <w:rsid w:val="00057FFD"/>
    <w:rsid w:val="00062102"/>
    <w:rsid w:val="00076A3D"/>
    <w:rsid w:val="00077078"/>
    <w:rsid w:val="00077C9F"/>
    <w:rsid w:val="00084D28"/>
    <w:rsid w:val="00087DE2"/>
    <w:rsid w:val="00090B13"/>
    <w:rsid w:val="00093386"/>
    <w:rsid w:val="00095470"/>
    <w:rsid w:val="000A4A73"/>
    <w:rsid w:val="000A5806"/>
    <w:rsid w:val="000B6A55"/>
    <w:rsid w:val="000C64B7"/>
    <w:rsid w:val="000C6A91"/>
    <w:rsid w:val="000D16CA"/>
    <w:rsid w:val="000D1EB8"/>
    <w:rsid w:val="000D5015"/>
    <w:rsid w:val="000E6249"/>
    <w:rsid w:val="000F2413"/>
    <w:rsid w:val="000F50BA"/>
    <w:rsid w:val="000F5841"/>
    <w:rsid w:val="000F60B1"/>
    <w:rsid w:val="000F6B7E"/>
    <w:rsid w:val="00104083"/>
    <w:rsid w:val="00105336"/>
    <w:rsid w:val="00110F4A"/>
    <w:rsid w:val="0012101C"/>
    <w:rsid w:val="0012519B"/>
    <w:rsid w:val="00126E30"/>
    <w:rsid w:val="00133873"/>
    <w:rsid w:val="00135709"/>
    <w:rsid w:val="0013645D"/>
    <w:rsid w:val="001409C8"/>
    <w:rsid w:val="00140C34"/>
    <w:rsid w:val="00142360"/>
    <w:rsid w:val="00153533"/>
    <w:rsid w:val="001541B2"/>
    <w:rsid w:val="00160F37"/>
    <w:rsid w:val="00163CD5"/>
    <w:rsid w:val="00166433"/>
    <w:rsid w:val="00176106"/>
    <w:rsid w:val="00184A41"/>
    <w:rsid w:val="00187BBC"/>
    <w:rsid w:val="00193130"/>
    <w:rsid w:val="00197517"/>
    <w:rsid w:val="001B4843"/>
    <w:rsid w:val="001C553C"/>
    <w:rsid w:val="001C600A"/>
    <w:rsid w:val="001D1070"/>
    <w:rsid w:val="001D3D15"/>
    <w:rsid w:val="001D5316"/>
    <w:rsid w:val="001E3C68"/>
    <w:rsid w:val="001F0C94"/>
    <w:rsid w:val="001F2134"/>
    <w:rsid w:val="001F4ECE"/>
    <w:rsid w:val="001F540B"/>
    <w:rsid w:val="002025FF"/>
    <w:rsid w:val="00202B0F"/>
    <w:rsid w:val="0020328F"/>
    <w:rsid w:val="00204870"/>
    <w:rsid w:val="002049CA"/>
    <w:rsid w:val="00206200"/>
    <w:rsid w:val="00210894"/>
    <w:rsid w:val="00211BD9"/>
    <w:rsid w:val="00213FD7"/>
    <w:rsid w:val="00224814"/>
    <w:rsid w:val="00226DA0"/>
    <w:rsid w:val="00237D74"/>
    <w:rsid w:val="0024102D"/>
    <w:rsid w:val="0024409B"/>
    <w:rsid w:val="002514A2"/>
    <w:rsid w:val="00251FF0"/>
    <w:rsid w:val="00255703"/>
    <w:rsid w:val="00256B89"/>
    <w:rsid w:val="00262613"/>
    <w:rsid w:val="00270904"/>
    <w:rsid w:val="00276277"/>
    <w:rsid w:val="00281B67"/>
    <w:rsid w:val="002832F4"/>
    <w:rsid w:val="00290DFC"/>
    <w:rsid w:val="002936B1"/>
    <w:rsid w:val="00294463"/>
    <w:rsid w:val="002A228E"/>
    <w:rsid w:val="002A57B6"/>
    <w:rsid w:val="002A6729"/>
    <w:rsid w:val="002B0AD7"/>
    <w:rsid w:val="002B2754"/>
    <w:rsid w:val="002B2D1C"/>
    <w:rsid w:val="002C0C71"/>
    <w:rsid w:val="002C0D1B"/>
    <w:rsid w:val="002C201E"/>
    <w:rsid w:val="002D0469"/>
    <w:rsid w:val="002D204A"/>
    <w:rsid w:val="002D6ACF"/>
    <w:rsid w:val="002E5FEA"/>
    <w:rsid w:val="002E7032"/>
    <w:rsid w:val="002F04BF"/>
    <w:rsid w:val="00300123"/>
    <w:rsid w:val="003113EE"/>
    <w:rsid w:val="00312597"/>
    <w:rsid w:val="003135F0"/>
    <w:rsid w:val="003176B2"/>
    <w:rsid w:val="0032109A"/>
    <w:rsid w:val="00322546"/>
    <w:rsid w:val="00322C0E"/>
    <w:rsid w:val="00322E73"/>
    <w:rsid w:val="00324095"/>
    <w:rsid w:val="003257B2"/>
    <w:rsid w:val="00327484"/>
    <w:rsid w:val="00331D8E"/>
    <w:rsid w:val="003337C0"/>
    <w:rsid w:val="00343E24"/>
    <w:rsid w:val="0034400B"/>
    <w:rsid w:val="003453C1"/>
    <w:rsid w:val="003461D6"/>
    <w:rsid w:val="003476CC"/>
    <w:rsid w:val="0035047D"/>
    <w:rsid w:val="0035210D"/>
    <w:rsid w:val="00387B5B"/>
    <w:rsid w:val="00390B4C"/>
    <w:rsid w:val="003922BF"/>
    <w:rsid w:val="0039265C"/>
    <w:rsid w:val="003B32C2"/>
    <w:rsid w:val="003B4D22"/>
    <w:rsid w:val="003B5648"/>
    <w:rsid w:val="003B5F7B"/>
    <w:rsid w:val="003B768B"/>
    <w:rsid w:val="003B7CC9"/>
    <w:rsid w:val="003C78F7"/>
    <w:rsid w:val="003D4B47"/>
    <w:rsid w:val="003E0F1C"/>
    <w:rsid w:val="003F6228"/>
    <w:rsid w:val="003F74E5"/>
    <w:rsid w:val="00401680"/>
    <w:rsid w:val="00401CD5"/>
    <w:rsid w:val="0041161C"/>
    <w:rsid w:val="00423291"/>
    <w:rsid w:val="00427048"/>
    <w:rsid w:val="00427174"/>
    <w:rsid w:val="004320A2"/>
    <w:rsid w:val="00432920"/>
    <w:rsid w:val="004339F6"/>
    <w:rsid w:val="004423C0"/>
    <w:rsid w:val="00451960"/>
    <w:rsid w:val="00457893"/>
    <w:rsid w:val="00457D46"/>
    <w:rsid w:val="004603AD"/>
    <w:rsid w:val="004640AE"/>
    <w:rsid w:val="0047096F"/>
    <w:rsid w:val="0047371F"/>
    <w:rsid w:val="0047396C"/>
    <w:rsid w:val="00477DA9"/>
    <w:rsid w:val="0048097A"/>
    <w:rsid w:val="00486161"/>
    <w:rsid w:val="00493F12"/>
    <w:rsid w:val="00494EAD"/>
    <w:rsid w:val="00495D1A"/>
    <w:rsid w:val="0049649E"/>
    <w:rsid w:val="004973F6"/>
    <w:rsid w:val="004B1261"/>
    <w:rsid w:val="004B289D"/>
    <w:rsid w:val="004C5265"/>
    <w:rsid w:val="004D5939"/>
    <w:rsid w:val="004D7984"/>
    <w:rsid w:val="004E3B83"/>
    <w:rsid w:val="004F0CA2"/>
    <w:rsid w:val="004F229C"/>
    <w:rsid w:val="004F3B30"/>
    <w:rsid w:val="0050030B"/>
    <w:rsid w:val="00500E5B"/>
    <w:rsid w:val="00504003"/>
    <w:rsid w:val="00504A11"/>
    <w:rsid w:val="00507404"/>
    <w:rsid w:val="005131AB"/>
    <w:rsid w:val="00513DBA"/>
    <w:rsid w:val="00517363"/>
    <w:rsid w:val="0052407D"/>
    <w:rsid w:val="00535052"/>
    <w:rsid w:val="00535D44"/>
    <w:rsid w:val="00540ABC"/>
    <w:rsid w:val="0055541F"/>
    <w:rsid w:val="0056509A"/>
    <w:rsid w:val="00566386"/>
    <w:rsid w:val="0058229C"/>
    <w:rsid w:val="005A5C4F"/>
    <w:rsid w:val="005A6616"/>
    <w:rsid w:val="005B034E"/>
    <w:rsid w:val="005B2174"/>
    <w:rsid w:val="005B6DE2"/>
    <w:rsid w:val="005C1018"/>
    <w:rsid w:val="005C2DB0"/>
    <w:rsid w:val="005D0E95"/>
    <w:rsid w:val="005D65C2"/>
    <w:rsid w:val="005F6677"/>
    <w:rsid w:val="00600EE6"/>
    <w:rsid w:val="006016A0"/>
    <w:rsid w:val="00601A19"/>
    <w:rsid w:val="00606F34"/>
    <w:rsid w:val="006100AC"/>
    <w:rsid w:val="00610AB4"/>
    <w:rsid w:val="00612EC4"/>
    <w:rsid w:val="0061346C"/>
    <w:rsid w:val="006139C4"/>
    <w:rsid w:val="00616DD2"/>
    <w:rsid w:val="0063180A"/>
    <w:rsid w:val="0063278B"/>
    <w:rsid w:val="006351B0"/>
    <w:rsid w:val="006371C5"/>
    <w:rsid w:val="00637BBC"/>
    <w:rsid w:val="00651FC4"/>
    <w:rsid w:val="0066004F"/>
    <w:rsid w:val="006610BB"/>
    <w:rsid w:val="00662262"/>
    <w:rsid w:val="00663909"/>
    <w:rsid w:val="00671BF4"/>
    <w:rsid w:val="0067462B"/>
    <w:rsid w:val="006770E8"/>
    <w:rsid w:val="006836FC"/>
    <w:rsid w:val="00692414"/>
    <w:rsid w:val="00695B2E"/>
    <w:rsid w:val="006A1324"/>
    <w:rsid w:val="006A1BF2"/>
    <w:rsid w:val="006A3562"/>
    <w:rsid w:val="006A48C2"/>
    <w:rsid w:val="006B0E01"/>
    <w:rsid w:val="006B24F9"/>
    <w:rsid w:val="006B2DE1"/>
    <w:rsid w:val="006B5C9F"/>
    <w:rsid w:val="006C3E28"/>
    <w:rsid w:val="006D1D35"/>
    <w:rsid w:val="006E082D"/>
    <w:rsid w:val="006F41DF"/>
    <w:rsid w:val="006F4B3F"/>
    <w:rsid w:val="0070195B"/>
    <w:rsid w:val="00704663"/>
    <w:rsid w:val="00707D3F"/>
    <w:rsid w:val="00710F95"/>
    <w:rsid w:val="00725E0A"/>
    <w:rsid w:val="007271DE"/>
    <w:rsid w:val="007318A0"/>
    <w:rsid w:val="00732A62"/>
    <w:rsid w:val="0073494F"/>
    <w:rsid w:val="00742108"/>
    <w:rsid w:val="00746023"/>
    <w:rsid w:val="007460CC"/>
    <w:rsid w:val="007732DC"/>
    <w:rsid w:val="007739A1"/>
    <w:rsid w:val="00773A1A"/>
    <w:rsid w:val="0078029D"/>
    <w:rsid w:val="00780D20"/>
    <w:rsid w:val="00782C54"/>
    <w:rsid w:val="00790545"/>
    <w:rsid w:val="0079173F"/>
    <w:rsid w:val="00791A61"/>
    <w:rsid w:val="00792FE5"/>
    <w:rsid w:val="00794D61"/>
    <w:rsid w:val="007A23A0"/>
    <w:rsid w:val="007A300C"/>
    <w:rsid w:val="007A34DD"/>
    <w:rsid w:val="007A59D6"/>
    <w:rsid w:val="007B1D43"/>
    <w:rsid w:val="007B48A9"/>
    <w:rsid w:val="007B634F"/>
    <w:rsid w:val="007B7623"/>
    <w:rsid w:val="007C1166"/>
    <w:rsid w:val="007C22AF"/>
    <w:rsid w:val="007C2484"/>
    <w:rsid w:val="007C50F6"/>
    <w:rsid w:val="007D143C"/>
    <w:rsid w:val="007D1FC0"/>
    <w:rsid w:val="007D20F5"/>
    <w:rsid w:val="007D6548"/>
    <w:rsid w:val="007E3F81"/>
    <w:rsid w:val="007E4C64"/>
    <w:rsid w:val="007E75D8"/>
    <w:rsid w:val="007E7743"/>
    <w:rsid w:val="007F19E3"/>
    <w:rsid w:val="007F412D"/>
    <w:rsid w:val="00806514"/>
    <w:rsid w:val="008129F3"/>
    <w:rsid w:val="00815D15"/>
    <w:rsid w:val="00816C88"/>
    <w:rsid w:val="00816E31"/>
    <w:rsid w:val="00821A34"/>
    <w:rsid w:val="0083177E"/>
    <w:rsid w:val="008319D0"/>
    <w:rsid w:val="00833B0F"/>
    <w:rsid w:val="00843B95"/>
    <w:rsid w:val="00850499"/>
    <w:rsid w:val="00852185"/>
    <w:rsid w:val="0086459F"/>
    <w:rsid w:val="00873859"/>
    <w:rsid w:val="0087432F"/>
    <w:rsid w:val="00874654"/>
    <w:rsid w:val="00882D65"/>
    <w:rsid w:val="008835D8"/>
    <w:rsid w:val="008844A4"/>
    <w:rsid w:val="0088587A"/>
    <w:rsid w:val="00887776"/>
    <w:rsid w:val="00887C8E"/>
    <w:rsid w:val="00890EB2"/>
    <w:rsid w:val="00893303"/>
    <w:rsid w:val="0089641D"/>
    <w:rsid w:val="008A258A"/>
    <w:rsid w:val="008A2758"/>
    <w:rsid w:val="008A3527"/>
    <w:rsid w:val="008A6CE9"/>
    <w:rsid w:val="008B24F2"/>
    <w:rsid w:val="008B5F01"/>
    <w:rsid w:val="008B674E"/>
    <w:rsid w:val="008B7DFC"/>
    <w:rsid w:val="008B7EC4"/>
    <w:rsid w:val="008C4DC7"/>
    <w:rsid w:val="008C5688"/>
    <w:rsid w:val="008C585B"/>
    <w:rsid w:val="008C6DEC"/>
    <w:rsid w:val="008D0FBB"/>
    <w:rsid w:val="008D2A2E"/>
    <w:rsid w:val="008E4882"/>
    <w:rsid w:val="008E542E"/>
    <w:rsid w:val="008F1B8E"/>
    <w:rsid w:val="008F4D02"/>
    <w:rsid w:val="009007F8"/>
    <w:rsid w:val="00900B16"/>
    <w:rsid w:val="009016C1"/>
    <w:rsid w:val="00903656"/>
    <w:rsid w:val="0090577F"/>
    <w:rsid w:val="009074D6"/>
    <w:rsid w:val="0091209A"/>
    <w:rsid w:val="00917CD8"/>
    <w:rsid w:val="00925CC8"/>
    <w:rsid w:val="0092605D"/>
    <w:rsid w:val="00927777"/>
    <w:rsid w:val="00927D86"/>
    <w:rsid w:val="0094605F"/>
    <w:rsid w:val="00950E97"/>
    <w:rsid w:val="0096228D"/>
    <w:rsid w:val="0096584A"/>
    <w:rsid w:val="00965EFD"/>
    <w:rsid w:val="009675D3"/>
    <w:rsid w:val="009724CF"/>
    <w:rsid w:val="00975897"/>
    <w:rsid w:val="00976464"/>
    <w:rsid w:val="00990162"/>
    <w:rsid w:val="0099152F"/>
    <w:rsid w:val="00993028"/>
    <w:rsid w:val="00994796"/>
    <w:rsid w:val="009974A7"/>
    <w:rsid w:val="009A1C2C"/>
    <w:rsid w:val="009A3A20"/>
    <w:rsid w:val="009A422D"/>
    <w:rsid w:val="009B2922"/>
    <w:rsid w:val="009B3F3E"/>
    <w:rsid w:val="009B481E"/>
    <w:rsid w:val="009B65F4"/>
    <w:rsid w:val="009C082D"/>
    <w:rsid w:val="009C0D9F"/>
    <w:rsid w:val="009C7AFF"/>
    <w:rsid w:val="009E3EB2"/>
    <w:rsid w:val="009E422E"/>
    <w:rsid w:val="009F2805"/>
    <w:rsid w:val="009F60BE"/>
    <w:rsid w:val="009F75EC"/>
    <w:rsid w:val="009F7F25"/>
    <w:rsid w:val="00A010B1"/>
    <w:rsid w:val="00A06AF5"/>
    <w:rsid w:val="00A11D2F"/>
    <w:rsid w:val="00A1335A"/>
    <w:rsid w:val="00A141BD"/>
    <w:rsid w:val="00A15161"/>
    <w:rsid w:val="00A16C03"/>
    <w:rsid w:val="00A171FA"/>
    <w:rsid w:val="00A17CBF"/>
    <w:rsid w:val="00A20E4E"/>
    <w:rsid w:val="00A23996"/>
    <w:rsid w:val="00A24247"/>
    <w:rsid w:val="00A24BFC"/>
    <w:rsid w:val="00A3017B"/>
    <w:rsid w:val="00A335A9"/>
    <w:rsid w:val="00A33AB0"/>
    <w:rsid w:val="00A4684C"/>
    <w:rsid w:val="00A46BC4"/>
    <w:rsid w:val="00A4723E"/>
    <w:rsid w:val="00A50F3A"/>
    <w:rsid w:val="00A5186B"/>
    <w:rsid w:val="00A51E62"/>
    <w:rsid w:val="00A62314"/>
    <w:rsid w:val="00A6308A"/>
    <w:rsid w:val="00A63166"/>
    <w:rsid w:val="00A67AD4"/>
    <w:rsid w:val="00A80F82"/>
    <w:rsid w:val="00A912BA"/>
    <w:rsid w:val="00A93669"/>
    <w:rsid w:val="00A97B87"/>
    <w:rsid w:val="00A97FEE"/>
    <w:rsid w:val="00AA0270"/>
    <w:rsid w:val="00AA1233"/>
    <w:rsid w:val="00AA43B4"/>
    <w:rsid w:val="00AA6E88"/>
    <w:rsid w:val="00AB03C2"/>
    <w:rsid w:val="00AB31F7"/>
    <w:rsid w:val="00AC0581"/>
    <w:rsid w:val="00AD03C7"/>
    <w:rsid w:val="00AD5358"/>
    <w:rsid w:val="00AE2593"/>
    <w:rsid w:val="00AE3309"/>
    <w:rsid w:val="00AE34A2"/>
    <w:rsid w:val="00AE4D19"/>
    <w:rsid w:val="00AE5F48"/>
    <w:rsid w:val="00AF28DA"/>
    <w:rsid w:val="00AF743B"/>
    <w:rsid w:val="00B02669"/>
    <w:rsid w:val="00B225FB"/>
    <w:rsid w:val="00B305BC"/>
    <w:rsid w:val="00B317EB"/>
    <w:rsid w:val="00B33553"/>
    <w:rsid w:val="00B44121"/>
    <w:rsid w:val="00B5062A"/>
    <w:rsid w:val="00B52A35"/>
    <w:rsid w:val="00B53411"/>
    <w:rsid w:val="00B5632D"/>
    <w:rsid w:val="00B574BD"/>
    <w:rsid w:val="00B720ED"/>
    <w:rsid w:val="00B83265"/>
    <w:rsid w:val="00B86622"/>
    <w:rsid w:val="00B90ED6"/>
    <w:rsid w:val="00B940AD"/>
    <w:rsid w:val="00B94B95"/>
    <w:rsid w:val="00B95B6D"/>
    <w:rsid w:val="00B96778"/>
    <w:rsid w:val="00BA62B4"/>
    <w:rsid w:val="00BB038D"/>
    <w:rsid w:val="00BB23B3"/>
    <w:rsid w:val="00BB709F"/>
    <w:rsid w:val="00BC1D2D"/>
    <w:rsid w:val="00BF061E"/>
    <w:rsid w:val="00BF3430"/>
    <w:rsid w:val="00C031EF"/>
    <w:rsid w:val="00C13C36"/>
    <w:rsid w:val="00C3273B"/>
    <w:rsid w:val="00C402EC"/>
    <w:rsid w:val="00C477E0"/>
    <w:rsid w:val="00C5255B"/>
    <w:rsid w:val="00C55F43"/>
    <w:rsid w:val="00C64AE0"/>
    <w:rsid w:val="00C7153D"/>
    <w:rsid w:val="00C86602"/>
    <w:rsid w:val="00C86E90"/>
    <w:rsid w:val="00C94E9E"/>
    <w:rsid w:val="00C9573F"/>
    <w:rsid w:val="00C96011"/>
    <w:rsid w:val="00CA1C32"/>
    <w:rsid w:val="00CA7BE4"/>
    <w:rsid w:val="00CA7D62"/>
    <w:rsid w:val="00CA7EFC"/>
    <w:rsid w:val="00CB2F8C"/>
    <w:rsid w:val="00CB586A"/>
    <w:rsid w:val="00CC0D70"/>
    <w:rsid w:val="00CC5456"/>
    <w:rsid w:val="00CC74BA"/>
    <w:rsid w:val="00CD5E9A"/>
    <w:rsid w:val="00CD74D9"/>
    <w:rsid w:val="00CF0971"/>
    <w:rsid w:val="00CF169E"/>
    <w:rsid w:val="00CF5CF1"/>
    <w:rsid w:val="00D015DE"/>
    <w:rsid w:val="00D072EA"/>
    <w:rsid w:val="00D075FB"/>
    <w:rsid w:val="00D10B7C"/>
    <w:rsid w:val="00D21574"/>
    <w:rsid w:val="00D25942"/>
    <w:rsid w:val="00D27C41"/>
    <w:rsid w:val="00D31F8C"/>
    <w:rsid w:val="00D378B3"/>
    <w:rsid w:val="00D449AC"/>
    <w:rsid w:val="00D45604"/>
    <w:rsid w:val="00D461FD"/>
    <w:rsid w:val="00D4703A"/>
    <w:rsid w:val="00D51FAC"/>
    <w:rsid w:val="00D56049"/>
    <w:rsid w:val="00D572AE"/>
    <w:rsid w:val="00D60533"/>
    <w:rsid w:val="00D77A3B"/>
    <w:rsid w:val="00D83C77"/>
    <w:rsid w:val="00D875A9"/>
    <w:rsid w:val="00D87C46"/>
    <w:rsid w:val="00D95B4A"/>
    <w:rsid w:val="00DA0449"/>
    <w:rsid w:val="00DA7AA5"/>
    <w:rsid w:val="00DB20E2"/>
    <w:rsid w:val="00DB21A3"/>
    <w:rsid w:val="00DB35C4"/>
    <w:rsid w:val="00DB35E4"/>
    <w:rsid w:val="00DB62F9"/>
    <w:rsid w:val="00DB6955"/>
    <w:rsid w:val="00DC08BF"/>
    <w:rsid w:val="00DC42D6"/>
    <w:rsid w:val="00DD05F6"/>
    <w:rsid w:val="00DD4B3C"/>
    <w:rsid w:val="00DD5A3B"/>
    <w:rsid w:val="00DD6567"/>
    <w:rsid w:val="00DD78DC"/>
    <w:rsid w:val="00DE1523"/>
    <w:rsid w:val="00DE2F50"/>
    <w:rsid w:val="00DE5410"/>
    <w:rsid w:val="00DF01C1"/>
    <w:rsid w:val="00E01B37"/>
    <w:rsid w:val="00E043A4"/>
    <w:rsid w:val="00E0518D"/>
    <w:rsid w:val="00E14B8F"/>
    <w:rsid w:val="00E168BB"/>
    <w:rsid w:val="00E22DD3"/>
    <w:rsid w:val="00E23C07"/>
    <w:rsid w:val="00E31EC0"/>
    <w:rsid w:val="00E34514"/>
    <w:rsid w:val="00E34DDB"/>
    <w:rsid w:val="00E35194"/>
    <w:rsid w:val="00E37FB5"/>
    <w:rsid w:val="00E402DB"/>
    <w:rsid w:val="00E42FC8"/>
    <w:rsid w:val="00E4422A"/>
    <w:rsid w:val="00E44E80"/>
    <w:rsid w:val="00E4528F"/>
    <w:rsid w:val="00E52580"/>
    <w:rsid w:val="00E63666"/>
    <w:rsid w:val="00E6623F"/>
    <w:rsid w:val="00E66B1C"/>
    <w:rsid w:val="00E71605"/>
    <w:rsid w:val="00E73DB5"/>
    <w:rsid w:val="00E8159A"/>
    <w:rsid w:val="00E842C5"/>
    <w:rsid w:val="00E938B5"/>
    <w:rsid w:val="00EA0499"/>
    <w:rsid w:val="00EA04FA"/>
    <w:rsid w:val="00EA25CB"/>
    <w:rsid w:val="00EA5EDA"/>
    <w:rsid w:val="00EB0B09"/>
    <w:rsid w:val="00EB2D44"/>
    <w:rsid w:val="00EB5675"/>
    <w:rsid w:val="00EC07F6"/>
    <w:rsid w:val="00EC1849"/>
    <w:rsid w:val="00EC2656"/>
    <w:rsid w:val="00ED327F"/>
    <w:rsid w:val="00EE0D52"/>
    <w:rsid w:val="00EE18FC"/>
    <w:rsid w:val="00EE2B34"/>
    <w:rsid w:val="00EE725E"/>
    <w:rsid w:val="00F00AD0"/>
    <w:rsid w:val="00F07575"/>
    <w:rsid w:val="00F10CAC"/>
    <w:rsid w:val="00F1183D"/>
    <w:rsid w:val="00F23154"/>
    <w:rsid w:val="00F261D3"/>
    <w:rsid w:val="00F33CE6"/>
    <w:rsid w:val="00F35C27"/>
    <w:rsid w:val="00F370F0"/>
    <w:rsid w:val="00F43053"/>
    <w:rsid w:val="00F44865"/>
    <w:rsid w:val="00F454FF"/>
    <w:rsid w:val="00F53E83"/>
    <w:rsid w:val="00F54283"/>
    <w:rsid w:val="00F5563A"/>
    <w:rsid w:val="00F57308"/>
    <w:rsid w:val="00F637F9"/>
    <w:rsid w:val="00F640E8"/>
    <w:rsid w:val="00F65594"/>
    <w:rsid w:val="00F668AC"/>
    <w:rsid w:val="00F67DF0"/>
    <w:rsid w:val="00F73F6F"/>
    <w:rsid w:val="00F76ACB"/>
    <w:rsid w:val="00F8127B"/>
    <w:rsid w:val="00F838C0"/>
    <w:rsid w:val="00F83C61"/>
    <w:rsid w:val="00F841D7"/>
    <w:rsid w:val="00F91421"/>
    <w:rsid w:val="00F91F52"/>
    <w:rsid w:val="00F94CEF"/>
    <w:rsid w:val="00F97BE3"/>
    <w:rsid w:val="00FA4735"/>
    <w:rsid w:val="00FB3C7A"/>
    <w:rsid w:val="00FB6E0E"/>
    <w:rsid w:val="00FB74D1"/>
    <w:rsid w:val="00FC126C"/>
    <w:rsid w:val="00FC21BD"/>
    <w:rsid w:val="00FC4604"/>
    <w:rsid w:val="00FD4E00"/>
    <w:rsid w:val="00FE2ECF"/>
    <w:rsid w:val="00FE4B87"/>
    <w:rsid w:val="00FE61C8"/>
    <w:rsid w:val="00FF17B2"/>
    <w:rsid w:val="00FF6A8F"/>
    <w:rsid w:val="020C4229"/>
    <w:rsid w:val="0A4D2359"/>
    <w:rsid w:val="10CE10FD"/>
    <w:rsid w:val="1D986A0A"/>
    <w:rsid w:val="1F1266CC"/>
    <w:rsid w:val="20992647"/>
    <w:rsid w:val="265217B4"/>
    <w:rsid w:val="294A7888"/>
    <w:rsid w:val="418C125B"/>
    <w:rsid w:val="42EC722C"/>
    <w:rsid w:val="47AF1912"/>
    <w:rsid w:val="4F1E5F24"/>
    <w:rsid w:val="5DC03B2F"/>
    <w:rsid w:val="5E236435"/>
    <w:rsid w:val="68617A83"/>
    <w:rsid w:val="6BF7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3">
    <w:name w:val="heading 2"/>
    <w:basedOn w:val="1"/>
    <w:next w:val="1"/>
    <w:link w:val="26"/>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3">
    <w:name w:val="Default Paragraph Font"/>
    <w:semiHidden/>
    <w:unhideWhenUsed/>
    <w:qFormat/>
    <w:uiPriority w:val="1"/>
  </w:style>
  <w:style w:type="table" w:default="1" w:styleId="21">
    <w:name w:val="Normal Table"/>
    <w:semiHidden/>
    <w:unhideWhenUsed/>
    <w:uiPriority w:val="99"/>
    <w:tblPr>
      <w:tblLayout w:type="fixed"/>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20"/>
      <w:textAlignment w:val="baseline"/>
    </w:pPr>
    <w:rPr>
      <w:szCs w:val="20"/>
    </w:rPr>
  </w:style>
  <w:style w:type="paragraph" w:styleId="7">
    <w:name w:val="Document Map"/>
    <w:basedOn w:val="1"/>
    <w:semiHidden/>
    <w:uiPriority w:val="0"/>
    <w:pPr>
      <w:shd w:val="clear" w:color="auto" w:fill="000080"/>
    </w:pPr>
  </w:style>
  <w:style w:type="paragraph" w:styleId="8">
    <w:name w:val="Salutation"/>
    <w:basedOn w:val="1"/>
    <w:next w:val="1"/>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uiPriority w:val="0"/>
    <w:pPr>
      <w:spacing w:after="120"/>
    </w:pPr>
  </w:style>
  <w:style w:type="paragraph" w:styleId="11">
    <w:name w:val="toc 3"/>
    <w:basedOn w:val="1"/>
    <w:next w:val="1"/>
    <w:semiHidden/>
    <w:qFormat/>
    <w:uiPriority w:val="0"/>
    <w:pPr>
      <w:ind w:left="480"/>
      <w:jc w:val="left"/>
    </w:pPr>
    <w:rPr>
      <w:rFonts w:eastAsia="仿宋_GB2312"/>
      <w:i/>
      <w:sz w:val="24"/>
      <w:szCs w:val="20"/>
    </w:rPr>
  </w:style>
  <w:style w:type="paragraph" w:styleId="12">
    <w:name w:val="Plain Text"/>
    <w:basedOn w:val="1"/>
    <w:qFormat/>
    <w:uiPriority w:val="0"/>
    <w:pPr>
      <w:shd w:val="solid" w:color="FFFFFF" w:fill="FFFFFF"/>
      <w:jc w:val="center"/>
    </w:pPr>
    <w:rPr>
      <w:rFonts w:ascii="宋体" w:hAnsi="宋体"/>
      <w:kern w:val="0"/>
      <w:sz w:val="84"/>
      <w:szCs w:val="72"/>
    </w:rPr>
  </w:style>
  <w:style w:type="paragraph" w:styleId="13">
    <w:name w:val="Date"/>
    <w:basedOn w:val="1"/>
    <w:next w:val="1"/>
    <w:link w:val="41"/>
    <w:uiPriority w:val="0"/>
    <w:rPr>
      <w:sz w:val="24"/>
      <w:szCs w:val="20"/>
    </w:rPr>
  </w:style>
  <w:style w:type="paragraph" w:styleId="14">
    <w:name w:val="Body Text Indent 2"/>
    <w:basedOn w:val="1"/>
    <w:qFormat/>
    <w:uiPriority w:val="0"/>
    <w:pPr>
      <w:spacing w:after="120" w:line="480" w:lineRule="auto"/>
      <w:ind w:left="420" w:leftChars="200"/>
    </w:pPr>
    <w:rPr>
      <w:szCs w:val="20"/>
    </w:rPr>
  </w:style>
  <w:style w:type="paragraph" w:styleId="15">
    <w:name w:val="Balloon Text"/>
    <w:basedOn w:val="1"/>
    <w:semiHidden/>
    <w:qFormat/>
    <w:uiPriority w:val="0"/>
    <w:rPr>
      <w:sz w:val="18"/>
      <w:szCs w:val="18"/>
    </w:rPr>
  </w:style>
  <w:style w:type="paragraph" w:styleId="16">
    <w:name w:val="footer"/>
    <w:basedOn w:val="1"/>
    <w:link w:val="28"/>
    <w:qFormat/>
    <w:uiPriority w:val="0"/>
    <w:pPr>
      <w:tabs>
        <w:tab w:val="center" w:pos="4153"/>
        <w:tab w:val="right" w:pos="8306"/>
      </w:tabs>
      <w:snapToGrid w:val="0"/>
      <w:jc w:val="left"/>
    </w:pPr>
    <w:rPr>
      <w:sz w:val="18"/>
      <w:szCs w:val="18"/>
    </w:rPr>
  </w:style>
  <w:style w:type="paragraph" w:styleId="17">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uiPriority w:val="0"/>
    <w:pPr>
      <w:tabs>
        <w:tab w:val="right" w:leader="dot" w:pos="9360"/>
      </w:tabs>
      <w:jc w:val="left"/>
    </w:pPr>
    <w:rPr>
      <w:rFonts w:eastAsia="仿宋_GB2312"/>
      <w:b/>
      <w:caps/>
      <w:sz w:val="24"/>
      <w:szCs w:val="20"/>
    </w:rPr>
  </w:style>
  <w:style w:type="paragraph" w:styleId="19">
    <w:name w:val="toc 2"/>
    <w:basedOn w:val="1"/>
    <w:next w:val="1"/>
    <w:semiHidden/>
    <w:qFormat/>
    <w:uiPriority w:val="0"/>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4">
    <w:name w:val="page number"/>
    <w:basedOn w:val="23"/>
    <w:uiPriority w:val="0"/>
  </w:style>
  <w:style w:type="character" w:styleId="25">
    <w:name w:val="Hyperlink"/>
    <w:basedOn w:val="23"/>
    <w:qFormat/>
    <w:uiPriority w:val="0"/>
    <w:rPr>
      <w:color w:val="0000FF"/>
      <w:u w:val="single"/>
    </w:rPr>
  </w:style>
  <w:style w:type="character" w:customStyle="1" w:styleId="26">
    <w:name w:val="标题 2 Char"/>
    <w:basedOn w:val="23"/>
    <w:link w:val="3"/>
    <w:uiPriority w:val="0"/>
    <w:rPr>
      <w:rFonts w:ascii="Helvetica" w:hAnsi="Helvetica" w:eastAsia="宋体"/>
      <w:b/>
      <w:color w:val="000000"/>
      <w:sz w:val="24"/>
      <w:lang w:val="en-US" w:eastAsia="zh-CN" w:bidi="ar-SA"/>
    </w:rPr>
  </w:style>
  <w:style w:type="character" w:customStyle="1" w:styleId="27">
    <w:name w:val="页眉 Char"/>
    <w:basedOn w:val="23"/>
    <w:link w:val="17"/>
    <w:qFormat/>
    <w:uiPriority w:val="0"/>
    <w:rPr>
      <w:rFonts w:eastAsia="宋体"/>
      <w:kern w:val="2"/>
      <w:sz w:val="18"/>
      <w:szCs w:val="18"/>
      <w:lang w:val="en-US" w:eastAsia="zh-CN" w:bidi="ar-SA"/>
    </w:rPr>
  </w:style>
  <w:style w:type="character" w:customStyle="1" w:styleId="28">
    <w:name w:val="页脚 Char"/>
    <w:basedOn w:val="23"/>
    <w:link w:val="16"/>
    <w:qFormat/>
    <w:uiPriority w:val="0"/>
    <w:rPr>
      <w:rFonts w:eastAsia="宋体"/>
      <w:kern w:val="2"/>
      <w:sz w:val="18"/>
      <w:szCs w:val="18"/>
      <w:lang w:val="en-US" w:eastAsia="zh-CN" w:bidi="ar-SA"/>
    </w:rPr>
  </w:style>
  <w:style w:type="paragraph" w:customStyle="1" w:styleId="29">
    <w:name w:val="Char"/>
    <w:basedOn w:val="1"/>
    <w:uiPriority w:val="0"/>
    <w:rPr>
      <w:rFonts w:ascii="Tahoma" w:hAnsi="Tahoma"/>
      <w:sz w:val="24"/>
      <w:szCs w:val="20"/>
    </w:rPr>
  </w:style>
  <w:style w:type="paragraph" w:customStyle="1" w:styleId="30">
    <w:name w:val="正文2"/>
    <w:basedOn w:val="1"/>
    <w:qFormat/>
    <w:uiPriority w:val="0"/>
    <w:pPr>
      <w:numPr>
        <w:ilvl w:val="0"/>
        <w:numId w:val="2"/>
      </w:numPr>
      <w:spacing w:before="60" w:after="60" w:line="360" w:lineRule="auto"/>
    </w:pPr>
    <w:rPr>
      <w:spacing w:val="6"/>
      <w:sz w:val="24"/>
      <w:szCs w:val="20"/>
    </w:rPr>
  </w:style>
  <w:style w:type="character" w:customStyle="1" w:styleId="31">
    <w:name w:val="5号正文 Char"/>
    <w:basedOn w:val="23"/>
    <w:link w:val="32"/>
    <w:qFormat/>
    <w:uiPriority w:val="0"/>
    <w:rPr>
      <w:rFonts w:ascii="楷体_GB2312" w:hAnsi="宋体" w:eastAsia="楷体_GB2312"/>
      <w:snapToGrid w:val="0"/>
      <w:sz w:val="24"/>
      <w:lang w:val="en-US" w:eastAsia="zh-CN" w:bidi="ar-SA"/>
    </w:rPr>
  </w:style>
  <w:style w:type="paragraph" w:customStyle="1" w:styleId="32">
    <w:name w:val="5号正文"/>
    <w:link w:val="31"/>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3">
    <w:name w:val="Defaul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4">
    <w:name w:val="Char Char4"/>
    <w:basedOn w:val="23"/>
    <w:qFormat/>
    <w:uiPriority w:val="0"/>
    <w:rPr>
      <w:rFonts w:eastAsia="宋体"/>
      <w:kern w:val="2"/>
      <w:sz w:val="18"/>
      <w:lang w:val="en-US" w:eastAsia="zh-CN"/>
    </w:rPr>
  </w:style>
  <w:style w:type="paragraph" w:customStyle="1" w:styleId="35">
    <w:name w:val="Char Char Char Char Char Char Char Char Char Char Char Char Char Char Char Char"/>
    <w:basedOn w:val="7"/>
    <w:qFormat/>
    <w:uiPriority w:val="0"/>
    <w:pPr>
      <w:spacing w:line="360" w:lineRule="auto"/>
      <w:ind w:firstLine="200" w:firstLineChars="200"/>
    </w:pPr>
  </w:style>
  <w:style w:type="paragraph" w:customStyle="1" w:styleId="36">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7">
    <w:name w:val="附件标题-1"/>
    <w:basedOn w:val="1"/>
    <w:qFormat/>
    <w:uiPriority w:val="0"/>
    <w:pPr>
      <w:spacing w:beforeLines="50" w:afterLines="50"/>
      <w:jc w:val="center"/>
    </w:pPr>
    <w:rPr>
      <w:rFonts w:eastAsia="黑体"/>
      <w:sz w:val="32"/>
      <w:szCs w:val="20"/>
    </w:rPr>
  </w:style>
  <w:style w:type="paragraph" w:customStyle="1" w:styleId="38">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9">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40">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41">
    <w:name w:val="日期 Char"/>
    <w:link w:val="13"/>
    <w:uiPriority w:val="0"/>
    <w:rPr>
      <w:rFonts w:eastAsia="宋体"/>
      <w:kern w:val="2"/>
      <w:sz w:val="24"/>
      <w:lang w:val="en-US" w:eastAsia="zh-CN" w:bidi="ar-SA"/>
    </w:rPr>
  </w:style>
  <w:style w:type="paragraph" w:styleId="4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478</Words>
  <Characters>2727</Characters>
  <Lines>22</Lines>
  <Paragraphs>6</Paragraphs>
  <TotalTime>0</TotalTime>
  <ScaleCrop>false</ScaleCrop>
  <LinksUpToDate>false</LinksUpToDate>
  <CharactersWithSpaces>3199</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2019-04-11T09:10:00Z</dcterms:created>
  <dc:creator>User</dc:creator>
  <cp:lastModifiedBy>Administrator</cp:lastModifiedBy>
  <cp:lastPrinted>2019-04-11T09:04:00Z</cp:lastPrinted>
  <dcterms:modified xsi:type="dcterms:W3CDTF">2019-04-11T09:28:25Z</dcterms:modified>
  <dc:title>重庆医科大学第二附属医院江南医院工程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