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sz w:val="22"/>
        </w:rPr>
      </w:pPr>
    </w:p>
    <w:p>
      <w:pPr>
        <w:jc w:val="right"/>
        <w:rPr>
          <w:rFonts w:ascii="宋体"/>
          <w:sz w:val="22"/>
          <w:u w:val="single"/>
        </w:rPr>
      </w:pPr>
    </w:p>
    <w:p>
      <w:pPr>
        <w:jc w:val="center"/>
        <w:rPr>
          <w:rFonts w:ascii="宋体" w:hAnsi="宋体"/>
          <w:sz w:val="44"/>
          <w:szCs w:val="44"/>
        </w:rPr>
      </w:pPr>
    </w:p>
    <w:p>
      <w:pPr>
        <w:autoSpaceDE w:val="0"/>
        <w:autoSpaceDN w:val="0"/>
        <w:adjustRightInd w:val="0"/>
        <w:spacing w:line="700" w:lineRule="atLeast"/>
        <w:jc w:val="center"/>
        <w:rPr>
          <w:rFonts w:ascii="仿宋_GB2312" w:hAnsi="仿宋_GB2312"/>
          <w:snapToGrid w:val="0"/>
          <w:sz w:val="36"/>
          <w:szCs w:val="36"/>
        </w:rPr>
      </w:pPr>
      <w:r>
        <w:rPr>
          <w:rFonts w:hint="eastAsia" w:ascii="仿宋_GB2312" w:hAnsi="仿宋_GB2312"/>
          <w:snapToGrid w:val="0"/>
          <w:sz w:val="36"/>
          <w:szCs w:val="36"/>
        </w:rPr>
        <w:t>重庆医科大学附属第二医院</w:t>
      </w:r>
      <w:r>
        <w:rPr>
          <w:rFonts w:hint="eastAsia"/>
          <w:bCs/>
          <w:sz w:val="36"/>
          <w:szCs w:val="36"/>
        </w:rPr>
        <w:t>江南院区                  肝炎研究所</w:t>
      </w:r>
      <w:r>
        <w:rPr>
          <w:rFonts w:hint="eastAsia" w:ascii="宋体" w:hAnsi="宋体" w:cs="宋体"/>
          <w:bCs/>
          <w:sz w:val="36"/>
          <w:szCs w:val="36"/>
        </w:rPr>
        <w:t>生物治疗室装修设计</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sz w:val="36"/>
          <w:szCs w:val="48"/>
        </w:rPr>
      </w:pPr>
    </w:p>
    <w:p>
      <w:pPr>
        <w:wordWrap w:val="0"/>
        <w:autoSpaceDE w:val="0"/>
        <w:autoSpaceDN w:val="0"/>
        <w:adjustRightInd w:val="0"/>
        <w:spacing w:line="560" w:lineRule="atLeast"/>
        <w:ind w:firstLine="624"/>
        <w:jc w:val="left"/>
        <w:rPr>
          <w:snapToGrid w:val="0"/>
          <w:sz w:val="32"/>
        </w:rPr>
      </w:pPr>
    </w:p>
    <w:p>
      <w:pPr>
        <w:wordWrap w:val="0"/>
        <w:autoSpaceDE w:val="0"/>
        <w:autoSpaceDN w:val="0"/>
        <w:adjustRightInd w:val="0"/>
        <w:spacing w:line="560" w:lineRule="atLeast"/>
        <w:ind w:firstLine="624"/>
        <w:jc w:val="left"/>
        <w:rPr>
          <w:snapToGrid w:val="0"/>
          <w:sz w:val="32"/>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36"/>
          <w:szCs w:val="36"/>
        </w:rPr>
      </w:pPr>
      <w:r>
        <w:rPr>
          <w:rFonts w:hint="eastAsia"/>
          <w:snapToGrid w:val="0"/>
          <w:sz w:val="36"/>
          <w:szCs w:val="36"/>
        </w:rPr>
        <w:t>重庆医科大学附属第二医院</w:t>
      </w:r>
    </w:p>
    <w:p>
      <w:pPr>
        <w:adjustRightInd w:val="0"/>
        <w:spacing w:line="560" w:lineRule="atLeast"/>
        <w:ind w:firstLine="624"/>
        <w:jc w:val="center"/>
        <w:rPr>
          <w:rFonts w:ascii="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 xml:space="preserve">二〇一九年十月   </w:t>
      </w:r>
    </w:p>
    <w:tbl>
      <w:tblPr>
        <w:tblStyle w:val="21"/>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pPr>
            <w:r>
              <w:rPr>
                <w:rFonts w:hint="eastAsia"/>
              </w:rPr>
              <w:t>项号</w:t>
            </w:r>
          </w:p>
        </w:tc>
        <w:tc>
          <w:tcPr>
            <w:tcW w:w="1845" w:type="dxa"/>
            <w:vAlign w:val="center"/>
          </w:tcPr>
          <w:p>
            <w:pPr>
              <w:pStyle w:val="38"/>
              <w:ind w:firstLine="0"/>
              <w:jc w:val="center"/>
            </w:pPr>
            <w:r>
              <w:rPr>
                <w:rFonts w:hint="eastAsia"/>
              </w:rPr>
              <w:t>内容</w:t>
            </w:r>
          </w:p>
        </w:tc>
        <w:tc>
          <w:tcPr>
            <w:tcW w:w="6948" w:type="dxa"/>
            <w:vAlign w:val="center"/>
          </w:tcPr>
          <w:p>
            <w:pPr>
              <w:pStyle w:val="38"/>
              <w:ind w:firstLine="0"/>
              <w:jc w:val="cente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55" w:type="dxa"/>
            <w:vAlign w:val="center"/>
          </w:tcPr>
          <w:p>
            <w:pPr>
              <w:pStyle w:val="13"/>
              <w:jc w:val="center"/>
            </w:pPr>
            <w:r>
              <w:rPr>
                <w:rFonts w:hint="eastAsia"/>
              </w:rPr>
              <w:t>1</w:t>
            </w:r>
          </w:p>
        </w:tc>
        <w:tc>
          <w:tcPr>
            <w:tcW w:w="1845" w:type="dxa"/>
            <w:vAlign w:val="center"/>
          </w:tcPr>
          <w:p>
            <w:pPr>
              <w:pStyle w:val="13"/>
              <w:jc w:val="center"/>
            </w:pPr>
            <w:r>
              <w:rPr>
                <w:rFonts w:ascii="仿宋_GB2312" w:hAnsi="宋体" w:eastAsia="仿宋_GB2312"/>
                <w:kern w:val="0"/>
              </w:rPr>
              <w:t>项目名称</w:t>
            </w:r>
          </w:p>
        </w:tc>
        <w:tc>
          <w:tcPr>
            <w:tcW w:w="6948" w:type="dxa"/>
            <w:vAlign w:val="center"/>
          </w:tcPr>
          <w:p>
            <w:pPr>
              <w:autoSpaceDE w:val="0"/>
              <w:autoSpaceDN w:val="0"/>
              <w:adjustRightInd w:val="0"/>
              <w:spacing w:line="240" w:lineRule="atLeast"/>
              <w:jc w:val="left"/>
              <w:rPr>
                <w:rFonts w:ascii="仿宋_GB2312" w:hAnsi="仿宋_GB2312"/>
                <w:snapToGrid w:val="0"/>
                <w:sz w:val="24"/>
              </w:rPr>
            </w:pPr>
            <w:r>
              <w:rPr>
                <w:rFonts w:hint="eastAsia" w:ascii="仿宋_GB2312" w:hAnsi="宋体" w:eastAsia="仿宋_GB2312"/>
                <w:kern w:val="0"/>
                <w:sz w:val="24"/>
                <w:szCs w:val="20"/>
              </w:rPr>
              <w:t>重庆医科大学附属第二医院</w:t>
            </w:r>
            <w:r>
              <w:rPr>
                <w:rFonts w:hint="eastAsia" w:ascii="仿宋_GB2312" w:eastAsia="仿宋_GB2312"/>
                <w:bCs/>
                <w:sz w:val="24"/>
              </w:rPr>
              <w:t>江南院区肝炎研究所</w:t>
            </w:r>
            <w:r>
              <w:rPr>
                <w:rFonts w:hint="eastAsia" w:ascii="仿宋_GB2312" w:hAnsi="宋体" w:eastAsia="仿宋_GB2312" w:cs="宋体"/>
                <w:bCs/>
                <w:sz w:val="24"/>
              </w:rPr>
              <w:t>生物治疗室装修设计项目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2</w:t>
            </w:r>
          </w:p>
        </w:tc>
        <w:tc>
          <w:tcPr>
            <w:tcW w:w="1845" w:type="dxa"/>
            <w:vAlign w:val="center"/>
          </w:tcPr>
          <w:p>
            <w:pPr>
              <w:pStyle w:val="38"/>
              <w:ind w:firstLine="0"/>
              <w:jc w:val="center"/>
            </w:pPr>
            <w:r>
              <w:rPr>
                <w:rFonts w:hint="eastAsia"/>
              </w:rPr>
              <w:t>项目概况</w:t>
            </w:r>
          </w:p>
        </w:tc>
        <w:tc>
          <w:tcPr>
            <w:tcW w:w="6948" w:type="dxa"/>
            <w:vAlign w:val="center"/>
          </w:tcPr>
          <w:p>
            <w:pPr>
              <w:pStyle w:val="38"/>
              <w:ind w:firstLine="0"/>
            </w:pPr>
            <w:r>
              <w:rPr>
                <w:rFonts w:hint="eastAsia"/>
              </w:rPr>
              <w:t>建设地点：重庆市南岸区天文大道288号</w:t>
            </w:r>
          </w:p>
          <w:p>
            <w:pPr>
              <w:rPr>
                <w:rFonts w:hint="eastAsia" w:ascii="仿宋_GB2312" w:eastAsia="仿宋_GB2312"/>
                <w:sz w:val="24"/>
                <w:lang w:val="en-US" w:eastAsia="zh-CN"/>
              </w:rPr>
            </w:pPr>
            <w:r>
              <w:rPr>
                <w:rFonts w:hint="eastAsia" w:ascii="仿宋_GB2312" w:eastAsia="仿宋_GB2312"/>
                <w:sz w:val="24"/>
              </w:rPr>
              <w:t>本次设计招标范围：建筑物层数共十层，本次装修设计范围九层2-3轴/C-1/E轴区域，建设面积约200</w:t>
            </w:r>
            <w:r>
              <w:rPr>
                <w:rFonts w:hint="eastAsia" w:ascii="仿宋_GB2312" w:eastAsia="仿宋_GB2312"/>
                <w:sz w:val="24"/>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0" w:hRule="atLeast"/>
          <w:jc w:val="center"/>
        </w:trPr>
        <w:tc>
          <w:tcPr>
            <w:tcW w:w="855" w:type="dxa"/>
            <w:vAlign w:val="center"/>
          </w:tcPr>
          <w:p>
            <w:pPr>
              <w:pStyle w:val="38"/>
              <w:ind w:firstLine="0"/>
              <w:jc w:val="center"/>
            </w:pPr>
            <w:r>
              <w:rPr>
                <w:rFonts w:hint="eastAsia"/>
              </w:rPr>
              <w:t>3</w:t>
            </w:r>
          </w:p>
        </w:tc>
        <w:tc>
          <w:tcPr>
            <w:tcW w:w="1845" w:type="dxa"/>
            <w:vAlign w:val="center"/>
          </w:tcPr>
          <w:p>
            <w:pPr>
              <w:pStyle w:val="38"/>
              <w:ind w:firstLine="0"/>
              <w:jc w:val="center"/>
            </w:pPr>
            <w:r>
              <w:rPr>
                <w:rFonts w:hint="eastAsia"/>
              </w:rPr>
              <w:t>设计范围、内容及要求</w:t>
            </w:r>
          </w:p>
        </w:tc>
        <w:tc>
          <w:tcPr>
            <w:tcW w:w="6948" w:type="dxa"/>
            <w:vAlign w:val="center"/>
          </w:tcPr>
          <w:p>
            <w:pPr>
              <w:tabs>
                <w:tab w:val="left" w:pos="2520"/>
              </w:tabs>
              <w:spacing w:line="360" w:lineRule="auto"/>
              <w:rPr>
                <w:rFonts w:ascii="仿宋_GB2312" w:eastAsia="仿宋_GB2312"/>
                <w:sz w:val="24"/>
              </w:rPr>
            </w:pPr>
            <w:r>
              <w:rPr>
                <w:rFonts w:hint="eastAsia" w:ascii="仿宋_GB2312" w:eastAsia="仿宋_GB2312"/>
                <w:sz w:val="24"/>
              </w:rPr>
              <w:t>要求：</w:t>
            </w:r>
            <w:r>
              <w:rPr>
                <w:rFonts w:hint="eastAsia" w:ascii="仿宋_GB2312" w:eastAsia="仿宋_GB2312"/>
                <w:sz w:val="24"/>
              </w:rPr>
              <w:tab/>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满足五通道（人流、物流、污物流、样本流、消防通道）不交叉独立的原则。</w:t>
            </w:r>
          </w:p>
          <w:p>
            <w:pPr>
              <w:pStyle w:val="43"/>
              <w:numPr>
                <w:ilvl w:val="0"/>
                <w:numId w:val="3"/>
              </w:numPr>
              <w:spacing w:line="360" w:lineRule="auto"/>
              <w:ind w:firstLineChars="0"/>
              <w:rPr>
                <w:rFonts w:ascii="仿宋_GB2312" w:eastAsia="仿宋_GB2312"/>
                <w:b/>
                <w:bCs/>
                <w:sz w:val="24"/>
                <w:highlight w:val="none"/>
              </w:rPr>
            </w:pPr>
            <w:r>
              <w:rPr>
                <w:rFonts w:hint="eastAsia" w:ascii="仿宋_GB2312" w:eastAsia="仿宋_GB2312"/>
                <w:sz w:val="24"/>
                <w:highlight w:val="none"/>
              </w:rPr>
              <w:t>包含3个细胞培养间、污物暂存间、灭菌间、样本接收传递窗等，实验室布局合理，</w:t>
            </w:r>
            <w:r>
              <w:rPr>
                <w:rFonts w:hint="eastAsia" w:ascii="仿宋_GB2312" w:eastAsia="仿宋_GB2312"/>
                <w:b/>
                <w:bCs/>
                <w:sz w:val="24"/>
                <w:highlight w:val="none"/>
              </w:rPr>
              <w:t>满足GMP实验室认证要求，配合办理完成认证。</w:t>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净化空调机组：满足实验室整体按照万级洁净实验室的标准进行建设，局部百级（超净工作台）。同时要求在相邻房间之间保持5Pa以上的静压差，洁净区与大气之间保持10Pa以上的静压。</w:t>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强电：双电源以及重要性仪器设备的双电源</w:t>
            </w:r>
            <w:r>
              <w:rPr>
                <w:rFonts w:hint="eastAsia" w:ascii="仿宋_GB2312" w:hAnsi="Segoe UI Symbol" w:eastAsia="仿宋_GB2312" w:cs="Segoe UI Symbol"/>
                <w:sz w:val="24"/>
              </w:rPr>
              <w:t>+</w:t>
            </w:r>
            <w:r>
              <w:rPr>
                <w:rFonts w:hint="eastAsia" w:ascii="仿宋_GB2312" w:eastAsia="仿宋_GB2312"/>
                <w:sz w:val="24"/>
              </w:rPr>
              <w:t>UPS，大型仪器设备功率需单独回路而不能与其它并联。</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弱电：网络分内网外网，普通电话、室内外对讲可视电话。</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实验室家具全部不锈钢材质。</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装修材质达到E0级标准。</w:t>
            </w:r>
          </w:p>
          <w:p>
            <w:pPr>
              <w:spacing w:line="360" w:lineRule="auto"/>
              <w:ind w:firstLine="480" w:firstLineChars="200"/>
              <w:rPr>
                <w:rFonts w:ascii="仿宋_GB2312" w:hAnsi="宋体" w:eastAsia="仿宋_GB2312"/>
                <w:kern w:val="0"/>
                <w:sz w:val="24"/>
                <w:szCs w:val="20"/>
              </w:rPr>
            </w:pPr>
            <w:r>
              <w:rPr>
                <w:rFonts w:hint="eastAsia" w:ascii="仿宋_GB2312" w:eastAsia="仿宋_GB2312"/>
                <w:sz w:val="24"/>
              </w:rPr>
              <w:t>质量要求：各专业图纸齐全，设计图纸达到指导施工的标准，施工图深度必须有各个节点大样，在满足消防要求的基础上，设计合理，成本控制合理。设计人员自行踏勘现场，根据现状保障改动最小，结构上符合承重要求，不得再进行加固。现场已进行梁板加固，因此若有下穿管道不得损坏加固板筋。流程满足GMP认证。中标单位在规定的时间内提供完整的施工蓝图6套，并盖有相关设计鲜章的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4</w:t>
            </w:r>
          </w:p>
        </w:tc>
        <w:tc>
          <w:tcPr>
            <w:tcW w:w="1845" w:type="dxa"/>
            <w:vAlign w:val="center"/>
          </w:tcPr>
          <w:p>
            <w:pPr>
              <w:pStyle w:val="38"/>
              <w:ind w:firstLine="0"/>
              <w:jc w:val="center"/>
            </w:pPr>
            <w:r>
              <w:rPr>
                <w:rFonts w:hint="eastAsia"/>
              </w:rPr>
              <w:t>设计工期</w:t>
            </w:r>
          </w:p>
        </w:tc>
        <w:tc>
          <w:tcPr>
            <w:tcW w:w="6948" w:type="dxa"/>
            <w:vAlign w:val="center"/>
          </w:tcPr>
          <w:p>
            <w:pPr>
              <w:pStyle w:val="38"/>
              <w:ind w:firstLine="0"/>
            </w:pPr>
            <w:r>
              <w:rPr>
                <w:rFonts w:hint="eastAsia"/>
                <w:b/>
              </w:rPr>
              <w:t>本项目设计工期为合同签订后</w:t>
            </w:r>
            <w:r>
              <w:rPr>
                <w:rFonts w:hint="eastAsia"/>
                <w:b/>
                <w:u w:val="single"/>
              </w:rPr>
              <w:t>14日历天</w:t>
            </w:r>
            <w:r>
              <w:rPr>
                <w:rFonts w:hint="eastAsia"/>
                <w:b/>
              </w:rPr>
              <w:t>，最高设计限价为</w:t>
            </w:r>
            <w:r>
              <w:rPr>
                <w:rFonts w:hint="eastAsia"/>
                <w:b/>
                <w:u w:val="single"/>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5</w:t>
            </w:r>
          </w:p>
        </w:tc>
        <w:tc>
          <w:tcPr>
            <w:tcW w:w="1845" w:type="dxa"/>
            <w:vAlign w:val="center"/>
          </w:tcPr>
          <w:p>
            <w:pPr>
              <w:pStyle w:val="38"/>
              <w:ind w:firstLine="0"/>
              <w:jc w:val="center"/>
            </w:pPr>
            <w:r>
              <w:rPr>
                <w:rFonts w:hint="eastAsia"/>
              </w:rPr>
              <w:t>竞谈目标</w:t>
            </w:r>
          </w:p>
        </w:tc>
        <w:tc>
          <w:tcPr>
            <w:tcW w:w="6948" w:type="dxa"/>
            <w:vAlign w:val="center"/>
          </w:tcPr>
          <w:p>
            <w:pPr>
              <w:widowControl/>
              <w:spacing w:line="450" w:lineRule="atLeast"/>
              <w:jc w:val="left"/>
            </w:pPr>
            <w:r>
              <w:rPr>
                <w:rFonts w:hint="eastAsia" w:ascii="仿宋_GB2312" w:hAnsi="宋体" w:eastAsia="仿宋_GB2312"/>
                <w:kern w:val="0"/>
                <w:sz w:val="24"/>
                <w:szCs w:val="20"/>
              </w:rPr>
              <w:t>按照本竞谈文件第3项设计范围和内容要求，所有设计内容必须满足医院的设计要求，即</w:t>
            </w:r>
            <w:r>
              <w:rPr>
                <w:rFonts w:hint="eastAsia" w:ascii="仿宋_GB2312" w:eastAsia="仿宋_GB2312"/>
                <w:sz w:val="24"/>
              </w:rPr>
              <w:t>建设“</w:t>
            </w:r>
            <w:r>
              <w:rPr>
                <w:rFonts w:hint="eastAsia" w:ascii="仿宋_GB2312" w:eastAsia="仿宋_GB2312"/>
                <w:bCs/>
                <w:sz w:val="24"/>
              </w:rPr>
              <w:t>肝炎研究所</w:t>
            </w:r>
            <w:r>
              <w:rPr>
                <w:rFonts w:hint="eastAsia" w:ascii="仿宋_GB2312" w:eastAsia="仿宋_GB2312"/>
                <w:sz w:val="24"/>
              </w:rPr>
              <w:t>生物治疗室”，用于免疫细胞及干细胞治疗的研究和临床转化，该项目建成后达到国家《药品生产质量管理规范（2010年修订）》（新版GMP）标准。</w:t>
            </w:r>
            <w:r>
              <w:rPr>
                <w:rFonts w:hint="eastAsia" w:ascii="仿宋_GB2312" w:hAnsi="宋体" w:eastAsia="仿宋_GB2312"/>
                <w:kern w:val="0"/>
                <w:sz w:val="24"/>
              </w:rPr>
              <w:t>达到相关文件规定，通过相关部门审核。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pPr>
            <w:r>
              <w:rPr>
                <w:rFonts w:hint="eastAsia"/>
              </w:rPr>
              <w:t>6</w:t>
            </w:r>
          </w:p>
        </w:tc>
        <w:tc>
          <w:tcPr>
            <w:tcW w:w="1845" w:type="dxa"/>
            <w:vAlign w:val="center"/>
          </w:tcPr>
          <w:p>
            <w:pPr>
              <w:pStyle w:val="38"/>
              <w:ind w:firstLine="0"/>
              <w:jc w:val="center"/>
            </w:pPr>
            <w:r>
              <w:t>竞谈人</w:t>
            </w:r>
            <w:r>
              <w:rPr>
                <w:rFonts w:hint="eastAsia"/>
              </w:rPr>
              <w:t>条件</w:t>
            </w:r>
          </w:p>
        </w:tc>
        <w:tc>
          <w:tcPr>
            <w:tcW w:w="6948" w:type="dxa"/>
            <w:vAlign w:val="center"/>
          </w:tcPr>
          <w:p>
            <w:pPr>
              <w:widowControl/>
              <w:shd w:val="clear" w:color="auto" w:fill="FFFFFF"/>
              <w:jc w:val="left"/>
              <w:rPr>
                <w:rFonts w:ascii="仿宋_GB2312" w:hAnsi="宋体" w:eastAsia="仿宋_GB2312"/>
                <w:kern w:val="0"/>
                <w:sz w:val="24"/>
              </w:rPr>
            </w:pPr>
            <w:r>
              <w:rPr>
                <w:rFonts w:hint="eastAsia" w:ascii="仿宋_GB2312" w:hAnsi="宋体" w:eastAsia="仿宋_GB2312"/>
                <w:kern w:val="0"/>
                <w:sz w:val="24"/>
              </w:rPr>
              <w:t>1、具有有效的独立法人资格。</w:t>
            </w:r>
          </w:p>
          <w:p>
            <w:pPr>
              <w:widowControl/>
              <w:shd w:val="clear" w:color="auto" w:fill="FFFFFF"/>
              <w:jc w:val="left"/>
              <w:rPr>
                <w:rFonts w:ascii="仿宋_GB2312" w:hAnsi="宋体" w:eastAsia="仿宋_GB2312"/>
                <w:kern w:val="0"/>
                <w:sz w:val="24"/>
                <w:szCs w:val="20"/>
              </w:rPr>
            </w:pPr>
            <w:r>
              <w:rPr>
                <w:rFonts w:hint="eastAsia" w:ascii="仿宋_GB2312" w:hAnsi="宋体" w:eastAsia="仿宋_GB2312"/>
                <w:kern w:val="0"/>
                <w:sz w:val="24"/>
              </w:rPr>
              <w:t>2、</w:t>
            </w:r>
            <w:r>
              <w:rPr>
                <w:rFonts w:hint="eastAsia" w:ascii="仿宋_GB2312" w:eastAsia="仿宋_GB2312"/>
                <w:sz w:val="24"/>
              </w:rPr>
              <w:t>建筑装饰装修工程设计乙级资质（或者乙级以上资质）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38"/>
              <w:ind w:firstLine="0"/>
              <w:jc w:val="center"/>
            </w:pPr>
            <w:r>
              <w:rPr>
                <w:rFonts w:hint="eastAsia"/>
              </w:rPr>
              <w:t>7</w:t>
            </w:r>
          </w:p>
        </w:tc>
        <w:tc>
          <w:tcPr>
            <w:tcW w:w="1845" w:type="dxa"/>
            <w:vAlign w:val="center"/>
          </w:tcPr>
          <w:p>
            <w:pPr>
              <w:pStyle w:val="38"/>
              <w:ind w:firstLine="0"/>
              <w:jc w:val="center"/>
            </w:pPr>
            <w:r>
              <w:rPr>
                <w:rFonts w:hint="eastAsia"/>
              </w:rPr>
              <w:t>报价方式</w:t>
            </w:r>
          </w:p>
        </w:tc>
        <w:tc>
          <w:tcPr>
            <w:tcW w:w="6948" w:type="dxa"/>
            <w:vAlign w:val="center"/>
          </w:tcPr>
          <w:p>
            <w:pPr>
              <w:pStyle w:val="38"/>
              <w:ind w:firstLine="0"/>
            </w:pPr>
            <w:r>
              <w:rPr>
                <w:rFonts w:hint="eastAsia"/>
              </w:rPr>
              <w:t>本次设计费为包干价，限价在人民币</w:t>
            </w:r>
            <w:r>
              <w:rPr>
                <w:rFonts w:hint="eastAsia"/>
                <w:b/>
                <w:u w:val="single"/>
              </w:rPr>
              <w:t xml:space="preserve"> 5万元（不含5万元）</w:t>
            </w:r>
            <w:r>
              <w:rPr>
                <w:rFonts w:hint="eastAsia"/>
              </w:rPr>
              <w:t>，所有单位报价不得超过本限价，否则视为无效报价。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pPr>
            <w:r>
              <w:rPr>
                <w:rFonts w:hint="eastAsia"/>
              </w:rPr>
              <w:t>8</w:t>
            </w:r>
          </w:p>
        </w:tc>
        <w:tc>
          <w:tcPr>
            <w:tcW w:w="1845" w:type="dxa"/>
            <w:vAlign w:val="center"/>
          </w:tcPr>
          <w:p>
            <w:pPr>
              <w:pStyle w:val="38"/>
              <w:ind w:firstLine="0"/>
              <w:jc w:val="center"/>
            </w:pPr>
            <w:r>
              <w:rPr>
                <w:rFonts w:hint="eastAsia"/>
              </w:rPr>
              <w:t>合同价格</w:t>
            </w:r>
          </w:p>
        </w:tc>
        <w:tc>
          <w:tcPr>
            <w:tcW w:w="6948" w:type="dxa"/>
            <w:vAlign w:val="center"/>
          </w:tcPr>
          <w:p>
            <w:pPr>
              <w:pStyle w:val="38"/>
              <w:ind w:firstLine="0"/>
            </w:pPr>
            <w:r>
              <w:rPr>
                <w:rFonts w:hint="eastAsia"/>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pPr>
            <w:r>
              <w:rPr>
                <w:rFonts w:hint="eastAsia"/>
              </w:rPr>
              <w:t>9</w:t>
            </w:r>
          </w:p>
        </w:tc>
        <w:tc>
          <w:tcPr>
            <w:tcW w:w="1845" w:type="dxa"/>
            <w:vAlign w:val="center"/>
          </w:tcPr>
          <w:p>
            <w:pPr>
              <w:pStyle w:val="38"/>
              <w:ind w:firstLine="0"/>
              <w:jc w:val="center"/>
            </w:pPr>
            <w:r>
              <w:rPr>
                <w:rFonts w:hint="eastAsia"/>
              </w:rPr>
              <w:t>费用支付</w:t>
            </w:r>
          </w:p>
        </w:tc>
        <w:tc>
          <w:tcPr>
            <w:tcW w:w="6948" w:type="dxa"/>
            <w:vAlign w:val="center"/>
          </w:tcPr>
          <w:p>
            <w:pPr>
              <w:pStyle w:val="38"/>
              <w:ind w:firstLine="0"/>
            </w:pPr>
            <w:r>
              <w:rPr>
                <w:rFonts w:hint="eastAsia"/>
              </w:rPr>
              <w:t>（1）中标人提交正式施工图（通过审查机构审查的）后，邀请人向中标人支付合同价款的70%；</w:t>
            </w:r>
          </w:p>
          <w:p>
            <w:pPr>
              <w:pStyle w:val="38"/>
              <w:ind w:firstLine="0"/>
              <w:rPr>
                <w:szCs w:val="24"/>
              </w:rPr>
            </w:pPr>
            <w:r>
              <w:rPr>
                <w:rFonts w:hint="eastAsia"/>
              </w:rPr>
              <w:t>（2）本项目施工验收合格后，院方办理完成GMP认证后支付剩余30%。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10</w:t>
            </w:r>
          </w:p>
        </w:tc>
        <w:tc>
          <w:tcPr>
            <w:tcW w:w="1845" w:type="dxa"/>
            <w:vAlign w:val="center"/>
          </w:tcPr>
          <w:p>
            <w:pPr>
              <w:pStyle w:val="38"/>
              <w:ind w:firstLine="0"/>
              <w:jc w:val="center"/>
            </w:pPr>
            <w:r>
              <w:rPr>
                <w:rFonts w:hint="eastAsia"/>
              </w:rPr>
              <w:t>竞争性谈判</w:t>
            </w:r>
          </w:p>
          <w:p>
            <w:pPr>
              <w:pStyle w:val="38"/>
              <w:ind w:firstLine="0"/>
              <w:jc w:val="center"/>
            </w:pPr>
            <w:r>
              <w:rPr>
                <w:rFonts w:hint="eastAsia"/>
              </w:rPr>
              <w:t>文件组成</w:t>
            </w:r>
          </w:p>
        </w:tc>
        <w:tc>
          <w:tcPr>
            <w:tcW w:w="6948" w:type="dxa"/>
            <w:vAlign w:val="center"/>
          </w:tcPr>
          <w:p>
            <w:pPr>
              <w:pStyle w:val="38"/>
              <w:ind w:firstLine="0"/>
            </w:pPr>
            <w:r>
              <w:rPr>
                <w:rFonts w:hint="eastAsia"/>
              </w:rPr>
              <w:t>1、</w:t>
            </w:r>
            <w:r>
              <w:t>法定代表人授权</w:t>
            </w:r>
            <w:r>
              <w:rPr>
                <w:rFonts w:hint="eastAsia"/>
              </w:rPr>
              <w:t>委托</w:t>
            </w:r>
            <w:r>
              <w:t>书</w:t>
            </w:r>
          </w:p>
          <w:p>
            <w:pPr>
              <w:pStyle w:val="38"/>
              <w:ind w:firstLine="0"/>
            </w:pPr>
            <w:r>
              <w:rPr>
                <w:rFonts w:hint="eastAsia"/>
              </w:rPr>
              <w:t>2、报价书</w:t>
            </w:r>
          </w:p>
          <w:p>
            <w:pPr>
              <w:pStyle w:val="38"/>
              <w:ind w:firstLine="0"/>
            </w:pPr>
            <w:r>
              <w:rPr>
                <w:rFonts w:hint="eastAsia"/>
              </w:rPr>
              <w:t>3、公司基本情况表</w:t>
            </w:r>
          </w:p>
          <w:p>
            <w:pPr>
              <w:pStyle w:val="38"/>
              <w:ind w:firstLine="0"/>
            </w:pPr>
            <w:r>
              <w:rPr>
                <w:rFonts w:hint="eastAsia"/>
              </w:rPr>
              <w:t>资格证明材料：①</w:t>
            </w:r>
            <w:r>
              <w:t>企业营业执照</w:t>
            </w:r>
            <w:r>
              <w:rPr>
                <w:rFonts w:hint="eastAsia"/>
              </w:rPr>
              <w:t>（三证合一）；②资质等级</w:t>
            </w:r>
            <w:r>
              <w:t>证书</w:t>
            </w:r>
            <w:r>
              <w:rPr>
                <w:rFonts w:hint="eastAsia"/>
              </w:rPr>
              <w:t>。以上复印件需加盖公章。</w:t>
            </w:r>
          </w:p>
          <w:p>
            <w:pPr>
              <w:pStyle w:val="38"/>
              <w:ind w:firstLine="0"/>
            </w:pPr>
            <w:r>
              <w:rPr>
                <w:rFonts w:hint="eastAsia"/>
              </w:rPr>
              <w:t>4、公司类似工程业绩表（附合同复印件加盖鲜章）</w:t>
            </w:r>
          </w:p>
          <w:p>
            <w:pPr>
              <w:pStyle w:val="38"/>
              <w:ind w:firstLine="0"/>
              <w:rPr>
                <w:rFonts w:hint="eastAsia"/>
              </w:rPr>
            </w:pPr>
            <w:r>
              <w:rPr>
                <w:rFonts w:hint="eastAsia"/>
              </w:rPr>
              <w:t>5、设计人员一览表</w:t>
            </w:r>
          </w:p>
          <w:p>
            <w:pPr>
              <w:pStyle w:val="38"/>
              <w:ind w:firstLine="0"/>
            </w:pPr>
            <w:r>
              <w:rPr>
                <w:rFonts w:hint="eastAsia"/>
              </w:rPr>
              <w:t>6、承诺书</w:t>
            </w:r>
          </w:p>
          <w:p>
            <w:pPr>
              <w:pStyle w:val="38"/>
              <w:ind w:firstLine="0"/>
            </w:pPr>
            <w:r>
              <w:rPr>
                <w:rFonts w:hint="eastAsia"/>
                <w:b/>
                <w:bCs/>
              </w:rPr>
              <w:t>7、优化后的设计方案包括平面布置图（主设计人员提供生物治疗实验室</w:t>
            </w:r>
            <w:r>
              <w:rPr>
                <w:rFonts w:hint="eastAsia"/>
                <w:b/>
                <w:bCs/>
                <w:lang w:eastAsia="zh-CN"/>
              </w:rPr>
              <w:t>方案</w:t>
            </w:r>
            <w:r>
              <w:rPr>
                <w:rFonts w:hint="eastAsia"/>
                <w:b/>
                <w:bCs/>
              </w:rPr>
              <w:t>及本项目设计思路</w:t>
            </w:r>
            <w:r>
              <w:rPr>
                <w:rFonts w:hint="eastAsia"/>
                <w:b/>
                <w:bCs/>
                <w:lang w:eastAsia="zh-CN"/>
              </w:rPr>
              <w:t>，现场讲解</w:t>
            </w:r>
            <w:r>
              <w:rPr>
                <w:rFonts w:hint="eastAsia"/>
                <w:b/>
                <w:bCs/>
                <w:lang w:val="en-US" w:eastAsia="zh-CN"/>
              </w:rPr>
              <w:t>10分钟。</w:t>
            </w:r>
            <w:r>
              <w:rPr>
                <w:rFonts w:hint="eastAsia"/>
                <w:b/>
                <w:bCs/>
              </w:rPr>
              <w:t>）</w:t>
            </w:r>
          </w:p>
          <w:p>
            <w:pPr>
              <w:pStyle w:val="38"/>
              <w:ind w:firstLine="0"/>
            </w:pPr>
            <w:r>
              <w:rPr>
                <w:rFonts w:hint="eastAsia"/>
              </w:rPr>
              <w:t>以上材料一式三份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11</w:t>
            </w:r>
          </w:p>
        </w:tc>
        <w:tc>
          <w:tcPr>
            <w:tcW w:w="1845" w:type="dxa"/>
            <w:vAlign w:val="center"/>
          </w:tcPr>
          <w:p>
            <w:pPr>
              <w:pStyle w:val="38"/>
              <w:ind w:firstLine="0"/>
              <w:jc w:val="center"/>
            </w:pPr>
            <w:r>
              <w:t>文件密封</w:t>
            </w:r>
          </w:p>
        </w:tc>
        <w:tc>
          <w:tcPr>
            <w:tcW w:w="6948" w:type="dxa"/>
            <w:vAlign w:val="center"/>
          </w:tcPr>
          <w:p>
            <w:pPr>
              <w:pStyle w:val="38"/>
              <w:ind w:firstLine="0"/>
            </w:pPr>
            <w:r>
              <w:rPr>
                <w:rFonts w:hint="eastAsia"/>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pPr>
            <w:r>
              <w:rPr>
                <w:rFonts w:hint="eastAsia"/>
              </w:rPr>
              <w:t>12</w:t>
            </w:r>
          </w:p>
        </w:tc>
        <w:tc>
          <w:tcPr>
            <w:tcW w:w="1845" w:type="dxa"/>
            <w:vAlign w:val="center"/>
          </w:tcPr>
          <w:p>
            <w:pPr>
              <w:pStyle w:val="38"/>
              <w:ind w:firstLine="0"/>
              <w:jc w:val="center"/>
            </w:pPr>
            <w:r>
              <w:t>递交文件地点</w:t>
            </w:r>
          </w:p>
        </w:tc>
        <w:tc>
          <w:tcPr>
            <w:tcW w:w="6948" w:type="dxa"/>
            <w:vAlign w:val="center"/>
          </w:tcPr>
          <w:p>
            <w:pPr>
              <w:pStyle w:val="38"/>
              <w:ind w:firstLine="0"/>
            </w:pPr>
            <w:r>
              <w:t>重庆医科大学附属第二医院渝中院区</w:t>
            </w:r>
            <w:r>
              <w:rPr>
                <w:rFonts w:hint="eastAsia"/>
              </w:rPr>
              <w:t>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pPr>
            <w:r>
              <w:rPr>
                <w:rFonts w:hint="eastAsia"/>
              </w:rPr>
              <w:t>13</w:t>
            </w:r>
          </w:p>
        </w:tc>
        <w:tc>
          <w:tcPr>
            <w:tcW w:w="1845" w:type="dxa"/>
            <w:vAlign w:val="center"/>
          </w:tcPr>
          <w:p>
            <w:pPr>
              <w:pStyle w:val="38"/>
              <w:ind w:firstLine="0"/>
              <w:jc w:val="left"/>
            </w:pPr>
            <w:r>
              <w:rPr>
                <w:rFonts w:hint="eastAsia"/>
              </w:rPr>
              <w:t>谈判及资料递交</w:t>
            </w:r>
            <w:r>
              <w:t>时间</w:t>
            </w:r>
            <w:r>
              <w:rPr>
                <w:rFonts w:hint="eastAsia"/>
              </w:rPr>
              <w:t>、</w:t>
            </w:r>
            <w:r>
              <w:t>地点</w:t>
            </w:r>
          </w:p>
        </w:tc>
        <w:tc>
          <w:tcPr>
            <w:tcW w:w="6948" w:type="dxa"/>
            <w:vAlign w:val="center"/>
          </w:tcPr>
          <w:p>
            <w:pPr>
              <w:pStyle w:val="38"/>
              <w:ind w:firstLine="0"/>
            </w:pPr>
            <w:r>
              <w:rPr>
                <w:rFonts w:hint="eastAsia"/>
              </w:rPr>
              <w:t>谈判</w:t>
            </w:r>
            <w:r>
              <w:t>时间：</w:t>
            </w:r>
            <w:r>
              <w:rPr>
                <w:rFonts w:hint="eastAsia"/>
              </w:rPr>
              <w:t>2019年11月</w:t>
            </w:r>
            <w:r>
              <w:rPr>
                <w:rFonts w:hint="eastAsia"/>
                <w:lang w:val="en-US" w:eastAsia="zh-CN"/>
              </w:rPr>
              <w:t>12</w:t>
            </w:r>
            <w:r>
              <w:rPr>
                <w:rFonts w:hint="eastAsia"/>
              </w:rPr>
              <w:t>日上午8点30分</w:t>
            </w:r>
          </w:p>
          <w:p>
            <w:pPr>
              <w:pStyle w:val="38"/>
              <w:ind w:firstLine="0"/>
            </w:pPr>
            <w:r>
              <w:rPr>
                <w:rFonts w:hint="eastAsia"/>
              </w:rPr>
              <w:t>谈判</w:t>
            </w:r>
            <w:r>
              <w:t>地点：渝中院区</w:t>
            </w:r>
            <w:r>
              <w:rPr>
                <w:rFonts w:hint="eastAsia"/>
              </w:rPr>
              <w:t>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6" w:hRule="atLeast"/>
          <w:jc w:val="center"/>
        </w:trPr>
        <w:tc>
          <w:tcPr>
            <w:tcW w:w="855" w:type="dxa"/>
            <w:vAlign w:val="center"/>
          </w:tcPr>
          <w:p>
            <w:pPr>
              <w:pStyle w:val="38"/>
              <w:ind w:firstLine="0"/>
              <w:jc w:val="center"/>
            </w:pPr>
            <w:r>
              <w:rPr>
                <w:rFonts w:hint="eastAsia"/>
              </w:rPr>
              <w:t>14</w:t>
            </w:r>
          </w:p>
        </w:tc>
        <w:tc>
          <w:tcPr>
            <w:tcW w:w="1845" w:type="dxa"/>
            <w:vAlign w:val="center"/>
          </w:tcPr>
          <w:p>
            <w:pPr>
              <w:pStyle w:val="38"/>
              <w:ind w:firstLine="0"/>
              <w:jc w:val="center"/>
            </w:pPr>
            <w:r>
              <w:rPr>
                <w:rFonts w:hint="eastAsia"/>
              </w:rPr>
              <w:t>评定方法</w:t>
            </w:r>
          </w:p>
        </w:tc>
        <w:tc>
          <w:tcPr>
            <w:tcW w:w="6948" w:type="dxa"/>
            <w:vAlign w:val="center"/>
          </w:tcPr>
          <w:p>
            <w:pPr>
              <w:pStyle w:val="38"/>
              <w:ind w:firstLine="0"/>
              <w:rPr>
                <w:rFonts w:hint="eastAsia" w:eastAsia="仿宋_GB2312"/>
                <w:highlight w:val="none"/>
                <w:lang w:eastAsia="zh-CN"/>
              </w:rPr>
            </w:pPr>
            <w:r>
              <w:rPr>
                <w:rFonts w:hint="eastAsia"/>
                <w:highlight w:val="none"/>
              </w:rPr>
              <w:t>评定办法：</w:t>
            </w:r>
            <w:r>
              <w:rPr>
                <w:rFonts w:hint="eastAsia"/>
                <w:highlight w:val="none"/>
                <w:lang w:eastAsia="zh-CN"/>
              </w:rPr>
              <w:t>综合评定</w:t>
            </w:r>
          </w:p>
          <w:p>
            <w:pPr>
              <w:pStyle w:val="38"/>
              <w:ind w:firstLine="0"/>
              <w:rPr>
                <w:rFonts w:hint="eastAsia"/>
                <w:highlight w:val="none"/>
              </w:rPr>
            </w:pPr>
            <w:r>
              <w:rPr>
                <w:rFonts w:hint="eastAsia"/>
                <w:highlight w:val="none"/>
              </w:rPr>
              <w:t>1.价格</w:t>
            </w:r>
            <w:r>
              <w:rPr>
                <w:rFonts w:hint="eastAsia"/>
                <w:highlight w:val="none"/>
                <w:lang w:val="en-US" w:eastAsia="zh-CN"/>
              </w:rPr>
              <w:t>3</w:t>
            </w:r>
            <w:r>
              <w:rPr>
                <w:rFonts w:hint="eastAsia"/>
                <w:highlight w:val="none"/>
              </w:rPr>
              <w:t>0分，投标人报价取平均值为基准价，每增加1%扣1分，每减少1%扣0.5分，扣完为止。</w:t>
            </w:r>
          </w:p>
          <w:p>
            <w:pPr>
              <w:pStyle w:val="38"/>
              <w:ind w:firstLine="0"/>
              <w:rPr>
                <w:highlight w:val="none"/>
              </w:rPr>
            </w:pPr>
            <w:r>
              <w:rPr>
                <w:rFonts w:hint="eastAsia"/>
                <w:highlight w:val="none"/>
              </w:rPr>
              <w:t>2</w:t>
            </w:r>
            <w:r>
              <w:rPr>
                <w:rFonts w:hint="eastAsia"/>
                <w:highlight w:val="none"/>
                <w:lang w:val="en-US" w:eastAsia="zh-CN"/>
              </w:rPr>
              <w:t>.</w:t>
            </w:r>
            <w:r>
              <w:rPr>
                <w:rFonts w:hint="eastAsia"/>
                <w:highlight w:val="none"/>
              </w:rPr>
              <w:t>设计方案</w:t>
            </w:r>
            <w:r>
              <w:rPr>
                <w:rFonts w:hint="eastAsia"/>
                <w:highlight w:val="none"/>
                <w:lang w:val="en-US" w:eastAsia="zh-CN"/>
              </w:rPr>
              <w:t>4</w:t>
            </w:r>
            <w:r>
              <w:rPr>
                <w:rFonts w:hint="eastAsia"/>
                <w:highlight w:val="none"/>
              </w:rPr>
              <w:t>0分：方案优越性结合项目的重难点进行分析，提出解决方案，设计方案功能全面、流线合理清晰，能提出超前优化方案，优得</w:t>
            </w:r>
            <w:r>
              <w:rPr>
                <w:rFonts w:hint="eastAsia"/>
                <w:highlight w:val="none"/>
                <w:lang w:val="en-US" w:eastAsia="zh-CN"/>
              </w:rPr>
              <w:t>2</w:t>
            </w:r>
            <w:r>
              <w:rPr>
                <w:rFonts w:hint="eastAsia"/>
                <w:highlight w:val="none"/>
              </w:rPr>
              <w:t>5-</w:t>
            </w:r>
            <w:r>
              <w:rPr>
                <w:rFonts w:hint="eastAsia"/>
                <w:highlight w:val="none"/>
                <w:lang w:val="en-US" w:eastAsia="zh-CN"/>
              </w:rPr>
              <w:t>4</w:t>
            </w:r>
            <w:r>
              <w:rPr>
                <w:rFonts w:hint="eastAsia"/>
                <w:highlight w:val="none"/>
              </w:rPr>
              <w:t>0分，良得1</w:t>
            </w:r>
            <w:r>
              <w:rPr>
                <w:rFonts w:hint="eastAsia"/>
                <w:highlight w:val="none"/>
                <w:lang w:val="en-US" w:eastAsia="zh-CN"/>
              </w:rPr>
              <w:t>0</w:t>
            </w:r>
            <w:r>
              <w:rPr>
                <w:rFonts w:hint="eastAsia"/>
                <w:highlight w:val="none"/>
              </w:rPr>
              <w:t>-</w:t>
            </w:r>
            <w:r>
              <w:rPr>
                <w:rFonts w:hint="eastAsia"/>
                <w:highlight w:val="none"/>
                <w:lang w:val="en-US" w:eastAsia="zh-CN"/>
              </w:rPr>
              <w:t>24</w:t>
            </w:r>
            <w:r>
              <w:rPr>
                <w:rFonts w:hint="eastAsia"/>
                <w:highlight w:val="none"/>
              </w:rPr>
              <w:t>分，中得1-</w:t>
            </w:r>
            <w:r>
              <w:rPr>
                <w:rFonts w:hint="eastAsia"/>
                <w:highlight w:val="none"/>
                <w:lang w:val="en-US" w:eastAsia="zh-CN"/>
              </w:rPr>
              <w:t>9</w:t>
            </w:r>
            <w:r>
              <w:rPr>
                <w:rFonts w:hint="eastAsia"/>
                <w:highlight w:val="none"/>
              </w:rPr>
              <w:t>分，无得0分。</w:t>
            </w:r>
          </w:p>
          <w:p>
            <w:pPr>
              <w:pStyle w:val="38"/>
              <w:ind w:firstLine="0"/>
              <w:rPr>
                <w:highlight w:val="none"/>
              </w:rPr>
            </w:pPr>
            <w:r>
              <w:rPr>
                <w:rFonts w:hint="eastAsia"/>
                <w:highlight w:val="none"/>
              </w:rPr>
              <w:t>3</w:t>
            </w:r>
            <w:r>
              <w:rPr>
                <w:rFonts w:hint="eastAsia"/>
                <w:highlight w:val="none"/>
                <w:lang w:val="en-US" w:eastAsia="zh-CN"/>
              </w:rPr>
              <w:t>.</w:t>
            </w:r>
            <w:r>
              <w:rPr>
                <w:rFonts w:hint="eastAsia"/>
                <w:highlight w:val="none"/>
              </w:rPr>
              <w:t>项目负责</w:t>
            </w:r>
            <w:r>
              <w:rPr>
                <w:rFonts w:hint="eastAsia"/>
                <w:highlight w:val="none"/>
                <w:lang w:eastAsia="zh-CN"/>
              </w:rPr>
              <w:t>人</w:t>
            </w:r>
            <w:r>
              <w:rPr>
                <w:rFonts w:hint="eastAsia"/>
                <w:highlight w:val="none"/>
              </w:rPr>
              <w:t>20分：项目负责人提供自己做过的生物治疗实验室作品，一个</w:t>
            </w:r>
            <w:r>
              <w:rPr>
                <w:rFonts w:hint="eastAsia"/>
                <w:highlight w:val="none"/>
                <w:lang w:val="en-US" w:eastAsia="zh-CN"/>
              </w:rPr>
              <w:t>10</w:t>
            </w:r>
            <w:r>
              <w:rPr>
                <w:rFonts w:hint="eastAsia"/>
                <w:highlight w:val="none"/>
              </w:rPr>
              <w:t>分，共计20分，不提供不得分，</w:t>
            </w:r>
          </w:p>
          <w:p>
            <w:pPr>
              <w:pStyle w:val="38"/>
              <w:ind w:firstLine="0"/>
              <w:rPr>
                <w:highlight w:val="none"/>
              </w:rPr>
            </w:pPr>
            <w:r>
              <w:rPr>
                <w:rFonts w:hint="eastAsia"/>
                <w:highlight w:val="none"/>
              </w:rPr>
              <w:t>4</w:t>
            </w:r>
            <w:r>
              <w:rPr>
                <w:rFonts w:hint="eastAsia"/>
                <w:highlight w:val="none"/>
                <w:lang w:val="en-US" w:eastAsia="zh-CN"/>
              </w:rPr>
              <w:t>.</w:t>
            </w:r>
            <w:r>
              <w:rPr>
                <w:rFonts w:hint="eastAsia"/>
                <w:highlight w:val="none"/>
              </w:rPr>
              <w:t>企业综合实力10分，2016年1月1日以来公司提供类似业绩一个5分，共计10分，不提供不得分，类似业绩为医疗装修业绩</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pPr>
            <w:r>
              <w:rPr>
                <w:rFonts w:hint="eastAsia"/>
              </w:rPr>
              <w:t>15</w:t>
            </w:r>
          </w:p>
        </w:tc>
        <w:tc>
          <w:tcPr>
            <w:tcW w:w="1845" w:type="dxa"/>
            <w:vAlign w:val="center"/>
          </w:tcPr>
          <w:p>
            <w:pPr>
              <w:pStyle w:val="38"/>
              <w:ind w:firstLine="0"/>
              <w:jc w:val="center"/>
            </w:pPr>
            <w:r>
              <w:rPr>
                <w:rFonts w:hint="eastAsia"/>
              </w:rPr>
              <w:t>报名</w:t>
            </w:r>
          </w:p>
          <w:p>
            <w:pPr>
              <w:pStyle w:val="38"/>
              <w:ind w:firstLine="0"/>
              <w:jc w:val="center"/>
            </w:pPr>
            <w:r>
              <w:rPr>
                <w:rFonts w:hint="eastAsia"/>
              </w:rPr>
              <w:t>联系人及方式</w:t>
            </w:r>
          </w:p>
        </w:tc>
        <w:tc>
          <w:tcPr>
            <w:tcW w:w="6948" w:type="dxa"/>
            <w:vAlign w:val="center"/>
          </w:tcPr>
          <w:p>
            <w:pPr>
              <w:pStyle w:val="38"/>
              <w:ind w:left="1080" w:hanging="1080" w:hangingChars="450"/>
              <w:jc w:val="left"/>
            </w:pPr>
            <w:r>
              <w:rPr>
                <w:rFonts w:hint="eastAsia"/>
              </w:rPr>
              <w:t>本项目采取</w:t>
            </w:r>
            <w:r>
              <w:rPr>
                <w:rFonts w:hint="eastAsia"/>
                <w:b/>
              </w:rPr>
              <w:t>邮件报名</w:t>
            </w:r>
            <w:r>
              <w:rPr>
                <w:rFonts w:hint="eastAsia"/>
              </w:rPr>
              <w:t>的方式，公司资质扫描件发至邮箱：</w:t>
            </w:r>
          </w:p>
          <w:p>
            <w:pPr>
              <w:pStyle w:val="38"/>
              <w:ind w:left="1080" w:hanging="1080" w:hangingChars="450"/>
              <w:jc w:val="left"/>
              <w:rPr>
                <w:color w:val="auto"/>
              </w:rPr>
            </w:pPr>
            <w:r>
              <w:rPr>
                <w:rFonts w:hint="eastAsia"/>
                <w:color w:val="auto"/>
                <w:lang w:val="en-US" w:eastAsia="zh-CN"/>
              </w:rPr>
              <w:t>2874218268</w:t>
            </w:r>
            <w:r>
              <w:rPr>
                <w:rFonts w:hint="eastAsia"/>
                <w:color w:val="auto"/>
              </w:rPr>
              <w:t>@qq.com</w:t>
            </w:r>
          </w:p>
          <w:p>
            <w:pPr>
              <w:pStyle w:val="38"/>
              <w:ind w:left="1080" w:hanging="1080" w:hangingChars="450"/>
              <w:jc w:val="left"/>
            </w:pPr>
            <w:r>
              <w:rPr>
                <w:rFonts w:hint="eastAsia"/>
              </w:rPr>
              <w:t>报名截止时间为：2019年11月</w:t>
            </w:r>
            <w:r>
              <w:rPr>
                <w:rFonts w:hint="eastAsia"/>
                <w:lang w:val="en-US" w:eastAsia="zh-CN"/>
              </w:rPr>
              <w:t>11</w:t>
            </w:r>
            <w:r>
              <w:rPr>
                <w:rFonts w:hint="eastAsia"/>
              </w:rPr>
              <w:t>日下午5:00</w:t>
            </w:r>
          </w:p>
          <w:p>
            <w:pPr>
              <w:pStyle w:val="38"/>
              <w:ind w:left="1080" w:hanging="1080" w:hangingChars="450"/>
            </w:pPr>
            <w:r>
              <w:rPr>
                <w:rFonts w:hint="eastAsia"/>
              </w:rPr>
              <w:t>联系地址：重医大附二院渝中院区项目建设办公室</w:t>
            </w:r>
          </w:p>
          <w:p>
            <w:pPr>
              <w:pStyle w:val="38"/>
              <w:ind w:firstLine="0"/>
            </w:pPr>
            <w:r>
              <w:rPr>
                <w:rFonts w:hint="eastAsia"/>
              </w:rPr>
              <w:t>联 系 人：</w:t>
            </w:r>
            <w:r>
              <w:rPr>
                <w:rFonts w:hint="eastAsia"/>
                <w:lang w:eastAsia="zh-CN"/>
              </w:rPr>
              <w:t>尹</w:t>
            </w:r>
            <w:r>
              <w:rPr>
                <w:rFonts w:hint="eastAsia"/>
              </w:rPr>
              <w:t>老师    联系电话：  023-63693319</w:t>
            </w:r>
          </w:p>
        </w:tc>
      </w:tr>
    </w:tbl>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numPr>
          <w:ilvl w:val="0"/>
          <w:numId w:val="4"/>
        </w:numPr>
        <w:spacing w:line="360" w:lineRule="auto"/>
        <w:rPr>
          <w:rFonts w:ascii="仿宋_GB2312" w:hAnsi="宋体" w:eastAsia="仿宋_GB2312"/>
          <w:kern w:val="0"/>
          <w:sz w:val="24"/>
          <w:szCs w:val="20"/>
        </w:rPr>
      </w:pPr>
      <w:r>
        <w:rPr>
          <w:rFonts w:ascii="仿宋_GB2312" w:hAnsi="宋体" w:eastAsia="仿宋_GB2312"/>
          <w:kern w:val="0"/>
          <w:sz w:val="24"/>
          <w:szCs w:val="20"/>
        </w:rPr>
        <w:t>法定代表人授权书</w:t>
      </w:r>
      <w:r>
        <w:rPr>
          <w:rFonts w:hint="eastAsia" w:ascii="仿宋_GB2312" w:hAnsi="宋体" w:eastAsia="仿宋_GB2312"/>
          <w:kern w:val="0"/>
          <w:sz w:val="24"/>
          <w:szCs w:val="20"/>
        </w:rPr>
        <w:t>（格式）</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承诺书（格式）</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报价书（格式）、报价须知</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本项目设计人员一览表</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类似业绩一览表（自拟）</w:t>
      </w:r>
    </w:p>
    <w:p>
      <w:pPr>
        <w:numPr>
          <w:ilvl w:val="0"/>
          <w:numId w:val="4"/>
        </w:numPr>
        <w:spacing w:line="360" w:lineRule="auto"/>
        <w:rPr>
          <w:rFonts w:ascii="仿宋_GB2312" w:hAnsi="宋体" w:eastAsia="仿宋_GB2312"/>
          <w:color w:val="auto"/>
          <w:kern w:val="0"/>
          <w:sz w:val="24"/>
          <w:szCs w:val="20"/>
        </w:rPr>
      </w:pPr>
      <w:r>
        <w:rPr>
          <w:rFonts w:hint="eastAsia" w:ascii="仿宋_GB2312" w:hAnsi="宋体" w:eastAsia="仿宋_GB2312"/>
          <w:color w:val="auto"/>
          <w:kern w:val="0"/>
          <w:sz w:val="24"/>
          <w:szCs w:val="20"/>
          <w:lang w:eastAsia="zh-CN"/>
        </w:rPr>
        <w:t>原始</w:t>
      </w:r>
      <w:r>
        <w:rPr>
          <w:rFonts w:hint="eastAsia" w:ascii="仿宋_GB2312" w:hAnsi="宋体" w:eastAsia="仿宋_GB2312"/>
          <w:color w:val="auto"/>
          <w:kern w:val="0"/>
          <w:sz w:val="24"/>
          <w:szCs w:val="20"/>
        </w:rPr>
        <w:t>平面布置图</w:t>
      </w:r>
      <w:bookmarkStart w:id="2" w:name="_GoBack"/>
      <w:bookmarkEnd w:id="2"/>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pStyle w:val="12"/>
        <w:spacing w:line="360" w:lineRule="auto"/>
        <w:ind w:firstLine="560" w:firstLineChars="200"/>
        <w:jc w:val="both"/>
        <w:rPr>
          <w:sz w:val="28"/>
          <w:szCs w:val="28"/>
        </w:rPr>
      </w:pPr>
      <w:r>
        <w:rPr>
          <w:rFonts w:hint="eastAsia"/>
          <w:sz w:val="28"/>
          <w:szCs w:val="28"/>
        </w:rPr>
        <w:t>本授权书声明：本人 系的法定代表人，现授权本单位的为本公司代理人，以本公司的名义参加</w:t>
      </w:r>
      <w:r>
        <w:rPr>
          <w:rFonts w:hint="eastAsia"/>
          <w:sz w:val="28"/>
          <w:szCs w:val="28"/>
          <w:u w:val="single"/>
        </w:rPr>
        <w:t>重庆医科大学附属第二医院</w:t>
      </w:r>
      <w:r>
        <w:rPr>
          <w:rFonts w:hint="eastAsia" w:asciiTheme="minorEastAsia" w:hAnsiTheme="minorEastAsia" w:eastAsiaTheme="minorEastAsia"/>
          <w:bCs/>
          <w:sz w:val="28"/>
          <w:szCs w:val="28"/>
          <w:u w:val="single"/>
        </w:rPr>
        <w:t>江南院区肝炎研究所</w:t>
      </w:r>
      <w:r>
        <w:rPr>
          <w:rFonts w:hint="eastAsia" w:cs="宋体" w:asciiTheme="minorEastAsia" w:hAnsiTheme="minorEastAsia" w:eastAsiaTheme="minorEastAsia"/>
          <w:bCs/>
          <w:sz w:val="28"/>
          <w:szCs w:val="28"/>
          <w:u w:val="single"/>
        </w:rPr>
        <w:t>生物治疗室装修设计</w:t>
      </w:r>
      <w:r>
        <w:rPr>
          <w:rFonts w:hint="eastAsia"/>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sz w:val="28"/>
          <w:szCs w:val="28"/>
        </w:rPr>
      </w:pPr>
    </w:p>
    <w:p>
      <w:pPr>
        <w:pStyle w:val="14"/>
        <w:spacing w:after="0" w:line="360" w:lineRule="auto"/>
        <w:ind w:left="430" w:leftChars="205" w:firstLine="140" w:firstLineChars="50"/>
        <w:rPr>
          <w:sz w:val="28"/>
          <w:szCs w:val="28"/>
        </w:rPr>
      </w:pPr>
      <w:r>
        <w:rPr>
          <w:rFonts w:hint="eastAsia"/>
          <w:sz w:val="28"/>
          <w:szCs w:val="28"/>
        </w:rPr>
        <w:t>特此授权。</w:t>
      </w:r>
    </w:p>
    <w:p>
      <w:pPr>
        <w:pStyle w:val="12"/>
        <w:spacing w:line="360" w:lineRule="auto"/>
        <w:ind w:firstLine="560" w:firstLineChars="200"/>
        <w:rPr>
          <w:sz w:val="28"/>
          <w:szCs w:val="28"/>
        </w:rPr>
      </w:pPr>
    </w:p>
    <w:p>
      <w:pPr>
        <w:pStyle w:val="12"/>
        <w:spacing w:line="360" w:lineRule="auto"/>
        <w:ind w:firstLine="560" w:firstLineChars="200"/>
        <w:rPr>
          <w:sz w:val="28"/>
          <w:szCs w:val="28"/>
        </w:rPr>
      </w:pPr>
    </w:p>
    <w:p>
      <w:pPr>
        <w:pStyle w:val="10"/>
        <w:spacing w:after="0"/>
        <w:ind w:left="135"/>
        <w:rPr>
          <w:rFonts w:ascii="宋体" w:hAnsi="宋体"/>
          <w:szCs w:val="28"/>
        </w:rPr>
      </w:pPr>
    </w:p>
    <w:p>
      <w:pPr>
        <w:pStyle w:val="10"/>
        <w:spacing w:after="0"/>
        <w:ind w:left="135"/>
        <w:rPr>
          <w:rFonts w:ascii="宋体" w:hAnsi="宋体"/>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7"/>
        <w:spacing w:beforeLines="0" w:afterLines="0"/>
        <w:jc w:val="both"/>
        <w:rPr>
          <w:rFonts w:ascii="宋体" w:hAnsi="宋体" w:eastAsia="宋体"/>
          <w:kern w:val="0"/>
          <w:sz w:val="28"/>
          <w:szCs w:val="28"/>
        </w:rPr>
      </w:pPr>
    </w:p>
    <w:p>
      <w:pPr>
        <w:jc w:val="center"/>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r>
        <w:rPr>
          <w:rFonts w:hint="eastAsia" w:ascii="宋体" w:hAnsi="宋体"/>
          <w:sz w:val="28"/>
        </w:rPr>
        <w:t>日期：    年    月   日</w:t>
      </w: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sz w:val="28"/>
        </w:rPr>
      </w:pPr>
      <w:r>
        <w:rPr>
          <w:rFonts w:hint="eastAsia" w:ascii="宋体" w:hAnsi="宋体"/>
          <w:sz w:val="28"/>
        </w:rPr>
        <w:t>我单位参加贵院</w:t>
      </w:r>
      <w:r>
        <w:rPr>
          <w:rFonts w:hint="eastAsia"/>
          <w:sz w:val="28"/>
          <w:szCs w:val="28"/>
          <w:u w:val="single"/>
        </w:rPr>
        <w:t>重庆医科大学附属第二医院</w:t>
      </w:r>
      <w:r>
        <w:rPr>
          <w:rFonts w:hint="eastAsia" w:asciiTheme="minorEastAsia" w:hAnsiTheme="minorEastAsia" w:eastAsiaTheme="minorEastAsia"/>
          <w:bCs/>
          <w:sz w:val="28"/>
          <w:szCs w:val="28"/>
          <w:u w:val="single"/>
        </w:rPr>
        <w:t>江南院区肝炎研究所</w:t>
      </w:r>
      <w:r>
        <w:rPr>
          <w:rFonts w:hint="eastAsia" w:cs="宋体" w:asciiTheme="minorEastAsia" w:hAnsiTheme="minorEastAsia" w:eastAsiaTheme="minorEastAsia"/>
          <w:bCs/>
          <w:sz w:val="28"/>
          <w:szCs w:val="28"/>
          <w:u w:val="single"/>
        </w:rPr>
        <w:t>生物治疗室装修设计</w:t>
      </w:r>
      <w:r>
        <w:rPr>
          <w:rFonts w:hint="eastAsia" w:ascii="宋体" w:hAnsi="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sz w:val="28"/>
        </w:rPr>
      </w:pPr>
      <w:r>
        <w:rPr>
          <w:rFonts w:hint="eastAsia" w:ascii="宋体" w:hAnsi="宋体"/>
          <w:sz w:val="28"/>
        </w:rPr>
        <w:t>1、若我司中标，保证不会有转包、卖标等行为。</w:t>
      </w:r>
    </w:p>
    <w:p>
      <w:pPr>
        <w:spacing w:line="360" w:lineRule="auto"/>
        <w:ind w:left="-2" w:leftChars="-1" w:firstLine="560" w:firstLineChars="200"/>
        <w:rPr>
          <w:rFonts w:ascii="宋体" w:hAnsi="宋体"/>
          <w:sz w:val="28"/>
        </w:rPr>
      </w:pPr>
      <w:r>
        <w:rPr>
          <w:rFonts w:hint="eastAsia" w:ascii="宋体" w:hAnsi="宋体"/>
          <w:sz w:val="28"/>
        </w:rPr>
        <w:t>2、我司保证按时签定合同。</w:t>
      </w:r>
    </w:p>
    <w:p>
      <w:pPr>
        <w:spacing w:line="360" w:lineRule="auto"/>
        <w:ind w:left="-2" w:leftChars="-1" w:firstLine="560" w:firstLineChars="200"/>
        <w:rPr>
          <w:rFonts w:ascii="宋体" w:hAnsi="宋体"/>
          <w:sz w:val="28"/>
        </w:rPr>
      </w:pPr>
      <w:r>
        <w:rPr>
          <w:rFonts w:hint="eastAsia" w:ascii="宋体" w:hAnsi="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sz w:val="28"/>
        </w:rPr>
      </w:pPr>
    </w:p>
    <w:p>
      <w:pPr>
        <w:spacing w:line="360" w:lineRule="auto"/>
        <w:ind w:left="-2" w:leftChars="-1" w:firstLine="560" w:firstLineChars="200"/>
        <w:rPr>
          <w:rFonts w:ascii="宋体" w:hAnsi="宋体"/>
          <w:sz w:val="28"/>
        </w:rPr>
      </w:pPr>
      <w:r>
        <w:rPr>
          <w:rFonts w:hint="eastAsia" w:ascii="宋体" w:hAnsi="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hint="eastAsia" w:ascii="宋体" w:hAnsi="宋体"/>
          <w:sz w:val="28"/>
        </w:rPr>
        <w:t>竞谈人（公章）</w:t>
      </w:r>
    </w:p>
    <w:p>
      <w:pPr>
        <w:spacing w:line="360" w:lineRule="auto"/>
        <w:rPr>
          <w:rFonts w:ascii="宋体" w:hAnsi="宋体"/>
          <w:sz w:val="28"/>
        </w:rPr>
      </w:pPr>
    </w:p>
    <w:p>
      <w:pPr>
        <w:spacing w:line="360" w:lineRule="auto"/>
        <w:ind w:firstLine="560" w:firstLineChars="200"/>
        <w:rPr>
          <w:rFonts w:ascii="宋体" w:hAnsi="宋体"/>
          <w:sz w:val="28"/>
        </w:rPr>
      </w:pPr>
      <w:r>
        <w:rPr>
          <w:rFonts w:hint="eastAsia" w:ascii="宋体" w:hAnsi="宋体"/>
          <w:sz w:val="28"/>
        </w:rPr>
        <w:t xml:space="preserve">法定代表人（签章）       </w:t>
      </w:r>
    </w:p>
    <w:p>
      <w:pPr>
        <w:spacing w:line="360" w:lineRule="auto"/>
        <w:ind w:firstLine="560" w:firstLineChars="200"/>
        <w:rPr>
          <w:rFonts w:ascii="宋体" w:hAnsi="宋体"/>
          <w:sz w:val="30"/>
          <w:szCs w:val="30"/>
        </w:rPr>
      </w:pPr>
      <w:r>
        <w:rPr>
          <w:rFonts w:hint="eastAsia" w:ascii="宋体" w:hAnsi="宋体"/>
          <w:sz w:val="28"/>
        </w:rPr>
        <w:t xml:space="preserve">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ind w:firstLine="420" w:firstLineChars="200"/>
        <w:rPr>
          <w:kern w:val="0"/>
        </w:rPr>
      </w:pPr>
    </w:p>
    <w:p>
      <w:pPr>
        <w:snapToGrid w:val="0"/>
        <w:ind w:firstLine="420" w:firstLineChars="200"/>
        <w:rPr>
          <w:kern w:val="0"/>
        </w:rPr>
      </w:pPr>
    </w:p>
    <w:p>
      <w:pPr>
        <w:widowControl/>
        <w:spacing w:line="360" w:lineRule="auto"/>
        <w:ind w:firstLine="420" w:firstLineChars="200"/>
        <w:jc w:val="left"/>
        <w:rPr>
          <w:rFonts w:ascii="宋体" w:hAnsi="宋体"/>
          <w:szCs w:val="21"/>
        </w:rPr>
      </w:pPr>
    </w:p>
    <w:p>
      <w:pPr>
        <w:widowControl/>
        <w:tabs>
          <w:tab w:val="left" w:pos="720"/>
        </w:tabs>
        <w:spacing w:beforeLines="50" w:line="440" w:lineRule="exact"/>
        <w:jc w:val="center"/>
        <w:rPr>
          <w:kern w:val="0"/>
          <w:sz w:val="30"/>
          <w:szCs w:val="30"/>
        </w:rPr>
      </w:pPr>
    </w:p>
    <w:p>
      <w:pPr>
        <w:widowControl/>
        <w:tabs>
          <w:tab w:val="left" w:pos="720"/>
        </w:tabs>
        <w:spacing w:beforeLines="50" w:line="440" w:lineRule="exact"/>
        <w:jc w:val="center"/>
        <w:rPr>
          <w:kern w:val="0"/>
          <w:sz w:val="30"/>
          <w:szCs w:val="30"/>
        </w:rPr>
      </w:pPr>
    </w:p>
    <w:p>
      <w:pPr>
        <w:pStyle w:val="39"/>
        <w:spacing w:before="120" w:after="120"/>
        <w:rPr>
          <w:sz w:val="44"/>
          <w:szCs w:val="44"/>
        </w:rPr>
      </w:pPr>
      <w:bookmarkStart w:id="0" w:name="_Toc299614844"/>
    </w:p>
    <w:p>
      <w:pPr>
        <w:pStyle w:val="39"/>
        <w:spacing w:before="120" w:after="120"/>
        <w:rPr>
          <w:sz w:val="44"/>
          <w:szCs w:val="44"/>
        </w:rPr>
      </w:pPr>
      <w:r>
        <w:rPr>
          <w:rFonts w:hint="eastAsia"/>
          <w:sz w:val="44"/>
          <w:szCs w:val="44"/>
        </w:rPr>
        <w:t>报价书（格式）</w:t>
      </w:r>
    </w:p>
    <w:p>
      <w:pPr>
        <w:pStyle w:val="38"/>
        <w:spacing w:line="360" w:lineRule="auto"/>
        <w:ind w:firstLine="539"/>
        <w:rPr>
          <w:sz w:val="28"/>
          <w:szCs w:val="28"/>
        </w:rPr>
      </w:pPr>
    </w:p>
    <w:p>
      <w:pPr>
        <w:pStyle w:val="38"/>
        <w:spacing w:line="360" w:lineRule="auto"/>
        <w:ind w:firstLine="539"/>
        <w:rPr>
          <w:sz w:val="28"/>
          <w:szCs w:val="28"/>
        </w:rPr>
      </w:pPr>
      <w:r>
        <w:rPr>
          <w:rFonts w:hint="eastAsia"/>
          <w:sz w:val="28"/>
          <w:szCs w:val="28"/>
        </w:rPr>
        <w:t>致：重庆医科大学附属第二医院</w:t>
      </w:r>
    </w:p>
    <w:p>
      <w:pPr>
        <w:pStyle w:val="38"/>
        <w:spacing w:line="360" w:lineRule="auto"/>
        <w:ind w:firstLine="539"/>
        <w:rPr>
          <w:sz w:val="28"/>
          <w:szCs w:val="28"/>
        </w:rPr>
      </w:pPr>
      <w:r>
        <w:rPr>
          <w:rFonts w:hint="eastAsia"/>
          <w:sz w:val="28"/>
          <w:szCs w:val="28"/>
        </w:rPr>
        <w:t>我们已经仔细地研究了</w:t>
      </w:r>
      <w:r>
        <w:rPr>
          <w:rFonts w:hint="eastAsia"/>
          <w:sz w:val="28"/>
          <w:szCs w:val="28"/>
          <w:u w:val="single"/>
        </w:rPr>
        <w:t>重庆医科大学附属第二医院</w:t>
      </w:r>
      <w:r>
        <w:rPr>
          <w:rFonts w:hint="eastAsia" w:asciiTheme="minorEastAsia" w:hAnsiTheme="minorEastAsia" w:eastAsiaTheme="minorEastAsia"/>
          <w:bCs/>
          <w:sz w:val="28"/>
          <w:szCs w:val="28"/>
          <w:u w:val="single"/>
        </w:rPr>
        <w:t>江南院区肝炎研究所</w:t>
      </w:r>
      <w:r>
        <w:rPr>
          <w:rFonts w:hint="eastAsia" w:cs="宋体" w:asciiTheme="minorEastAsia" w:hAnsiTheme="minorEastAsia" w:eastAsiaTheme="minorEastAsia"/>
          <w:bCs/>
          <w:sz w:val="28"/>
          <w:szCs w:val="28"/>
          <w:u w:val="single"/>
        </w:rPr>
        <w:t>生物治疗室装修设计</w:t>
      </w:r>
      <w:r>
        <w:rPr>
          <w:rFonts w:hint="eastAsia"/>
          <w:sz w:val="28"/>
          <w:szCs w:val="28"/>
        </w:rPr>
        <w:t>竞争性谈判文件的全部内容。我们已完全理解了竞争性谈判文件规定的合同范围、要求，并考虑到了潜在所有风险。</w:t>
      </w:r>
    </w:p>
    <w:p>
      <w:pPr>
        <w:pStyle w:val="42"/>
        <w:shd w:val="clear" w:color="auto" w:fill="FFFFFF"/>
        <w:spacing w:before="0" w:beforeAutospacing="0" w:after="0" w:afterAutospacing="0" w:line="360" w:lineRule="auto"/>
        <w:ind w:firstLine="420" w:firstLineChars="150"/>
        <w:rPr>
          <w:rFonts w:ascii="仿宋_GB2312" w:eastAsia="仿宋_GB2312" w:cs="Times New Roman"/>
          <w:sz w:val="28"/>
          <w:szCs w:val="28"/>
        </w:rPr>
      </w:pPr>
      <w:r>
        <w:rPr>
          <w:rFonts w:hint="eastAsia" w:ascii="仿宋_GB2312" w:eastAsia="仿宋_GB2312" w:cs="Times New Roman"/>
          <w:sz w:val="28"/>
          <w:szCs w:val="28"/>
        </w:rPr>
        <w:t>据此，我们承诺参照了国家发展计划委员会文件、建设部计价格[2002]10</w:t>
      </w:r>
      <w:r>
        <w:rPr>
          <w:rFonts w:ascii="仿宋_GB2312" w:eastAsia="仿宋_GB2312" w:cs="Times New Roman"/>
          <w:sz w:val="28"/>
          <w:szCs w:val="28"/>
        </w:rPr>
        <w:t>号</w:t>
      </w:r>
      <w:r>
        <w:rPr>
          <w:rFonts w:hint="eastAsia" w:ascii="仿宋_GB2312" w:eastAsia="仿宋_GB2312" w:cs="Times New Roman"/>
          <w:sz w:val="28"/>
          <w:szCs w:val="28"/>
        </w:rPr>
        <w:t>文规定的《工程勘察设计收费管理规定》，结合本项目特点及我方实际情况，本项目设计费为</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rPr>
        <w:t>元整，工期</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rPr>
        <w:t>日历天。</w:t>
      </w:r>
    </w:p>
    <w:p>
      <w:pPr>
        <w:pStyle w:val="38"/>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38"/>
        <w:spacing w:line="360" w:lineRule="auto"/>
        <w:ind w:firstLine="539"/>
        <w:rPr>
          <w:sz w:val="28"/>
          <w:szCs w:val="28"/>
        </w:rPr>
      </w:pPr>
      <w:r>
        <w:rPr>
          <w:rFonts w:hint="eastAsia"/>
          <w:sz w:val="28"/>
          <w:szCs w:val="28"/>
        </w:rPr>
        <w:t>我方同意贵单位并不一定必须接受收到的最低报价的报价或任何报价。</w:t>
      </w:r>
    </w:p>
    <w:p>
      <w:pPr>
        <w:pStyle w:val="38"/>
        <w:spacing w:line="360" w:lineRule="auto"/>
        <w:ind w:firstLine="539"/>
        <w:rPr>
          <w:sz w:val="28"/>
          <w:szCs w:val="28"/>
        </w:rPr>
      </w:pPr>
    </w:p>
    <w:p>
      <w:pPr>
        <w:pStyle w:val="38"/>
        <w:spacing w:line="360" w:lineRule="auto"/>
        <w:ind w:firstLine="539"/>
        <w:rPr>
          <w:sz w:val="30"/>
          <w:szCs w:val="30"/>
        </w:rPr>
      </w:pPr>
    </w:p>
    <w:p>
      <w:pPr>
        <w:pStyle w:val="38"/>
        <w:spacing w:line="700" w:lineRule="atLeast"/>
        <w:ind w:firstLine="539"/>
        <w:rPr>
          <w:sz w:val="30"/>
          <w:szCs w:val="30"/>
        </w:rPr>
      </w:pPr>
      <w:r>
        <w:rPr>
          <w:rFonts w:hint="eastAsia"/>
          <w:sz w:val="30"/>
          <w:szCs w:val="30"/>
        </w:rPr>
        <w:t>竞谈单位（盖章）：</w:t>
      </w:r>
    </w:p>
    <w:p>
      <w:pPr>
        <w:pStyle w:val="38"/>
        <w:spacing w:line="700" w:lineRule="atLeast"/>
        <w:ind w:firstLine="539"/>
        <w:rPr>
          <w:sz w:val="30"/>
          <w:szCs w:val="30"/>
        </w:rPr>
      </w:pPr>
      <w:r>
        <w:rPr>
          <w:rFonts w:hint="eastAsia"/>
          <w:sz w:val="30"/>
          <w:szCs w:val="30"/>
        </w:rPr>
        <w:t>法定代表人或法人授权代表（签字）：</w:t>
      </w:r>
    </w:p>
    <w:p>
      <w:pPr>
        <w:pStyle w:val="38"/>
        <w:spacing w:line="700" w:lineRule="atLeast"/>
        <w:ind w:firstLine="539"/>
        <w:rPr>
          <w:sz w:val="30"/>
          <w:szCs w:val="30"/>
        </w:rPr>
      </w:pPr>
      <w:r>
        <w:rPr>
          <w:rFonts w:hint="eastAsia"/>
          <w:sz w:val="30"/>
          <w:szCs w:val="30"/>
        </w:rPr>
        <w:t>时间：</w:t>
      </w:r>
    </w:p>
    <w:p>
      <w:pPr>
        <w:pStyle w:val="38"/>
        <w:spacing w:before="120" w:after="120"/>
      </w:pPr>
      <w:bookmarkStart w:id="1" w:name="_Toc232834233"/>
    </w:p>
    <w:p>
      <w:pPr>
        <w:pStyle w:val="38"/>
        <w:spacing w:before="120" w:after="120"/>
      </w:pPr>
    </w:p>
    <w:p>
      <w:pPr>
        <w:pStyle w:val="38"/>
        <w:spacing w:before="120" w:after="120"/>
      </w:pPr>
    </w:p>
    <w:p>
      <w:pPr>
        <w:pStyle w:val="38"/>
        <w:spacing w:before="120" w:after="120"/>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ind w:firstLine="6045" w:firstLineChars="2007"/>
        <w:rPr>
          <w:rFonts w:ascii="仿宋_GB2312" w:eastAsia="仿宋_GB2312"/>
          <w:b/>
          <w:sz w:val="30"/>
          <w:szCs w:val="30"/>
        </w:rPr>
      </w:pPr>
      <w:r>
        <w:rPr>
          <w:rFonts w:hint="eastAsia" w:ascii="仿宋_GB2312" w:eastAsia="仿宋_GB2312"/>
          <w:b/>
          <w:sz w:val="30"/>
          <w:szCs w:val="30"/>
        </w:rPr>
        <w:t>本工程设计人员一览表</w:t>
      </w:r>
    </w:p>
    <w:p>
      <w:pPr>
        <w:spacing w:line="460" w:lineRule="exact"/>
        <w:ind w:firstLine="482"/>
        <w:rPr>
          <w:rFonts w:ascii="仿宋_GB2312" w:eastAsia="仿宋_GB2312"/>
        </w:rPr>
      </w:pPr>
    </w:p>
    <w:tbl>
      <w:tblPr>
        <w:tblStyle w:val="21"/>
        <w:tblW w:w="925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vAlign w:val="center"/>
          </w:tcPr>
          <w:p>
            <w:pPr>
              <w:spacing w:line="460" w:lineRule="exact"/>
              <w:ind w:firstLine="482"/>
              <w:rPr>
                <w:rFonts w:ascii="仿宋_GB2312" w:eastAsia="仿宋_GB2312"/>
              </w:rPr>
            </w:pPr>
            <w:r>
              <w:rPr>
                <w:rFonts w:hint="eastAsia" w:ascii="仿宋_GB2312" w:eastAsia="仿宋_GB2312"/>
              </w:rPr>
              <w:t>岗位</w:t>
            </w:r>
          </w:p>
        </w:tc>
        <w:tc>
          <w:tcPr>
            <w:tcW w:w="1440" w:type="dxa"/>
            <w:vAlign w:val="center"/>
          </w:tcPr>
          <w:p>
            <w:pPr>
              <w:spacing w:line="460" w:lineRule="exact"/>
              <w:ind w:firstLine="482"/>
              <w:rPr>
                <w:rFonts w:ascii="仿宋_GB2312" w:eastAsia="仿宋_GB2312"/>
              </w:rPr>
            </w:pPr>
            <w:r>
              <w:rPr>
                <w:rFonts w:hint="eastAsia" w:ascii="仿宋_GB2312" w:eastAsia="仿宋_GB2312"/>
              </w:rPr>
              <w:t>姓名</w:t>
            </w:r>
          </w:p>
        </w:tc>
        <w:tc>
          <w:tcPr>
            <w:tcW w:w="900" w:type="dxa"/>
            <w:vAlign w:val="center"/>
          </w:tcPr>
          <w:p>
            <w:pPr>
              <w:spacing w:line="460" w:lineRule="exact"/>
              <w:ind w:hanging="18"/>
              <w:jc w:val="center"/>
              <w:rPr>
                <w:rFonts w:ascii="仿宋_GB2312" w:eastAsia="仿宋_GB2312"/>
              </w:rPr>
            </w:pPr>
            <w:r>
              <w:rPr>
                <w:rFonts w:hint="eastAsia" w:ascii="仿宋_GB2312" w:eastAsia="仿宋_GB2312"/>
              </w:rPr>
              <w:t>性别</w:t>
            </w:r>
          </w:p>
        </w:tc>
        <w:tc>
          <w:tcPr>
            <w:tcW w:w="1080" w:type="dxa"/>
            <w:vAlign w:val="center"/>
          </w:tcPr>
          <w:p>
            <w:pPr>
              <w:spacing w:line="460" w:lineRule="exact"/>
              <w:ind w:firstLine="30"/>
              <w:jc w:val="center"/>
              <w:rPr>
                <w:rFonts w:ascii="仿宋_GB2312" w:eastAsia="仿宋_GB2312"/>
              </w:rPr>
            </w:pPr>
            <w:r>
              <w:rPr>
                <w:rFonts w:hint="eastAsia" w:ascii="仿宋_GB2312" w:eastAsia="仿宋_GB2312"/>
              </w:rPr>
              <w:t>年龄</w:t>
            </w:r>
          </w:p>
        </w:tc>
        <w:tc>
          <w:tcPr>
            <w:tcW w:w="929" w:type="dxa"/>
            <w:vAlign w:val="center"/>
          </w:tcPr>
          <w:p>
            <w:pPr>
              <w:spacing w:line="460" w:lineRule="exact"/>
              <w:jc w:val="center"/>
              <w:rPr>
                <w:rFonts w:ascii="仿宋_GB2312" w:eastAsia="仿宋_GB2312"/>
              </w:rPr>
            </w:pPr>
            <w:r>
              <w:rPr>
                <w:rFonts w:hint="eastAsia" w:ascii="仿宋_GB2312" w:eastAsia="仿宋_GB2312"/>
              </w:rPr>
              <w:t>职称</w:t>
            </w:r>
          </w:p>
        </w:tc>
        <w:tc>
          <w:tcPr>
            <w:tcW w:w="929" w:type="dxa"/>
            <w:vAlign w:val="center"/>
          </w:tcPr>
          <w:p>
            <w:pPr>
              <w:spacing w:line="460" w:lineRule="exact"/>
              <w:jc w:val="center"/>
              <w:rPr>
                <w:rFonts w:ascii="仿宋_GB2312" w:eastAsia="仿宋_GB2312"/>
              </w:rPr>
            </w:pPr>
            <w:r>
              <w:rPr>
                <w:rFonts w:hint="eastAsia" w:ascii="仿宋_GB2312" w:eastAsia="仿宋_GB2312"/>
              </w:rPr>
              <w:t>职务</w:t>
            </w:r>
          </w:p>
        </w:tc>
        <w:tc>
          <w:tcPr>
            <w:tcW w:w="959" w:type="dxa"/>
            <w:vAlign w:val="center"/>
          </w:tcPr>
          <w:p>
            <w:pPr>
              <w:spacing w:line="460" w:lineRule="exact"/>
              <w:jc w:val="center"/>
              <w:rPr>
                <w:rFonts w:ascii="仿宋_GB2312" w:eastAsia="仿宋_GB2312"/>
              </w:rPr>
            </w:pPr>
            <w:r>
              <w:rPr>
                <w:rFonts w:hint="eastAsia" w:ascii="仿宋_GB2312" w:eastAsia="仿宋_GB2312"/>
              </w:rPr>
              <w:t>学历</w:t>
            </w:r>
          </w:p>
        </w:tc>
        <w:tc>
          <w:tcPr>
            <w:tcW w:w="1522" w:type="dxa"/>
            <w:vAlign w:val="center"/>
          </w:tcPr>
          <w:p>
            <w:pPr>
              <w:spacing w:line="460" w:lineRule="exact"/>
              <w:jc w:val="center"/>
              <w:rPr>
                <w:rFonts w:ascii="仿宋_GB2312" w:eastAsia="仿宋_GB2312"/>
              </w:rPr>
            </w:pPr>
            <w:r>
              <w:rPr>
                <w:rFonts w:hint="eastAsia" w:ascii="仿宋_GB2312" w:eastAsia="仿宋_GB2312"/>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10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bl>
    <w:p>
      <w:pPr>
        <w:spacing w:line="460" w:lineRule="exact"/>
        <w:ind w:firstLine="1110" w:firstLineChars="529"/>
        <w:sectPr>
          <w:type w:val="continuous"/>
          <w:pgSz w:w="16840" w:h="11907" w:orient="landscape"/>
          <w:pgMar w:top="1440" w:right="1134" w:bottom="1134" w:left="1134" w:header="851" w:footer="992" w:gutter="0"/>
          <w:cols w:space="425" w:num="1"/>
          <w:docGrid w:linePitch="312" w:charSpace="0"/>
        </w:sectPr>
      </w:pPr>
      <w:r>
        <w:rPr>
          <w:rFonts w:hint="eastAsia"/>
        </w:rPr>
        <w:t>用于该工程的设计人员未经甲方批准不得擅自更换，否则按合同相关条款承担违约责任。</w:t>
      </w:r>
    </w:p>
    <w:bookmarkEnd w:id="0"/>
    <w:bookmarkEnd w:id="1"/>
    <w:p>
      <w:pPr>
        <w:pStyle w:val="38"/>
        <w:spacing w:before="120" w:after="120"/>
        <w:ind w:firstLine="0"/>
      </w:pP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Segoe UI Symbol">
    <w:altName w:val="Segoe UI"/>
    <w:panose1 w:val="020B0502040204020203"/>
    <w:charset w:val="00"/>
    <w:family w:val="swiss"/>
    <w:pitch w:val="default"/>
    <w:sig w:usb0="00000000" w:usb1="00000000" w:usb2="0004C000" w:usb3="00000000" w:csb0="00000001"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18E1215B"/>
    <w:multiLevelType w:val="multilevel"/>
    <w:tmpl w:val="18E121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7C46"/>
    <w:rsid w:val="000001EA"/>
    <w:rsid w:val="000008E5"/>
    <w:rsid w:val="00002092"/>
    <w:rsid w:val="0000308A"/>
    <w:rsid w:val="000051E5"/>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3E59"/>
    <w:rsid w:val="00084D28"/>
    <w:rsid w:val="00087DE2"/>
    <w:rsid w:val="00090B13"/>
    <w:rsid w:val="00093386"/>
    <w:rsid w:val="00095470"/>
    <w:rsid w:val="000A0697"/>
    <w:rsid w:val="000A4A73"/>
    <w:rsid w:val="000A5806"/>
    <w:rsid w:val="000B6A55"/>
    <w:rsid w:val="000C1CB0"/>
    <w:rsid w:val="000C62E4"/>
    <w:rsid w:val="000C64B7"/>
    <w:rsid w:val="000C6A91"/>
    <w:rsid w:val="000D0FD2"/>
    <w:rsid w:val="000D16CA"/>
    <w:rsid w:val="000D1EB8"/>
    <w:rsid w:val="000D5015"/>
    <w:rsid w:val="000D5B0A"/>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43A93"/>
    <w:rsid w:val="00153533"/>
    <w:rsid w:val="001541B2"/>
    <w:rsid w:val="00160F37"/>
    <w:rsid w:val="00163CD5"/>
    <w:rsid w:val="00166433"/>
    <w:rsid w:val="00176106"/>
    <w:rsid w:val="0018461D"/>
    <w:rsid w:val="00184A41"/>
    <w:rsid w:val="00187BBC"/>
    <w:rsid w:val="00191290"/>
    <w:rsid w:val="00193130"/>
    <w:rsid w:val="00197517"/>
    <w:rsid w:val="001B4843"/>
    <w:rsid w:val="001C553C"/>
    <w:rsid w:val="001C600A"/>
    <w:rsid w:val="001C7F9C"/>
    <w:rsid w:val="001D1070"/>
    <w:rsid w:val="001D3CD9"/>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2D04"/>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D6D57"/>
    <w:rsid w:val="002E5FEA"/>
    <w:rsid w:val="002E7032"/>
    <w:rsid w:val="002F04BF"/>
    <w:rsid w:val="002F7B48"/>
    <w:rsid w:val="00300123"/>
    <w:rsid w:val="003113EE"/>
    <w:rsid w:val="00312597"/>
    <w:rsid w:val="003135F0"/>
    <w:rsid w:val="003176B2"/>
    <w:rsid w:val="0032109A"/>
    <w:rsid w:val="00322546"/>
    <w:rsid w:val="00322C0E"/>
    <w:rsid w:val="00322E73"/>
    <w:rsid w:val="00323077"/>
    <w:rsid w:val="00324095"/>
    <w:rsid w:val="003257B2"/>
    <w:rsid w:val="00327484"/>
    <w:rsid w:val="00331D8E"/>
    <w:rsid w:val="003337C0"/>
    <w:rsid w:val="0033586E"/>
    <w:rsid w:val="00343E24"/>
    <w:rsid w:val="0034400B"/>
    <w:rsid w:val="003453C1"/>
    <w:rsid w:val="003461D6"/>
    <w:rsid w:val="003476CC"/>
    <w:rsid w:val="0035047D"/>
    <w:rsid w:val="0035210D"/>
    <w:rsid w:val="003569E2"/>
    <w:rsid w:val="00380E93"/>
    <w:rsid w:val="00387B5B"/>
    <w:rsid w:val="003922BF"/>
    <w:rsid w:val="0039265C"/>
    <w:rsid w:val="003954F6"/>
    <w:rsid w:val="003B32C2"/>
    <w:rsid w:val="003B4D22"/>
    <w:rsid w:val="003B5648"/>
    <w:rsid w:val="003B5F7B"/>
    <w:rsid w:val="003B768B"/>
    <w:rsid w:val="003B7CC9"/>
    <w:rsid w:val="003C011D"/>
    <w:rsid w:val="003C1607"/>
    <w:rsid w:val="003C377B"/>
    <w:rsid w:val="003C78F7"/>
    <w:rsid w:val="003D4B47"/>
    <w:rsid w:val="003E0F1C"/>
    <w:rsid w:val="003E5484"/>
    <w:rsid w:val="003F23D4"/>
    <w:rsid w:val="003F6228"/>
    <w:rsid w:val="003F74E5"/>
    <w:rsid w:val="00401CD5"/>
    <w:rsid w:val="00423291"/>
    <w:rsid w:val="00427048"/>
    <w:rsid w:val="00427174"/>
    <w:rsid w:val="004320A2"/>
    <w:rsid w:val="00432920"/>
    <w:rsid w:val="004339F6"/>
    <w:rsid w:val="004423C0"/>
    <w:rsid w:val="00443A6D"/>
    <w:rsid w:val="00451960"/>
    <w:rsid w:val="00457893"/>
    <w:rsid w:val="00457D46"/>
    <w:rsid w:val="004603AD"/>
    <w:rsid w:val="004640AE"/>
    <w:rsid w:val="0047096F"/>
    <w:rsid w:val="0047371F"/>
    <w:rsid w:val="0047396C"/>
    <w:rsid w:val="0048097A"/>
    <w:rsid w:val="00481B13"/>
    <w:rsid w:val="00486161"/>
    <w:rsid w:val="00490FCB"/>
    <w:rsid w:val="00493F12"/>
    <w:rsid w:val="00494EAD"/>
    <w:rsid w:val="00495D1A"/>
    <w:rsid w:val="0049649E"/>
    <w:rsid w:val="004973F6"/>
    <w:rsid w:val="004B1261"/>
    <w:rsid w:val="004B289D"/>
    <w:rsid w:val="004B75C0"/>
    <w:rsid w:val="004C5265"/>
    <w:rsid w:val="004C5991"/>
    <w:rsid w:val="004D0CE5"/>
    <w:rsid w:val="004D1ED1"/>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47E79"/>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213A"/>
    <w:rsid w:val="005C45DA"/>
    <w:rsid w:val="005D0E95"/>
    <w:rsid w:val="005D177A"/>
    <w:rsid w:val="005D65C2"/>
    <w:rsid w:val="005E1ED2"/>
    <w:rsid w:val="005E2159"/>
    <w:rsid w:val="005F6677"/>
    <w:rsid w:val="00600EE6"/>
    <w:rsid w:val="00601A19"/>
    <w:rsid w:val="00606F34"/>
    <w:rsid w:val="006100AC"/>
    <w:rsid w:val="00610AB4"/>
    <w:rsid w:val="00612EC4"/>
    <w:rsid w:val="0061346C"/>
    <w:rsid w:val="006139C4"/>
    <w:rsid w:val="00616DD2"/>
    <w:rsid w:val="00625EC8"/>
    <w:rsid w:val="0063180A"/>
    <w:rsid w:val="0063278B"/>
    <w:rsid w:val="006351B0"/>
    <w:rsid w:val="00635DD4"/>
    <w:rsid w:val="006371C5"/>
    <w:rsid w:val="00637623"/>
    <w:rsid w:val="00637725"/>
    <w:rsid w:val="00637BBC"/>
    <w:rsid w:val="006438E0"/>
    <w:rsid w:val="00651FC4"/>
    <w:rsid w:val="00652729"/>
    <w:rsid w:val="0066004F"/>
    <w:rsid w:val="006610BB"/>
    <w:rsid w:val="00662262"/>
    <w:rsid w:val="00663909"/>
    <w:rsid w:val="00671BF4"/>
    <w:rsid w:val="00672FED"/>
    <w:rsid w:val="00673017"/>
    <w:rsid w:val="0067462B"/>
    <w:rsid w:val="006836FC"/>
    <w:rsid w:val="00692414"/>
    <w:rsid w:val="006935A8"/>
    <w:rsid w:val="00695B2E"/>
    <w:rsid w:val="006A1324"/>
    <w:rsid w:val="006A1BF2"/>
    <w:rsid w:val="006A3562"/>
    <w:rsid w:val="006A48C2"/>
    <w:rsid w:val="006B0E01"/>
    <w:rsid w:val="006B24F9"/>
    <w:rsid w:val="006B2DE1"/>
    <w:rsid w:val="006B2EE6"/>
    <w:rsid w:val="006B5C9F"/>
    <w:rsid w:val="006C3E28"/>
    <w:rsid w:val="006D16E8"/>
    <w:rsid w:val="006D1D35"/>
    <w:rsid w:val="006D57B7"/>
    <w:rsid w:val="006D6F4C"/>
    <w:rsid w:val="006E082D"/>
    <w:rsid w:val="006F41DF"/>
    <w:rsid w:val="006F4B3F"/>
    <w:rsid w:val="0070195B"/>
    <w:rsid w:val="00704663"/>
    <w:rsid w:val="00707D3F"/>
    <w:rsid w:val="00710F95"/>
    <w:rsid w:val="00725E0A"/>
    <w:rsid w:val="007271DE"/>
    <w:rsid w:val="007318A0"/>
    <w:rsid w:val="0073494F"/>
    <w:rsid w:val="00735B56"/>
    <w:rsid w:val="00742108"/>
    <w:rsid w:val="00743A89"/>
    <w:rsid w:val="00745D6E"/>
    <w:rsid w:val="00746023"/>
    <w:rsid w:val="007460CC"/>
    <w:rsid w:val="00755EAC"/>
    <w:rsid w:val="007731D8"/>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6A20"/>
    <w:rsid w:val="007B704F"/>
    <w:rsid w:val="007B7623"/>
    <w:rsid w:val="007B7E41"/>
    <w:rsid w:val="007C1166"/>
    <w:rsid w:val="007C22AF"/>
    <w:rsid w:val="007C2484"/>
    <w:rsid w:val="007C4670"/>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5A9E"/>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6724"/>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13AD"/>
    <w:rsid w:val="009B2922"/>
    <w:rsid w:val="009B3F3E"/>
    <w:rsid w:val="009B481E"/>
    <w:rsid w:val="009B59AF"/>
    <w:rsid w:val="009B65F4"/>
    <w:rsid w:val="009C075C"/>
    <w:rsid w:val="009C082D"/>
    <w:rsid w:val="009C0D9F"/>
    <w:rsid w:val="009C7AFF"/>
    <w:rsid w:val="009E3EB2"/>
    <w:rsid w:val="009E422E"/>
    <w:rsid w:val="009E5F52"/>
    <w:rsid w:val="009F2805"/>
    <w:rsid w:val="009F60BE"/>
    <w:rsid w:val="009F75EC"/>
    <w:rsid w:val="00A010B1"/>
    <w:rsid w:val="00A0167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4B05"/>
    <w:rsid w:val="00A4684C"/>
    <w:rsid w:val="00A46BC4"/>
    <w:rsid w:val="00A4723E"/>
    <w:rsid w:val="00A50F3A"/>
    <w:rsid w:val="00A51859"/>
    <w:rsid w:val="00A5186B"/>
    <w:rsid w:val="00A51E62"/>
    <w:rsid w:val="00A62314"/>
    <w:rsid w:val="00A62988"/>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AF2CDC"/>
    <w:rsid w:val="00B02669"/>
    <w:rsid w:val="00B04B1B"/>
    <w:rsid w:val="00B16CEB"/>
    <w:rsid w:val="00B225FB"/>
    <w:rsid w:val="00B23A10"/>
    <w:rsid w:val="00B25925"/>
    <w:rsid w:val="00B26108"/>
    <w:rsid w:val="00B305BC"/>
    <w:rsid w:val="00B317EB"/>
    <w:rsid w:val="00B33553"/>
    <w:rsid w:val="00B44121"/>
    <w:rsid w:val="00B5062A"/>
    <w:rsid w:val="00B52A35"/>
    <w:rsid w:val="00B53411"/>
    <w:rsid w:val="00B5632D"/>
    <w:rsid w:val="00B574BD"/>
    <w:rsid w:val="00B720ED"/>
    <w:rsid w:val="00B77CFE"/>
    <w:rsid w:val="00B80787"/>
    <w:rsid w:val="00B82E20"/>
    <w:rsid w:val="00B83265"/>
    <w:rsid w:val="00B86622"/>
    <w:rsid w:val="00B90ED6"/>
    <w:rsid w:val="00B940AD"/>
    <w:rsid w:val="00B94B95"/>
    <w:rsid w:val="00B95B6D"/>
    <w:rsid w:val="00B96778"/>
    <w:rsid w:val="00BA62B4"/>
    <w:rsid w:val="00BB038D"/>
    <w:rsid w:val="00BB23B3"/>
    <w:rsid w:val="00BB709F"/>
    <w:rsid w:val="00BC119A"/>
    <w:rsid w:val="00BC1D2D"/>
    <w:rsid w:val="00BF061E"/>
    <w:rsid w:val="00BF31A5"/>
    <w:rsid w:val="00BF3430"/>
    <w:rsid w:val="00C01A45"/>
    <w:rsid w:val="00C031EF"/>
    <w:rsid w:val="00C03D59"/>
    <w:rsid w:val="00C13C36"/>
    <w:rsid w:val="00C2799C"/>
    <w:rsid w:val="00C3273B"/>
    <w:rsid w:val="00C353DC"/>
    <w:rsid w:val="00C402EC"/>
    <w:rsid w:val="00C477E0"/>
    <w:rsid w:val="00C5092E"/>
    <w:rsid w:val="00C5255B"/>
    <w:rsid w:val="00C55F43"/>
    <w:rsid w:val="00C64AE0"/>
    <w:rsid w:val="00C7297D"/>
    <w:rsid w:val="00C770B4"/>
    <w:rsid w:val="00C86602"/>
    <w:rsid w:val="00C86E90"/>
    <w:rsid w:val="00C94431"/>
    <w:rsid w:val="00C94E9E"/>
    <w:rsid w:val="00C9573F"/>
    <w:rsid w:val="00C96011"/>
    <w:rsid w:val="00C97FB6"/>
    <w:rsid w:val="00CA7BE4"/>
    <w:rsid w:val="00CA7D62"/>
    <w:rsid w:val="00CA7EFC"/>
    <w:rsid w:val="00CB2F8C"/>
    <w:rsid w:val="00CB586A"/>
    <w:rsid w:val="00CC0D70"/>
    <w:rsid w:val="00CC5456"/>
    <w:rsid w:val="00CC74BA"/>
    <w:rsid w:val="00CD5E9A"/>
    <w:rsid w:val="00CD74D9"/>
    <w:rsid w:val="00CF0971"/>
    <w:rsid w:val="00CF169E"/>
    <w:rsid w:val="00CF2C7A"/>
    <w:rsid w:val="00CF5CF1"/>
    <w:rsid w:val="00D015DE"/>
    <w:rsid w:val="00D072EA"/>
    <w:rsid w:val="00D075FB"/>
    <w:rsid w:val="00D10B7C"/>
    <w:rsid w:val="00D21574"/>
    <w:rsid w:val="00D25942"/>
    <w:rsid w:val="00D27C41"/>
    <w:rsid w:val="00D31F8C"/>
    <w:rsid w:val="00D32DDA"/>
    <w:rsid w:val="00D378B3"/>
    <w:rsid w:val="00D45604"/>
    <w:rsid w:val="00D461FD"/>
    <w:rsid w:val="00D4703A"/>
    <w:rsid w:val="00D51FAC"/>
    <w:rsid w:val="00D54723"/>
    <w:rsid w:val="00D56049"/>
    <w:rsid w:val="00D572AE"/>
    <w:rsid w:val="00D60533"/>
    <w:rsid w:val="00D70E47"/>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16A9"/>
    <w:rsid w:val="00DC42D6"/>
    <w:rsid w:val="00DC4B84"/>
    <w:rsid w:val="00DD05F6"/>
    <w:rsid w:val="00DD4B3C"/>
    <w:rsid w:val="00DD5A3B"/>
    <w:rsid w:val="00DD6567"/>
    <w:rsid w:val="00DD78DC"/>
    <w:rsid w:val="00DD7C88"/>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2B7F"/>
    <w:rsid w:val="00E34514"/>
    <w:rsid w:val="00E34DDB"/>
    <w:rsid w:val="00E35194"/>
    <w:rsid w:val="00E376D0"/>
    <w:rsid w:val="00E37FB5"/>
    <w:rsid w:val="00E402DB"/>
    <w:rsid w:val="00E42FC8"/>
    <w:rsid w:val="00E4422A"/>
    <w:rsid w:val="00E44E80"/>
    <w:rsid w:val="00E4528F"/>
    <w:rsid w:val="00E52580"/>
    <w:rsid w:val="00E53FDA"/>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B64F3"/>
    <w:rsid w:val="00EC07F6"/>
    <w:rsid w:val="00EC1849"/>
    <w:rsid w:val="00EC2656"/>
    <w:rsid w:val="00EC6241"/>
    <w:rsid w:val="00ED327F"/>
    <w:rsid w:val="00ED405A"/>
    <w:rsid w:val="00ED5540"/>
    <w:rsid w:val="00ED709D"/>
    <w:rsid w:val="00EE0D52"/>
    <w:rsid w:val="00EE18FC"/>
    <w:rsid w:val="00EE2B34"/>
    <w:rsid w:val="00EE725E"/>
    <w:rsid w:val="00F00AD0"/>
    <w:rsid w:val="00F07575"/>
    <w:rsid w:val="00F10CAC"/>
    <w:rsid w:val="00F1183D"/>
    <w:rsid w:val="00F21545"/>
    <w:rsid w:val="00F23154"/>
    <w:rsid w:val="00F261D3"/>
    <w:rsid w:val="00F31C35"/>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84AFC"/>
    <w:rsid w:val="00F91421"/>
    <w:rsid w:val="00F91D40"/>
    <w:rsid w:val="00F91F52"/>
    <w:rsid w:val="00F94CEF"/>
    <w:rsid w:val="00F97BE3"/>
    <w:rsid w:val="00FA4735"/>
    <w:rsid w:val="00FB3C7A"/>
    <w:rsid w:val="00FB6E0E"/>
    <w:rsid w:val="00FB74D1"/>
    <w:rsid w:val="00FC126C"/>
    <w:rsid w:val="00FC21BD"/>
    <w:rsid w:val="00FC4604"/>
    <w:rsid w:val="00FD1499"/>
    <w:rsid w:val="00FD3ADC"/>
    <w:rsid w:val="00FD4E00"/>
    <w:rsid w:val="00FD52B8"/>
    <w:rsid w:val="00FE2ECF"/>
    <w:rsid w:val="00FE4B87"/>
    <w:rsid w:val="00FE61C8"/>
    <w:rsid w:val="00FF17B2"/>
    <w:rsid w:val="00FF4DA8"/>
    <w:rsid w:val="00FF6A8F"/>
    <w:rsid w:val="09C011D3"/>
    <w:rsid w:val="0D0A1A4E"/>
    <w:rsid w:val="11C95816"/>
    <w:rsid w:val="16A22429"/>
    <w:rsid w:val="17167998"/>
    <w:rsid w:val="18722010"/>
    <w:rsid w:val="19326C05"/>
    <w:rsid w:val="19BD0F8A"/>
    <w:rsid w:val="19DE0102"/>
    <w:rsid w:val="1AA85A69"/>
    <w:rsid w:val="1B5C2D9B"/>
    <w:rsid w:val="23114F6B"/>
    <w:rsid w:val="24920589"/>
    <w:rsid w:val="2DFF0B8C"/>
    <w:rsid w:val="2E57491D"/>
    <w:rsid w:val="338404EF"/>
    <w:rsid w:val="338574D2"/>
    <w:rsid w:val="33F65731"/>
    <w:rsid w:val="3C1D65D3"/>
    <w:rsid w:val="3E702687"/>
    <w:rsid w:val="3EB35711"/>
    <w:rsid w:val="3F30211A"/>
    <w:rsid w:val="40203E73"/>
    <w:rsid w:val="476C1186"/>
    <w:rsid w:val="485B2E1A"/>
    <w:rsid w:val="4AED597E"/>
    <w:rsid w:val="51910042"/>
    <w:rsid w:val="52741FD4"/>
    <w:rsid w:val="53AF4681"/>
    <w:rsid w:val="56C84DE9"/>
    <w:rsid w:val="59CE4B48"/>
    <w:rsid w:val="5D4E0AB6"/>
    <w:rsid w:val="5E2742B0"/>
    <w:rsid w:val="611D1588"/>
    <w:rsid w:val="61E376EE"/>
    <w:rsid w:val="61E92643"/>
    <w:rsid w:val="64AA2288"/>
    <w:rsid w:val="66255E50"/>
    <w:rsid w:val="68277A2F"/>
    <w:rsid w:val="684B3930"/>
    <w:rsid w:val="69DC6682"/>
    <w:rsid w:val="70943585"/>
    <w:rsid w:val="743B5A3E"/>
    <w:rsid w:val="75932D07"/>
    <w:rsid w:val="795C19DA"/>
    <w:rsid w:val="7B892731"/>
    <w:rsid w:val="7F731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2 Char"/>
    <w:basedOn w:val="23"/>
    <w:link w:val="3"/>
    <w:qFormat/>
    <w:uiPriority w:val="0"/>
    <w:rPr>
      <w:rFonts w:ascii="Helvetica" w:hAnsi="Helvetica" w:eastAsia="宋体"/>
      <w:b/>
      <w:color w:val="000000"/>
      <w:sz w:val="24"/>
      <w:lang w:val="en-US" w:eastAsia="zh-CN" w:bidi="ar-SA"/>
    </w:rPr>
  </w:style>
  <w:style w:type="character" w:customStyle="1" w:styleId="27">
    <w:name w:val="页眉 Char"/>
    <w:basedOn w:val="23"/>
    <w:link w:val="17"/>
    <w:qFormat/>
    <w:uiPriority w:val="0"/>
    <w:rPr>
      <w:rFonts w:eastAsia="宋体"/>
      <w:kern w:val="2"/>
      <w:sz w:val="18"/>
      <w:szCs w:val="18"/>
      <w:lang w:val="en-US" w:eastAsia="zh-CN" w:bidi="ar-SA"/>
    </w:rPr>
  </w:style>
  <w:style w:type="character" w:customStyle="1" w:styleId="28">
    <w:name w:val="页脚 Char"/>
    <w:basedOn w:val="23"/>
    <w:link w:val="16"/>
    <w:qFormat/>
    <w:uiPriority w:val="0"/>
    <w:rPr>
      <w:rFonts w:eastAsia="宋体"/>
      <w:kern w:val="2"/>
      <w:sz w:val="18"/>
      <w:szCs w:val="18"/>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character" w:customStyle="1" w:styleId="31">
    <w:name w:val="5号正文 Char"/>
    <w:basedOn w:val="23"/>
    <w:link w:val="32"/>
    <w:qFormat/>
    <w:uiPriority w:val="0"/>
    <w:rPr>
      <w:rFonts w:ascii="楷体_GB2312" w:hAnsi="宋体" w:eastAsia="楷体_GB2312"/>
      <w:snapToGrid w:val="0"/>
      <w:sz w:val="24"/>
      <w:lang w:val="en-US" w:eastAsia="zh-CN" w:bidi="ar-SA"/>
    </w:rPr>
  </w:style>
  <w:style w:type="paragraph" w:customStyle="1" w:styleId="32">
    <w:name w:val="5号正文"/>
    <w:link w:val="3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Char Char4"/>
    <w:basedOn w:val="23"/>
    <w:qFormat/>
    <w:uiPriority w:val="0"/>
    <w:rPr>
      <w:rFonts w:eastAsia="宋体"/>
      <w:kern w:val="2"/>
      <w:sz w:val="18"/>
      <w:lang w:val="en-US" w:eastAsia="zh-CN"/>
    </w:rPr>
  </w:style>
  <w:style w:type="paragraph" w:customStyle="1" w:styleId="35">
    <w:name w:val="Char Char Char Char Char Char Char Char Char Char Char Char Char Char Char Char"/>
    <w:basedOn w:val="7"/>
    <w:qFormat/>
    <w:uiPriority w:val="0"/>
    <w:pPr>
      <w:spacing w:line="360" w:lineRule="auto"/>
      <w:ind w:firstLine="200" w:firstLineChars="200"/>
    </w:pPr>
  </w:style>
  <w:style w:type="paragraph" w:customStyle="1" w:styleId="3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0">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1">
    <w:name w:val="日期 Char"/>
    <w:link w:val="13"/>
    <w:qFormat/>
    <w:uiPriority w:val="0"/>
    <w:rPr>
      <w:rFonts w:eastAsia="宋体"/>
      <w:kern w:val="2"/>
      <w:sz w:val="24"/>
      <w:lang w:val="en-US" w:eastAsia="zh-CN" w:bidi="ar-SA"/>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43">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488</Words>
  <Characters>2785</Characters>
  <Lines>23</Lines>
  <Paragraphs>6</Paragraphs>
  <TotalTime>9</TotalTime>
  <ScaleCrop>false</ScaleCrop>
  <LinksUpToDate>false</LinksUpToDate>
  <CharactersWithSpaces>3267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2019-10-09T07:30:00Z</dcterms:created>
  <dc:creator>User</dc:creator>
  <cp:lastModifiedBy>豆小瓣</cp:lastModifiedBy>
  <cp:lastPrinted>2011-12-20T05:46:00Z</cp:lastPrinted>
  <dcterms:modified xsi:type="dcterms:W3CDTF">2019-11-05T06:49:48Z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