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奎星楼A组团改造装修项目建筑材料检测项目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w:t>
      </w:r>
      <w:r>
        <w:rPr>
          <w:rFonts w:hint="eastAsia" w:ascii="宋体" w:hAnsi="宋体"/>
          <w:snapToGrid w:val="0"/>
          <w:color w:val="000000"/>
          <w:sz w:val="36"/>
          <w:szCs w:val="36"/>
          <w:lang w:eastAsia="zh-CN"/>
        </w:rPr>
        <w:t>四</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40"/>
              <w:ind w:firstLine="0"/>
              <w:jc w:val="center"/>
              <w:rPr>
                <w:rFonts w:ascii="宋体" w:eastAsia="宋体"/>
              </w:rPr>
            </w:pPr>
            <w:r>
              <w:rPr>
                <w:rFonts w:hint="eastAsia" w:ascii="宋体" w:eastAsia="宋体"/>
              </w:rPr>
              <w:t>项号</w:t>
            </w:r>
          </w:p>
        </w:tc>
        <w:tc>
          <w:tcPr>
            <w:tcW w:w="1663" w:type="dxa"/>
            <w:vAlign w:val="center"/>
          </w:tcPr>
          <w:p>
            <w:pPr>
              <w:pStyle w:val="40"/>
              <w:ind w:firstLine="0"/>
              <w:jc w:val="center"/>
              <w:rPr>
                <w:rFonts w:ascii="宋体" w:eastAsia="宋体"/>
              </w:rPr>
            </w:pPr>
            <w:r>
              <w:rPr>
                <w:rFonts w:hint="eastAsia" w:ascii="宋体" w:eastAsia="宋体"/>
              </w:rPr>
              <w:t>内容</w:t>
            </w:r>
          </w:p>
        </w:tc>
        <w:tc>
          <w:tcPr>
            <w:tcW w:w="7130" w:type="dxa"/>
            <w:vAlign w:val="center"/>
          </w:tcPr>
          <w:p>
            <w:pPr>
              <w:pStyle w:val="40"/>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rPr>
                <w:rFonts w:ascii="宋体" w:hAnsi="宋体"/>
                <w:kern w:val="0"/>
                <w:sz w:val="24"/>
                <w:szCs w:val="20"/>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奎星楼A组团改造装修项目建筑材料检测项目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5" w:type="dxa"/>
            <w:vAlign w:val="center"/>
          </w:tcPr>
          <w:p>
            <w:pPr>
              <w:pStyle w:val="40"/>
              <w:ind w:firstLine="0"/>
              <w:jc w:val="center"/>
              <w:rPr>
                <w:rFonts w:ascii="宋体" w:eastAsia="宋体"/>
              </w:rPr>
            </w:pPr>
            <w:r>
              <w:rPr>
                <w:rFonts w:hint="eastAsia" w:ascii="宋体" w:eastAsia="宋体"/>
              </w:rPr>
              <w:t>2</w:t>
            </w:r>
          </w:p>
        </w:tc>
        <w:tc>
          <w:tcPr>
            <w:tcW w:w="1663" w:type="dxa"/>
            <w:vAlign w:val="center"/>
          </w:tcPr>
          <w:p>
            <w:pPr>
              <w:pStyle w:val="40"/>
              <w:ind w:firstLine="0"/>
              <w:jc w:val="center"/>
              <w:rPr>
                <w:rFonts w:ascii="宋体" w:eastAsia="宋体"/>
              </w:rPr>
            </w:pPr>
            <w:r>
              <w:rPr>
                <w:rFonts w:hint="eastAsia" w:ascii="宋体" w:eastAsia="宋体"/>
              </w:rPr>
              <w:t>项目概况</w:t>
            </w:r>
          </w:p>
        </w:tc>
        <w:tc>
          <w:tcPr>
            <w:tcW w:w="7130" w:type="dxa"/>
            <w:vAlign w:val="center"/>
          </w:tcPr>
          <w:p>
            <w:pPr>
              <w:pStyle w:val="40"/>
              <w:ind w:firstLine="0"/>
              <w:rPr>
                <w:rFonts w:ascii="宋体" w:eastAsia="宋体"/>
              </w:rPr>
            </w:pPr>
            <w:r>
              <w:rPr>
                <w:rFonts w:hint="eastAsia" w:ascii="宋体" w:eastAsia="宋体"/>
              </w:rPr>
              <w:t>建设地点：重庆市渝中区</w:t>
            </w:r>
          </w:p>
          <w:p>
            <w:pPr>
              <w:spacing w:line="360" w:lineRule="auto"/>
              <w:rPr>
                <w:rFonts w:ascii="宋体"/>
                <w:b/>
              </w:rPr>
            </w:pPr>
            <w:r>
              <w:rPr>
                <w:rFonts w:hint="eastAsia" w:ascii="宋体"/>
                <w:sz w:val="24"/>
              </w:rPr>
              <w:t>工程规模</w:t>
            </w:r>
            <w:r>
              <w:rPr>
                <w:rFonts w:hint="eastAsia" w:ascii="宋体"/>
              </w:rPr>
              <w:t>：</w:t>
            </w:r>
            <w:r>
              <w:rPr>
                <w:rFonts w:hint="eastAsia" w:ascii="宋体" w:hAnsi="宋体" w:cs="宋体"/>
                <w:sz w:val="24"/>
                <w:shd w:val="clear" w:color="auto" w:fill="FFFFFF"/>
              </w:rPr>
              <w:t>项目建设规模：总建筑面积约为32200平方米。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40"/>
              <w:ind w:firstLine="0"/>
              <w:jc w:val="center"/>
              <w:rPr>
                <w:rFonts w:ascii="宋体" w:eastAsia="宋体"/>
              </w:rPr>
            </w:pPr>
            <w:r>
              <w:rPr>
                <w:rFonts w:hint="eastAsia" w:ascii="宋体" w:eastAsia="宋体"/>
              </w:rPr>
              <w:t>3</w:t>
            </w:r>
          </w:p>
        </w:tc>
        <w:tc>
          <w:tcPr>
            <w:tcW w:w="1663" w:type="dxa"/>
            <w:vAlign w:val="center"/>
          </w:tcPr>
          <w:p>
            <w:pPr>
              <w:pStyle w:val="40"/>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asciiTheme="minorEastAsia" w:hAnsiTheme="minorEastAsia"/>
                <w:sz w:val="24"/>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奎星楼A组团改造装修项目建筑材料</w:t>
            </w:r>
            <w:r>
              <w:rPr>
                <w:rFonts w:hint="eastAsia" w:asciiTheme="minorEastAsia" w:hAnsiTheme="minorEastAsia"/>
                <w:sz w:val="24"/>
              </w:rPr>
              <w:t>检测并出具检测报告，并</w:t>
            </w:r>
            <w:r>
              <w:rPr>
                <w:rFonts w:asciiTheme="minorEastAsia" w:hAnsiTheme="minorEastAsia"/>
                <w:sz w:val="24"/>
              </w:rPr>
              <w:t>盖有</w:t>
            </w:r>
            <w:r>
              <w:rPr>
                <w:rFonts w:hint="eastAsia" w:asciiTheme="minorEastAsia" w:hAnsiTheme="minorEastAsia"/>
                <w:sz w:val="24"/>
              </w:rPr>
              <w:t>重庆市技监局CMA章、</w:t>
            </w:r>
            <w:r>
              <w:rPr>
                <w:rFonts w:asciiTheme="minorEastAsia" w:hAnsiTheme="minorEastAsia"/>
                <w:sz w:val="24"/>
              </w:rPr>
              <w:t>重庆城乡建设委员会的检测章</w:t>
            </w:r>
            <w:r>
              <w:rPr>
                <w:rFonts w:hint="eastAsia" w:asciiTheme="minorEastAsia" w:hAnsiTheme="minorEastAsia"/>
                <w:sz w:val="24"/>
              </w:rPr>
              <w:t>。</w:t>
            </w:r>
          </w:p>
          <w:p>
            <w:pPr>
              <w:spacing w:line="480" w:lineRule="auto"/>
              <w:rPr>
                <w:rFonts w:cs="宋体" w:asciiTheme="minorEastAsia" w:hAnsiTheme="minorEastAsia" w:eastAsiaTheme="minorEastAsia"/>
                <w:szCs w:val="21"/>
              </w:rPr>
            </w:pPr>
            <w:r>
              <w:rPr>
                <w:rFonts w:hint="eastAsia" w:asciiTheme="minorEastAsia" w:hAnsiTheme="minorEastAsia"/>
                <w:sz w:val="24"/>
              </w:rPr>
              <w:t>检测范围：</w:t>
            </w:r>
            <w:r>
              <w:rPr>
                <w:rFonts w:hint="eastAsia" w:asciiTheme="minorEastAsia" w:hAnsiTheme="minorEastAsia" w:eastAsiaTheme="minorEastAsia"/>
                <w:szCs w:val="21"/>
              </w:rPr>
              <w:t>见附表三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4</w:t>
            </w:r>
          </w:p>
        </w:tc>
        <w:tc>
          <w:tcPr>
            <w:tcW w:w="1663" w:type="dxa"/>
            <w:vAlign w:val="center"/>
          </w:tcPr>
          <w:p>
            <w:pPr>
              <w:pStyle w:val="40"/>
              <w:ind w:firstLine="0"/>
              <w:jc w:val="center"/>
              <w:rPr>
                <w:rFonts w:ascii="宋体" w:eastAsia="宋体"/>
              </w:rPr>
            </w:pPr>
            <w:r>
              <w:rPr>
                <w:rFonts w:hint="eastAsia" w:ascii="宋体" w:eastAsia="宋体"/>
              </w:rPr>
              <w:t>限价</w:t>
            </w:r>
          </w:p>
        </w:tc>
        <w:tc>
          <w:tcPr>
            <w:tcW w:w="7130" w:type="dxa"/>
            <w:vAlign w:val="center"/>
          </w:tcPr>
          <w:p>
            <w:pPr>
              <w:pStyle w:val="40"/>
              <w:ind w:firstLine="0"/>
              <w:rPr>
                <w:rFonts w:ascii="宋体" w:eastAsia="宋体"/>
                <w:szCs w:val="24"/>
              </w:rPr>
            </w:pPr>
            <w:r>
              <w:rPr>
                <w:rFonts w:hint="eastAsia" w:asciiTheme="minorEastAsia" w:hAnsiTheme="minorEastAsia" w:eastAsiaTheme="minorEastAsia"/>
                <w:b/>
                <w:kern w:val="2"/>
                <w:szCs w:val="24"/>
              </w:rPr>
              <w:t>竞谈限价：17万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40"/>
              <w:ind w:firstLine="0"/>
              <w:jc w:val="center"/>
              <w:rPr>
                <w:rFonts w:ascii="宋体" w:eastAsia="宋体"/>
              </w:rPr>
            </w:pPr>
            <w:r>
              <w:rPr>
                <w:rFonts w:hint="eastAsia" w:ascii="宋体" w:eastAsia="宋体"/>
              </w:rPr>
              <w:t>5</w:t>
            </w:r>
          </w:p>
        </w:tc>
        <w:tc>
          <w:tcPr>
            <w:tcW w:w="1663" w:type="dxa"/>
            <w:vAlign w:val="center"/>
          </w:tcPr>
          <w:p>
            <w:pPr>
              <w:pStyle w:val="40"/>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4"/>
              <w:numPr>
                <w:ilvl w:val="0"/>
                <w:numId w:val="2"/>
              </w:numPr>
              <w:spacing w:line="360" w:lineRule="auto"/>
              <w:ind w:firstLine="0" w:firstLineChars="0"/>
              <w:rPr>
                <w:rFonts w:ascii="宋体" w:hAnsi="宋体" w:cs="宋体"/>
                <w:sz w:val="24"/>
                <w:u w:val="single"/>
              </w:rPr>
            </w:pP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重庆市城乡建设委员会认可的检测专项资质的检测机构。</w:t>
            </w:r>
            <w:r>
              <w:rPr>
                <w:rFonts w:hint="eastAsia" w:ascii="宋体" w:hAnsi="宋体" w:cs="宋体"/>
                <w:sz w:val="24"/>
                <w:u w:val="single"/>
              </w:rPr>
              <w:t>现场报名时需提供营业执照复印件，且标注出与本次竞谈项目相符合的经营范围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4"/>
              <w:numPr>
                <w:ilvl w:val="0"/>
                <w:numId w:val="3"/>
              </w:numPr>
              <w:spacing w:line="360" w:lineRule="auto"/>
              <w:ind w:firstLineChars="0"/>
              <w:rPr>
                <w:rFonts w:ascii="宋体" w:hAnsi="宋体" w:cs="宋体"/>
                <w:color w:val="000000"/>
                <w:sz w:val="24"/>
              </w:rPr>
            </w:pPr>
            <w:r>
              <w:rPr>
                <w:rFonts w:hint="eastAsia" w:ascii="宋体" w:hAnsi="宋体" w:cs="宋体"/>
                <w:sz w:val="24"/>
              </w:rPr>
              <w:t>具有重庆市质检的CMA许可以及</w:t>
            </w:r>
            <w:r>
              <w:rPr>
                <w:rFonts w:asciiTheme="minorEastAsia" w:hAnsiTheme="minorEastAsia"/>
                <w:sz w:val="24"/>
              </w:rPr>
              <w:t>重庆城乡建设委员会</w:t>
            </w:r>
            <w:r>
              <w:rPr>
                <w:rFonts w:hint="eastAsia" w:asciiTheme="minorEastAsia" w:hAnsiTheme="minorEastAsia"/>
                <w:sz w:val="24"/>
              </w:rPr>
              <w:t>资质许可</w:t>
            </w:r>
            <w:r>
              <w:rPr>
                <w:rFonts w:hint="eastAsia" w:ascii="宋体" w:hAnsi="宋体" w:cs="宋体"/>
                <w:sz w:val="24"/>
              </w:rPr>
              <w:t>，竞谈人经营范围需涵盖本次竞谈内容。</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0"/>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6</w:t>
            </w:r>
          </w:p>
        </w:tc>
        <w:tc>
          <w:tcPr>
            <w:tcW w:w="1663" w:type="dxa"/>
            <w:vAlign w:val="center"/>
          </w:tcPr>
          <w:p>
            <w:pPr>
              <w:pStyle w:val="40"/>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报名地点：</w:t>
            </w:r>
            <w:r>
              <w:rPr>
                <w:rFonts w:ascii="宋体"/>
              </w:rPr>
              <w:t>重庆医科大学附属第二医院</w:t>
            </w:r>
            <w:r>
              <w:rPr>
                <w:rFonts w:hint="eastAsia" w:ascii="宋体"/>
              </w:rPr>
              <w:t>综合楼</w:t>
            </w:r>
            <w:r>
              <w:rPr>
                <w:rFonts w:hint="eastAsia" w:ascii="宋体" w:hAnsi="宋体" w:cs="宋体"/>
                <w:sz w:val="24"/>
                <w:shd w:val="clear" w:color="auto" w:fill="FFFFFF"/>
              </w:rPr>
              <w:t>临江门院区综合楼17-5</w:t>
            </w:r>
          </w:p>
          <w:p>
            <w:pPr>
              <w:spacing w:line="360" w:lineRule="auto"/>
              <w:rPr>
                <w:rFonts w:ascii="宋体" w:hAnsi="宋体" w:cs="宋体"/>
                <w:sz w:val="24"/>
                <w:shd w:val="clear" w:color="auto" w:fill="FFFFFF"/>
              </w:rPr>
            </w:pPr>
            <w:r>
              <w:rPr>
                <w:rFonts w:hint="eastAsia" w:ascii="宋体" w:hAnsi="宋体" w:cs="宋体"/>
                <w:sz w:val="24"/>
                <w:shd w:val="clear" w:color="auto" w:fill="FFFFFF"/>
              </w:rPr>
              <w:t>报名截止时间：2020年4月</w:t>
            </w:r>
            <w:r>
              <w:rPr>
                <w:rFonts w:hint="eastAsia" w:ascii="宋体" w:hAnsi="宋体" w:cs="宋体"/>
                <w:sz w:val="24"/>
                <w:shd w:val="clear" w:color="auto" w:fill="FFFFFF"/>
                <w:lang w:val="en-US" w:eastAsia="zh-CN"/>
              </w:rPr>
              <w:t>10</w:t>
            </w:r>
            <w:r>
              <w:rPr>
                <w:rFonts w:hint="eastAsia" w:ascii="宋体" w:hAnsi="宋体" w:cs="宋体"/>
                <w:sz w:val="24"/>
                <w:shd w:val="clear" w:color="auto" w:fill="FFFFFF"/>
              </w:rPr>
              <w:t>日17点</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报名方式：编辑“XX公司+联系人XX+联系电话XXX”，提供“三证合一”的营业执照扫描件电子档发至QQ邮箱2874218268@qq.com</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7</w:t>
            </w:r>
          </w:p>
        </w:tc>
        <w:tc>
          <w:tcPr>
            <w:tcW w:w="1663" w:type="dxa"/>
            <w:vAlign w:val="center"/>
          </w:tcPr>
          <w:p>
            <w:pPr>
              <w:pStyle w:val="40"/>
              <w:ind w:firstLine="0"/>
              <w:jc w:val="center"/>
              <w:rPr>
                <w:rFonts w:ascii="宋体" w:eastAsia="宋体"/>
              </w:rPr>
            </w:pPr>
            <w:r>
              <w:rPr>
                <w:rFonts w:hint="eastAsia" w:ascii="宋体" w:eastAsia="宋体"/>
              </w:rPr>
              <w:t>谈判文件递交截止时间</w:t>
            </w:r>
          </w:p>
        </w:tc>
        <w:tc>
          <w:tcPr>
            <w:tcW w:w="7130" w:type="dxa"/>
            <w:vAlign w:val="center"/>
          </w:tcPr>
          <w:p>
            <w:pPr>
              <w:pStyle w:val="40"/>
              <w:ind w:firstLine="0"/>
              <w:rPr>
                <w:rFonts w:ascii="宋体" w:eastAsia="宋体"/>
              </w:rPr>
            </w:pPr>
            <w:r>
              <w:rPr>
                <w:rFonts w:hint="eastAsia" w:ascii="宋体" w:eastAsia="宋体"/>
              </w:rPr>
              <w:t>2020年4月</w:t>
            </w:r>
            <w:r>
              <w:rPr>
                <w:rFonts w:hint="eastAsia" w:ascii="宋体" w:eastAsia="宋体"/>
                <w:lang w:val="en-US" w:eastAsia="zh-CN"/>
              </w:rPr>
              <w:t>13</w:t>
            </w:r>
            <w:r>
              <w:rPr>
                <w:rFonts w:hint="eastAsia" w:ascii="宋体" w:eastAsia="宋体"/>
              </w:rPr>
              <w:t xml:space="preserve"> 日14点30分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55" w:type="dxa"/>
            <w:vAlign w:val="center"/>
          </w:tcPr>
          <w:p>
            <w:pPr>
              <w:pStyle w:val="40"/>
              <w:ind w:firstLine="0"/>
              <w:jc w:val="center"/>
              <w:rPr>
                <w:rFonts w:ascii="宋体" w:eastAsia="宋体"/>
              </w:rPr>
            </w:pPr>
            <w:r>
              <w:rPr>
                <w:rFonts w:hint="eastAsia" w:ascii="宋体" w:eastAsia="宋体"/>
              </w:rPr>
              <w:t>8</w:t>
            </w:r>
          </w:p>
        </w:tc>
        <w:tc>
          <w:tcPr>
            <w:tcW w:w="1663" w:type="dxa"/>
            <w:vAlign w:val="center"/>
          </w:tcPr>
          <w:p>
            <w:pPr>
              <w:pStyle w:val="40"/>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本次采用固定单价*数量报价：包括检测费、编制检测报告费等费用。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pPr>
              <w:pStyle w:val="40"/>
              <w:ind w:firstLine="0"/>
              <w:jc w:val="center"/>
              <w:rPr>
                <w:rFonts w:ascii="宋体" w:eastAsia="宋体"/>
              </w:rPr>
            </w:pPr>
            <w:r>
              <w:rPr>
                <w:rFonts w:hint="eastAsia" w:ascii="宋体" w:eastAsia="宋体"/>
              </w:rPr>
              <w:t>9</w:t>
            </w:r>
          </w:p>
        </w:tc>
        <w:tc>
          <w:tcPr>
            <w:tcW w:w="1663" w:type="dxa"/>
            <w:vAlign w:val="center"/>
          </w:tcPr>
          <w:p>
            <w:pPr>
              <w:pStyle w:val="40"/>
              <w:ind w:firstLine="0"/>
              <w:jc w:val="center"/>
              <w:rPr>
                <w:rFonts w:ascii="宋体" w:eastAsia="宋体"/>
              </w:rPr>
            </w:pPr>
            <w:r>
              <w:rPr>
                <w:rFonts w:hint="eastAsia" w:ascii="宋体" w:eastAsia="宋体"/>
              </w:rPr>
              <w:t>合同价格</w:t>
            </w:r>
          </w:p>
        </w:tc>
        <w:tc>
          <w:tcPr>
            <w:tcW w:w="7130" w:type="dxa"/>
            <w:vAlign w:val="center"/>
          </w:tcPr>
          <w:p>
            <w:pPr>
              <w:pStyle w:val="40"/>
              <w:ind w:firstLine="0"/>
              <w:rPr>
                <w:rFonts w:hint="eastAsia" w:ascii="宋体" w:eastAsia="仿宋_GB2312"/>
                <w:lang w:eastAsia="zh-CN"/>
              </w:rPr>
            </w:pPr>
            <w:r>
              <w:rPr>
                <w:rFonts w:hint="eastAsia" w:ascii="宋体" w:eastAsia="宋体"/>
              </w:rPr>
              <w:t>中标</w:t>
            </w:r>
            <w:r>
              <w:rPr>
                <w:rFonts w:hint="eastAsia" w:ascii="宋体" w:eastAsia="宋体"/>
                <w:lang w:eastAsia="zh-CN"/>
              </w:rPr>
              <w:t>总</w:t>
            </w:r>
            <w:r>
              <w:rPr>
                <w:rFonts w:hint="eastAsia" w:ascii="宋体" w:eastAsia="宋体"/>
              </w:rPr>
              <w:t>价</w:t>
            </w:r>
            <w:r>
              <w:rPr>
                <w:rFonts w:hint="eastAsia" w:ascii="宋体" w:eastAsia="宋体"/>
                <w:lang w:eastAsia="zh-CN"/>
              </w:rPr>
              <w:t>为暂定合同价，按固定单价及实际检测数量进行结算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40"/>
              <w:ind w:firstLine="0"/>
              <w:jc w:val="center"/>
              <w:rPr>
                <w:rFonts w:ascii="宋体" w:eastAsia="宋体"/>
              </w:rPr>
            </w:pPr>
            <w:r>
              <w:rPr>
                <w:rFonts w:hint="eastAsia" w:ascii="宋体" w:eastAsia="宋体"/>
              </w:rPr>
              <w:t>10</w:t>
            </w:r>
          </w:p>
        </w:tc>
        <w:tc>
          <w:tcPr>
            <w:tcW w:w="1663" w:type="dxa"/>
            <w:vAlign w:val="center"/>
          </w:tcPr>
          <w:p>
            <w:pPr>
              <w:pStyle w:val="40"/>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每月底按实际检测数量支付</w:t>
            </w:r>
            <w:r>
              <w:rPr>
                <w:rFonts w:hint="eastAsia" w:ascii="宋体" w:hAnsi="宋体" w:cs="宋体"/>
                <w:color w:val="000000"/>
                <w:sz w:val="24"/>
              </w:rPr>
              <w:t>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11</w:t>
            </w:r>
          </w:p>
        </w:tc>
        <w:tc>
          <w:tcPr>
            <w:tcW w:w="1663" w:type="dxa"/>
            <w:vAlign w:val="center"/>
          </w:tcPr>
          <w:p>
            <w:pPr>
              <w:pStyle w:val="40"/>
              <w:ind w:firstLine="0"/>
              <w:jc w:val="center"/>
              <w:rPr>
                <w:rFonts w:ascii="宋体" w:eastAsia="宋体"/>
              </w:rPr>
            </w:pPr>
            <w:r>
              <w:rPr>
                <w:rFonts w:hint="eastAsia" w:ascii="宋体" w:eastAsia="宋体"/>
              </w:rPr>
              <w:t>竞争性谈判</w:t>
            </w:r>
          </w:p>
          <w:p>
            <w:pPr>
              <w:pStyle w:val="40"/>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0"/>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0"/>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40"/>
              <w:ind w:firstLine="0"/>
              <w:rPr>
                <w:rFonts w:ascii="宋体" w:eastAsia="宋体"/>
                <w:szCs w:val="24"/>
              </w:rPr>
            </w:pPr>
            <w:r>
              <w:rPr>
                <w:rFonts w:hint="eastAsia" w:ascii="宋体" w:eastAsia="宋体"/>
                <w:szCs w:val="24"/>
              </w:rPr>
              <w:t>4、公司基本情况表</w:t>
            </w:r>
          </w:p>
          <w:p>
            <w:pPr>
              <w:pStyle w:val="40"/>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40"/>
              <w:ind w:firstLine="0"/>
              <w:rPr>
                <w:rFonts w:ascii="宋体" w:eastAsia="宋体"/>
                <w:szCs w:val="24"/>
              </w:rPr>
            </w:pPr>
            <w:r>
              <w:rPr>
                <w:rFonts w:hint="eastAsia" w:ascii="宋体" w:eastAsia="宋体"/>
                <w:szCs w:val="24"/>
              </w:rPr>
              <w:t>5、公司类似工程业绩表</w:t>
            </w:r>
          </w:p>
          <w:p>
            <w:pPr>
              <w:pStyle w:val="40"/>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12</w:t>
            </w:r>
          </w:p>
        </w:tc>
        <w:tc>
          <w:tcPr>
            <w:tcW w:w="1663" w:type="dxa"/>
            <w:vAlign w:val="center"/>
          </w:tcPr>
          <w:p>
            <w:pPr>
              <w:pStyle w:val="40"/>
              <w:ind w:firstLine="0"/>
              <w:jc w:val="center"/>
              <w:rPr>
                <w:rFonts w:ascii="宋体" w:eastAsia="宋体"/>
              </w:rPr>
            </w:pPr>
            <w:r>
              <w:rPr>
                <w:rFonts w:ascii="宋体" w:eastAsia="宋体"/>
              </w:rPr>
              <w:t>文件密封</w:t>
            </w:r>
          </w:p>
        </w:tc>
        <w:tc>
          <w:tcPr>
            <w:tcW w:w="7130" w:type="dxa"/>
            <w:vAlign w:val="center"/>
          </w:tcPr>
          <w:p>
            <w:pPr>
              <w:pStyle w:val="40"/>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5" w:type="dxa"/>
            <w:vAlign w:val="center"/>
          </w:tcPr>
          <w:p>
            <w:pPr>
              <w:pStyle w:val="40"/>
              <w:ind w:firstLine="0"/>
              <w:jc w:val="center"/>
              <w:rPr>
                <w:rFonts w:ascii="宋体" w:eastAsia="宋体"/>
              </w:rPr>
            </w:pPr>
            <w:r>
              <w:rPr>
                <w:rFonts w:hint="eastAsia" w:ascii="宋体" w:eastAsia="宋体"/>
              </w:rPr>
              <w:t>13</w:t>
            </w:r>
          </w:p>
        </w:tc>
        <w:tc>
          <w:tcPr>
            <w:tcW w:w="1663" w:type="dxa"/>
            <w:vAlign w:val="center"/>
          </w:tcPr>
          <w:p>
            <w:pPr>
              <w:pStyle w:val="40"/>
              <w:ind w:firstLine="0"/>
              <w:jc w:val="center"/>
              <w:rPr>
                <w:rFonts w:ascii="宋体" w:eastAsia="宋体"/>
              </w:rPr>
            </w:pPr>
            <w:r>
              <w:rPr>
                <w:rFonts w:ascii="宋体" w:eastAsia="宋体"/>
              </w:rPr>
              <w:t>递交文件地点</w:t>
            </w:r>
          </w:p>
        </w:tc>
        <w:tc>
          <w:tcPr>
            <w:tcW w:w="7130" w:type="dxa"/>
            <w:vAlign w:val="center"/>
          </w:tcPr>
          <w:p>
            <w:pPr>
              <w:pStyle w:val="40"/>
              <w:ind w:firstLine="0"/>
              <w:rPr>
                <w:rFonts w:ascii="宋体" w:eastAsia="宋体"/>
              </w:rPr>
            </w:pPr>
            <w:r>
              <w:rPr>
                <w:rFonts w:ascii="宋体" w:eastAsia="宋体"/>
              </w:rPr>
              <w:t>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40"/>
              <w:ind w:firstLine="0"/>
              <w:jc w:val="center"/>
              <w:rPr>
                <w:rFonts w:ascii="宋体" w:eastAsia="宋体"/>
              </w:rPr>
            </w:pPr>
            <w:r>
              <w:rPr>
                <w:rFonts w:hint="eastAsia" w:ascii="宋体" w:eastAsia="宋体"/>
              </w:rPr>
              <w:t>14</w:t>
            </w:r>
          </w:p>
        </w:tc>
        <w:tc>
          <w:tcPr>
            <w:tcW w:w="1663" w:type="dxa"/>
            <w:vAlign w:val="center"/>
          </w:tcPr>
          <w:p>
            <w:pPr>
              <w:pStyle w:val="40"/>
              <w:ind w:firstLine="0"/>
              <w:jc w:val="center"/>
              <w:rPr>
                <w:rFonts w:ascii="宋体" w:eastAsia="宋体"/>
              </w:rPr>
            </w:pPr>
            <w:r>
              <w:rPr>
                <w:rFonts w:hint="eastAsia" w:ascii="宋体" w:eastAsia="宋体"/>
              </w:rPr>
              <w:t>谈判</w:t>
            </w:r>
            <w:r>
              <w:rPr>
                <w:rFonts w:ascii="宋体" w:eastAsia="宋体"/>
              </w:rPr>
              <w:t>时间</w:t>
            </w:r>
          </w:p>
          <w:p>
            <w:pPr>
              <w:pStyle w:val="40"/>
              <w:ind w:firstLine="0"/>
              <w:jc w:val="center"/>
              <w:rPr>
                <w:rFonts w:ascii="宋体" w:eastAsia="宋体"/>
              </w:rPr>
            </w:pPr>
            <w:r>
              <w:rPr>
                <w:rFonts w:ascii="宋体" w:eastAsia="宋体"/>
              </w:rPr>
              <w:t>和地点</w:t>
            </w:r>
          </w:p>
        </w:tc>
        <w:tc>
          <w:tcPr>
            <w:tcW w:w="7130" w:type="dxa"/>
            <w:vAlign w:val="center"/>
          </w:tcPr>
          <w:p>
            <w:pPr>
              <w:pStyle w:val="40"/>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0"/>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40"/>
              <w:ind w:firstLine="0"/>
              <w:jc w:val="center"/>
              <w:rPr>
                <w:rFonts w:ascii="宋体" w:eastAsia="宋体"/>
              </w:rPr>
            </w:pPr>
            <w:r>
              <w:rPr>
                <w:rFonts w:hint="eastAsia" w:ascii="宋体" w:eastAsia="宋体"/>
              </w:rPr>
              <w:t>15</w:t>
            </w:r>
          </w:p>
        </w:tc>
        <w:tc>
          <w:tcPr>
            <w:tcW w:w="1663" w:type="dxa"/>
            <w:vAlign w:val="center"/>
          </w:tcPr>
          <w:p>
            <w:pPr>
              <w:pStyle w:val="40"/>
              <w:ind w:firstLine="0"/>
              <w:jc w:val="center"/>
              <w:rPr>
                <w:rFonts w:ascii="宋体" w:eastAsia="宋体"/>
              </w:rPr>
            </w:pPr>
            <w:r>
              <w:rPr>
                <w:rFonts w:hint="eastAsia" w:ascii="宋体" w:eastAsia="宋体"/>
              </w:rPr>
              <w:t>评定方法</w:t>
            </w:r>
          </w:p>
        </w:tc>
        <w:tc>
          <w:tcPr>
            <w:tcW w:w="7130" w:type="dxa"/>
            <w:vAlign w:val="center"/>
          </w:tcPr>
          <w:p>
            <w:pPr>
              <w:pStyle w:val="40"/>
              <w:ind w:firstLine="0"/>
              <w:rPr>
                <w:rFonts w:ascii="宋体" w:eastAsia="宋体"/>
              </w:rPr>
            </w:pPr>
            <w:r>
              <w:rPr>
                <w:rFonts w:hint="eastAsia" w:ascii="宋体" w:eastAsia="宋体" w:cs="宋体"/>
                <w:szCs w:val="24"/>
                <w:shd w:val="clear" w:color="auto" w:fill="FFFFFF"/>
              </w:rPr>
              <w:t>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pPr>
              <w:pStyle w:val="40"/>
              <w:ind w:firstLine="0"/>
              <w:jc w:val="center"/>
              <w:rPr>
                <w:rFonts w:ascii="宋体" w:eastAsia="宋体"/>
              </w:rPr>
            </w:pPr>
            <w:r>
              <w:rPr>
                <w:rFonts w:hint="eastAsia" w:ascii="宋体" w:eastAsia="宋体"/>
              </w:rPr>
              <w:t>16</w:t>
            </w:r>
          </w:p>
        </w:tc>
        <w:tc>
          <w:tcPr>
            <w:tcW w:w="1663" w:type="dxa"/>
            <w:vAlign w:val="center"/>
          </w:tcPr>
          <w:p>
            <w:pPr>
              <w:pStyle w:val="40"/>
              <w:ind w:firstLine="0"/>
              <w:jc w:val="center"/>
              <w:rPr>
                <w:rFonts w:ascii="宋体" w:eastAsia="宋体"/>
              </w:rPr>
            </w:pPr>
            <w:r>
              <w:rPr>
                <w:rFonts w:hint="eastAsia" w:ascii="宋体" w:eastAsia="宋体"/>
              </w:rPr>
              <w:t>联系人及方式</w:t>
            </w:r>
          </w:p>
        </w:tc>
        <w:tc>
          <w:tcPr>
            <w:tcW w:w="7130" w:type="dxa"/>
            <w:vAlign w:val="center"/>
          </w:tcPr>
          <w:p>
            <w:pPr>
              <w:pStyle w:val="40"/>
              <w:ind w:left="1080" w:hanging="1080" w:hangingChars="450"/>
              <w:rPr>
                <w:rFonts w:ascii="宋体" w:eastAsia="宋体"/>
              </w:rPr>
            </w:pPr>
            <w:r>
              <w:rPr>
                <w:rFonts w:hint="eastAsia" w:ascii="宋体" w:eastAsia="宋体"/>
              </w:rPr>
              <w:t>联系地址：重庆市渝中区临江路74号重庆医科大学附属第二医院综合楼17-5办公室</w:t>
            </w:r>
          </w:p>
          <w:p>
            <w:pPr>
              <w:pStyle w:val="40"/>
              <w:ind w:firstLine="0"/>
              <w:rPr>
                <w:rFonts w:ascii="宋体" w:eastAsia="宋体"/>
              </w:rPr>
            </w:pPr>
            <w:r>
              <w:rPr>
                <w:rFonts w:hint="eastAsia" w:ascii="宋体" w:eastAsia="宋体"/>
              </w:rPr>
              <w:t>联 系 人：徐老师    联系电话：023-63693041</w:t>
            </w:r>
          </w:p>
        </w:tc>
      </w:tr>
    </w:tbl>
    <w:p>
      <w:pPr>
        <w:pStyle w:val="40"/>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检测内容</w:t>
      </w:r>
      <w:r>
        <w:rPr>
          <w:rFonts w:hint="eastAsia" w:ascii="宋体" w:hAnsi="宋体"/>
          <w:kern w:val="0"/>
          <w:sz w:val="24"/>
          <w:szCs w:val="20"/>
          <w:lang w:eastAsia="zh-CN"/>
        </w:rPr>
        <w:t>及</w:t>
      </w:r>
      <w:r>
        <w:rPr>
          <w:rFonts w:hint="eastAsia" w:ascii="宋体" w:hAnsi="宋体"/>
          <w:kern w:val="0"/>
          <w:sz w:val="24"/>
          <w:szCs w:val="20"/>
        </w:rPr>
        <w:t>报价表</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bookmarkStart w:id="0" w:name="_GoBack"/>
      <w:bookmarkEnd w:id="0"/>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奎星楼A组团改造装修项目建筑材料检测项目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9"/>
        <w:spacing w:beforeLines="0" w:afterLines="0"/>
        <w:jc w:val="both"/>
        <w:rPr>
          <w:rFonts w:ascii="宋体" w:hAnsi="宋体" w:eastAsia="宋体"/>
          <w:kern w:val="0"/>
          <w:sz w:val="28"/>
          <w:szCs w:val="28"/>
        </w:rPr>
      </w:pPr>
    </w:p>
    <w:p>
      <w:pPr>
        <w:pStyle w:val="39"/>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奎星楼A组团改造装修项目建筑材料检测项目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hint="eastAsia" w:ascii="宋体" w:hAnsi="宋体" w:eastAsia="宋体" w:cs="宋体"/>
          <w:sz w:val="28"/>
          <w:szCs w:val="28"/>
          <w:lang w:eastAsia="zh-CN"/>
        </w:rPr>
      </w:pPr>
      <w:r>
        <w:rPr>
          <w:rFonts w:hint="eastAsia" w:ascii="宋体" w:hAnsi="宋体" w:cs="宋体"/>
          <w:sz w:val="28"/>
          <w:szCs w:val="28"/>
        </w:rPr>
        <w:t>检测内容</w:t>
      </w:r>
      <w:r>
        <w:rPr>
          <w:rFonts w:hint="eastAsia" w:ascii="宋体" w:hAnsi="宋体" w:cs="宋体"/>
          <w:sz w:val="28"/>
          <w:szCs w:val="28"/>
          <w:lang w:eastAsia="zh-CN"/>
        </w:rPr>
        <w:t>及报价表</w:t>
      </w:r>
    </w:p>
    <w:tbl>
      <w:tblPr>
        <w:tblStyle w:val="22"/>
        <w:tblpPr w:leftFromText="180" w:rightFromText="180" w:vertAnchor="text" w:horzAnchor="margin" w:tblpXSpec="center" w:tblpY="419"/>
        <w:tblW w:w="10130" w:type="dxa"/>
        <w:tblInd w:w="0" w:type="dxa"/>
        <w:tblLayout w:type="fixed"/>
        <w:tblCellMar>
          <w:top w:w="0" w:type="dxa"/>
          <w:left w:w="108" w:type="dxa"/>
          <w:bottom w:w="0" w:type="dxa"/>
          <w:right w:w="108" w:type="dxa"/>
        </w:tblCellMar>
      </w:tblPr>
      <w:tblGrid>
        <w:gridCol w:w="680"/>
        <w:gridCol w:w="778"/>
        <w:gridCol w:w="1879"/>
        <w:gridCol w:w="1621"/>
        <w:gridCol w:w="1586"/>
        <w:gridCol w:w="1138"/>
        <w:gridCol w:w="1224"/>
        <w:gridCol w:w="1224"/>
      </w:tblGrid>
      <w:tr>
        <w:tblPrEx>
          <w:tblCellMar>
            <w:top w:w="0" w:type="dxa"/>
            <w:left w:w="108" w:type="dxa"/>
            <w:bottom w:w="0" w:type="dxa"/>
            <w:right w:w="108" w:type="dxa"/>
          </w:tblCellMar>
        </w:tblPrEx>
        <w:trPr>
          <w:trHeight w:val="1620" w:hRule="atLeast"/>
        </w:trPr>
        <w:tc>
          <w:tcPr>
            <w:tcW w:w="680"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18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复检内容</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批次规范</w:t>
            </w:r>
          </w:p>
        </w:tc>
        <w:tc>
          <w:tcPr>
            <w:tcW w:w="15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w:t>
            </w:r>
          </w:p>
        </w:tc>
        <w:tc>
          <w:tcPr>
            <w:tcW w:w="11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w:t>
            </w:r>
          </w:p>
        </w:tc>
        <w:tc>
          <w:tcPr>
            <w:tcW w:w="12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单价</w:t>
            </w:r>
          </w:p>
        </w:tc>
        <w:tc>
          <w:tcPr>
            <w:tcW w:w="12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合计</w:t>
            </w:r>
          </w:p>
        </w:tc>
      </w:tr>
      <w:tr>
        <w:tblPrEx>
          <w:tblCellMar>
            <w:top w:w="0" w:type="dxa"/>
            <w:left w:w="108" w:type="dxa"/>
            <w:bottom w:w="0" w:type="dxa"/>
            <w:right w:w="108" w:type="dxa"/>
          </w:tblCellMar>
        </w:tblPrEx>
        <w:trPr>
          <w:trHeight w:val="218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水泥</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凝结时间、安定性（抹灰工程）；凝结时间、安定性、抗压强度（饰面砖工程、建筑地面）；安定性、强度（砌体工程）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经缩分后送10公斤有代表性样品。</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砂</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颗粒级配、含泥量、泥块含量</w:t>
            </w:r>
          </w:p>
        </w:tc>
        <w:tc>
          <w:tcPr>
            <w:tcW w:w="1621" w:type="dxa"/>
            <w:tcBorders>
              <w:top w:val="nil"/>
              <w:left w:val="nil"/>
              <w:bottom w:val="nil"/>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以200m</w:t>
            </w:r>
            <w:r>
              <w:rPr>
                <w:rFonts w:hint="eastAsia" w:ascii="宋体" w:hAnsi="宋体" w:cs="宋体"/>
                <w:kern w:val="0"/>
                <w:szCs w:val="21"/>
                <w:vertAlign w:val="superscript"/>
              </w:rPr>
              <w:t>3</w:t>
            </w:r>
            <w:r>
              <w:rPr>
                <w:rFonts w:hint="eastAsia" w:ascii="宋体" w:hAnsi="宋体" w:cs="宋体"/>
                <w:kern w:val="0"/>
                <w:szCs w:val="21"/>
              </w:rPr>
              <w:t>或300吨为一验收批，不足者也作为一批，每批取样一组</w:t>
            </w:r>
          </w:p>
        </w:tc>
        <w:tc>
          <w:tcPr>
            <w:tcW w:w="1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10公斤</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522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混凝土</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抗压强度、静力受压弹性模量、抗拉强度、抗折强度</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当每一层（或检验批）建筑地面工程面积大于100M2时，每增加</w:t>
            </w:r>
            <w:r>
              <w:rPr>
                <w:kern w:val="0"/>
                <w:szCs w:val="21"/>
              </w:rPr>
              <w:t>1000M2</w:t>
            </w:r>
            <w:r>
              <w:rPr>
                <w:rFonts w:hint="eastAsia" w:ascii="宋体" w:hAnsi="宋体" w:cs="宋体"/>
                <w:kern w:val="0"/>
                <w:szCs w:val="21"/>
              </w:rPr>
              <w:t>应增做一组试块；小于</w:t>
            </w:r>
            <w:r>
              <w:rPr>
                <w:kern w:val="0"/>
                <w:szCs w:val="21"/>
              </w:rPr>
              <w:t>1000M2</w:t>
            </w:r>
            <w:r>
              <w:rPr>
                <w:rFonts w:hint="eastAsia" w:ascii="宋体" w:hAnsi="宋体" w:cs="宋体"/>
                <w:kern w:val="0"/>
                <w:szCs w:val="21"/>
              </w:rPr>
              <w:t>按</w:t>
            </w:r>
            <w:r>
              <w:rPr>
                <w:kern w:val="0"/>
                <w:szCs w:val="21"/>
              </w:rPr>
              <w:t>1000M2</w:t>
            </w:r>
            <w:r>
              <w:rPr>
                <w:rFonts w:hint="eastAsia" w:ascii="宋体" w:hAnsi="宋体" w:cs="宋体"/>
                <w:kern w:val="0"/>
                <w:szCs w:val="21"/>
              </w:rPr>
              <w:t>计算</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普通混凝土轴心抗压强度试验和静力受压弹性模量试验，采用150mm×150mm×300mm，前者每组3块，后者每组6块，普通混凝土抗折（即弯曲抗拉）强度试验，采用150mm×150mm×600mm小梁作为标准试件，每组3块。</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98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烧结页岩空心砖、加气混凝土砌块、改性石膏轻质隔墙板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体积密度、抗压强度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10000块为一批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体积密度3件/组，共3组。抗压强度3件/组，共3组。合共18件。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聚氨酯防水涂料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拉伸强度、断裂伸长率、不透水性、低温柔度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每批5kg</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25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JS-Ⅰ型聚合物水泥基防水涂料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固体含量、断裂伸长率（无处理）、拉伸强度（无处理）、不透水性、低温柔性（适用于Ⅰ型）、粘结强度、抗渗性</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防水涂料以甲组分不超过5吨为一批，单组分涂料以</w:t>
            </w:r>
            <w:r>
              <w:rPr>
                <w:kern w:val="0"/>
                <w:szCs w:val="21"/>
              </w:rPr>
              <w:t>10</w:t>
            </w:r>
            <w:r>
              <w:rPr>
                <w:rFonts w:hint="eastAsia" w:ascii="宋体" w:hAnsi="宋体" w:cs="宋体"/>
                <w:kern w:val="0"/>
                <w:szCs w:val="21"/>
              </w:rPr>
              <w:t>吨为一批。不足此量者按一批进行抽检。</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涂料送样6件，另加涂料2公斤。</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（防穿刺）SBS-Ⅰ型改性沥青防水卷材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厚度、拉力、断裂延伸率、低温柔性、耐热性、不透水性</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10000平方米为一批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每批送样5卷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265"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铝合金门窗</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抗风压性能、水密性、气密性、 保温性能和隔声性能</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每批应由同一合金、同一状态和同一型号组成，每一购货批重量作为一批。每根沿挤压方向取一段约25厘米试样，</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每种规格取两段试样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3"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无机涂料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2吨为一批次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5"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医用洁净板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石材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放射性、抗弯强度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大理石100㎡一批次，花岗石200㎡一批次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同批次大理石抽5%，花岗石抽2%共10块。</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瓷砖</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放射性、抗弯强度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kern w:val="0"/>
                <w:szCs w:val="21"/>
              </w:rPr>
            </w:pPr>
            <w:r>
              <w:rPr>
                <w:rFonts w:hint="eastAsia" w:ascii="宋体" w:hAnsi="宋体" w:cs="宋体"/>
                <w:color w:val="333333"/>
                <w:kern w:val="0"/>
                <w:szCs w:val="21"/>
              </w:rPr>
              <w:t>实际交货量大于5000㎡为一批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至少30块，面积不小于1㎡</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阻燃板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13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干挂石材用环氧胶粘剂</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粘接强度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0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耐候硅酮结构胶</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邵氏硬度、剥离粘接性实验、相容性实验、标准条件下拉伸粘结强度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钢化中空玻璃幕墙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气密性、水密性、抗风压、平面内变形能力</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对于异型或有特殊要求的幕墙，检验批的划分应根据幕墙的结构、工艺特点及幕墙工程规模，由监理单位（或建设单位）和施工单位协商确定。</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2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建筑排水用硬聚氯乙烯管材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拉伸屈服强度、断裂伸长率、扁平试验、管材弯曲度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150根为一批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每批取样数量8根</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铝塑复合压力管</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工作压力、爆破强度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一个单位工程或不大于90km为一批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每批取样数量3件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4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建筑门窗</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气密性、水密性、抗风压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563"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电线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截面积、电阻值</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6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导体电阻，电压试验，绝缘厚度侧量</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取样数量2卷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照明开关、插座</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温升、电气间隙</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取样数量9个</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12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挤塑聚苯板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规格尺寸和允许偏差、压缩强度、导热系数、吸水率</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钢材（矩管、角钢）</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屈服强度、抗拉强度、弯曲试验、化学成分、全截面试件：厚度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每批取样数量2件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PVC塑胶地板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84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钢筋</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屈服强度、抗拉强度、伸长率、冷弯性能</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每批钢筋取样数量为4根，两根做拉伸两根做冷弯试验</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39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水源水质检测</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7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生活水箱冲洗消毒达到饮用级</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63m3两个</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11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PPR给水管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PH值、氯化物、铜锰镉铅、汞、臭和味、肉眼可见物、溶解性总固体、规格尺寸、静液压试验</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5组</w:t>
            </w:r>
          </w:p>
        </w:tc>
        <w:tc>
          <w:tcPr>
            <w:tcW w:w="1138"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DN50、DN40、DN32、DN25、DN20各一组</w:t>
            </w:r>
          </w:p>
        </w:tc>
        <w:tc>
          <w:tcPr>
            <w:tcW w:w="1224"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82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PSP给水管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PH值、氯化物、铜锰镉铅、汞、臭和味、肉眼可见物、溶解性总固体、规格尺寸、静液压试验</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3组</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DN100、DN80、DN65各一组</w:t>
            </w: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08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B1级难燃复合橡塑发泡材料</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30mm厚</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84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50mm厚岩棉保温</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B1级难燃复合橡塑发泡材料</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每组4块,1m长</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管壳</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风机盘管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节能检测（供冷量、供热量、风量、出口静压、噪声、功率）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一台一组</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6组</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卧式风机盘管SNJ-56一台、卧式暗装风机盘管FP02两台、卧式暗装风机盘管FP03四台、卧式暗装风机盘管FP04三台、卧式暗装风机盘管FP05两台、卧式暗装风机盘管FP06四台</w:t>
            </w: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0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778"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w:t>
            </w:r>
          </w:p>
        </w:tc>
        <w:tc>
          <w:tcPr>
            <w:tcW w:w="1879" w:type="dxa"/>
            <w:tcBorders>
              <w:top w:val="nil"/>
              <w:left w:val="nil"/>
              <w:bottom w:val="nil"/>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截面\每芯导体电阻值\绝缘厚度检测</w:t>
            </w:r>
          </w:p>
        </w:tc>
        <w:tc>
          <w:tcPr>
            <w:tcW w:w="162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电线6m一根</w:t>
            </w:r>
          </w:p>
        </w:tc>
        <w:tc>
          <w:tcPr>
            <w:tcW w:w="1586" w:type="dxa"/>
            <w:tcBorders>
              <w:top w:val="nil"/>
              <w:left w:val="nil"/>
              <w:bottom w:val="nil"/>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nil"/>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WDZC-BYJ-2.5mm2、WDZCN-RYJS-2*1.5mm2</w:t>
            </w:r>
          </w:p>
        </w:tc>
        <w:tc>
          <w:tcPr>
            <w:tcW w:w="1224" w:type="dxa"/>
            <w:tcBorders>
              <w:top w:val="nil"/>
              <w:left w:val="nil"/>
              <w:bottom w:val="nil"/>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nil"/>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10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电缆</w:t>
            </w:r>
          </w:p>
        </w:tc>
        <w:tc>
          <w:tcPr>
            <w:tcW w:w="18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截面\每芯导体电阻值\绝缘厚度检测</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电缆1.5m一根</w:t>
            </w:r>
          </w:p>
        </w:tc>
        <w:tc>
          <w:tcPr>
            <w:tcW w:w="15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5组</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WDZB-YJY-5*10mm2、WDZB-YJY-3x50+2x25mm2、WDZB-YJY-4*25+1*16mm2、WDZB-YJY-5*4mm2、BTTRZ-750V-4*10mm2</w:t>
            </w: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5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植筋胶</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与混凝土正拉粘接，抗冲击剥离韧性，耐老化，无毒无害</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9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植筋胶拉拔实验</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31628.15m2</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7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碳纤维布</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检验抗拉，摸量，申长路</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85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碳纤维布拉拔实验</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31628.15m2</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5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防火涂料</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粘接强度，抗压强度，耐水性，膨胀系数，耐火极限，</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8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焊条</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气体含量，拉伸，弯曲，有害物质</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83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焊缝</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进行超声波探伤检查</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56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钢结构防火涂料厚度检查</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厚度平均值</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562" w:hRule="atLeast"/>
        </w:trPr>
        <w:tc>
          <w:tcPr>
            <w:tcW w:w="68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Cs w:val="21"/>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总价</w:t>
            </w:r>
          </w:p>
        </w:tc>
        <w:tc>
          <w:tcPr>
            <w:tcW w:w="8672"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r>
    </w:tbl>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right"/>
        <w:rPr>
          <w:rFonts w:ascii="宋体" w:hAnsi="宋体" w:cs="宋体"/>
          <w:sz w:val="24"/>
          <w:u w:val="single"/>
        </w:rPr>
      </w:pPr>
      <w:r>
        <w:rPr>
          <w:rFonts w:hint="eastAsia" w:ascii="宋体" w:hAnsi="宋体" w:cs="宋体"/>
          <w:sz w:val="24"/>
        </w:rPr>
        <w:t>投标单位名称（盖章）：</w:t>
      </w:r>
    </w:p>
    <w:p>
      <w:pPr>
        <w:spacing w:line="360" w:lineRule="auto"/>
        <w:jc w:val="right"/>
        <w:rPr>
          <w:rFonts w:ascii="宋体" w:hAnsi="宋体" w:cs="宋体"/>
          <w:sz w:val="24"/>
        </w:rPr>
      </w:pPr>
      <w:r>
        <w:rPr>
          <w:rFonts w:hint="eastAsia" w:ascii="宋体" w:hAnsi="宋体" w:cs="宋体"/>
          <w:sz w:val="24"/>
        </w:rPr>
        <w:t>日期：年 月 日</w:t>
      </w: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rPr>
          <w:rFonts w:ascii="宋体" w:hAnsi="宋体" w:cs="宋体"/>
          <w:sz w:val="24"/>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Arial">
    <w:panose1 w:val="020B0604020202020204"/>
    <w:charset w:val="00"/>
    <w:family w:val="swiss"/>
    <w:pitch w:val="default"/>
    <w:sig w:usb0="00007A87" w:usb1="80000000" w:usb2="00000008" w:usb3="00000000" w:csb0="400001FF" w:csb1="FFFF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67CF2"/>
    <w:rsid w:val="0037056B"/>
    <w:rsid w:val="00373989"/>
    <w:rsid w:val="003765D1"/>
    <w:rsid w:val="00377FB7"/>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6FC"/>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109F5347"/>
    <w:rsid w:val="16FF1945"/>
    <w:rsid w:val="1769005B"/>
    <w:rsid w:val="19CF688F"/>
    <w:rsid w:val="24740A15"/>
    <w:rsid w:val="3F861F4F"/>
    <w:rsid w:val="4BB22732"/>
    <w:rsid w:val="4BEC2B9C"/>
    <w:rsid w:val="61CA0E7B"/>
    <w:rsid w:val="68F81446"/>
    <w:rsid w:val="6ECF63AE"/>
    <w:rsid w:val="6FEC046E"/>
    <w:rsid w:val="76EC4116"/>
    <w:rsid w:val="787E4FFB"/>
    <w:rsid w:val="7A1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7"/>
    <w:qFormat/>
    <w:uiPriority w:val="99"/>
    <w:pPr>
      <w:shd w:val="solid" w:color="FFFFFF" w:fill="FFFFFF"/>
      <w:jc w:val="center"/>
    </w:pPr>
    <w:rPr>
      <w:rFonts w:ascii="宋体" w:hAnsi="宋体"/>
      <w:kern w:val="0"/>
      <w:sz w:val="84"/>
      <w:szCs w:val="72"/>
    </w:rPr>
  </w:style>
  <w:style w:type="paragraph" w:styleId="13">
    <w:name w:val="Date"/>
    <w:basedOn w:val="1"/>
    <w:next w:val="1"/>
    <w:link w:val="43"/>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Emphasis"/>
    <w:basedOn w:val="24"/>
    <w:qFormat/>
    <w:uiPriority w:val="20"/>
    <w:rPr>
      <w:i/>
      <w:iCs/>
    </w:rPr>
  </w:style>
  <w:style w:type="character" w:styleId="27">
    <w:name w:val="Hyperlink"/>
    <w:basedOn w:val="24"/>
    <w:uiPriority w:val="0"/>
    <w:rPr>
      <w:color w:val="0000FF"/>
      <w:u w:val="single"/>
    </w:rPr>
  </w:style>
  <w:style w:type="character" w:customStyle="1" w:styleId="28">
    <w:name w:val="标题 2 Char"/>
    <w:basedOn w:val="24"/>
    <w:link w:val="3"/>
    <w:uiPriority w:val="0"/>
    <w:rPr>
      <w:rFonts w:ascii="Helvetica" w:hAnsi="Helvetica" w:eastAsia="宋体"/>
      <w:b/>
      <w:color w:val="000000"/>
      <w:sz w:val="24"/>
      <w:lang w:val="en-US" w:eastAsia="zh-CN" w:bidi="ar-SA"/>
    </w:rPr>
  </w:style>
  <w:style w:type="character" w:customStyle="1" w:styleId="29">
    <w:name w:val="页眉 Char"/>
    <w:basedOn w:val="24"/>
    <w:link w:val="17"/>
    <w:qFormat/>
    <w:uiPriority w:val="0"/>
    <w:rPr>
      <w:rFonts w:eastAsia="宋体"/>
      <w:kern w:val="2"/>
      <w:sz w:val="18"/>
      <w:szCs w:val="18"/>
      <w:lang w:val="en-US" w:eastAsia="zh-CN" w:bidi="ar-SA"/>
    </w:rPr>
  </w:style>
  <w:style w:type="character" w:customStyle="1" w:styleId="30">
    <w:name w:val="页脚 Char"/>
    <w:basedOn w:val="24"/>
    <w:link w:val="16"/>
    <w:uiPriority w:val="0"/>
    <w:rPr>
      <w:rFonts w:eastAsia="宋体"/>
      <w:kern w:val="2"/>
      <w:sz w:val="18"/>
      <w:szCs w:val="18"/>
      <w:lang w:val="en-US" w:eastAsia="zh-CN" w:bidi="ar-SA"/>
    </w:rPr>
  </w:style>
  <w:style w:type="paragraph" w:customStyle="1" w:styleId="31">
    <w:name w:val="Char"/>
    <w:basedOn w:val="1"/>
    <w:uiPriority w:val="0"/>
    <w:rPr>
      <w:rFonts w:ascii="Tahoma" w:hAnsi="Tahoma"/>
      <w:sz w:val="24"/>
      <w:szCs w:val="20"/>
    </w:rPr>
  </w:style>
  <w:style w:type="paragraph" w:customStyle="1" w:styleId="32">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3">
    <w:name w:val="5号正文 Char"/>
    <w:basedOn w:val="24"/>
    <w:link w:val="34"/>
    <w:uiPriority w:val="0"/>
    <w:rPr>
      <w:rFonts w:ascii="楷体_GB2312" w:hAnsi="宋体" w:eastAsia="楷体_GB2312"/>
      <w:snapToGrid w:val="0"/>
      <w:sz w:val="24"/>
      <w:lang w:val="en-US" w:eastAsia="zh-CN" w:bidi="ar-SA"/>
    </w:rPr>
  </w:style>
  <w:style w:type="paragraph" w:customStyle="1" w:styleId="34">
    <w:name w:val="5号正文"/>
    <w:link w:val="33"/>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6">
    <w:name w:val="Char Char4"/>
    <w:basedOn w:val="24"/>
    <w:uiPriority w:val="0"/>
    <w:rPr>
      <w:rFonts w:eastAsia="宋体"/>
      <w:kern w:val="2"/>
      <w:sz w:val="18"/>
      <w:lang w:val="en-US" w:eastAsia="zh-CN"/>
    </w:rPr>
  </w:style>
  <w:style w:type="paragraph" w:customStyle="1" w:styleId="37">
    <w:name w:val="Char Char Char Char Char Char Char Char Char Char Char Char Char Char Char Char"/>
    <w:basedOn w:val="7"/>
    <w:qFormat/>
    <w:uiPriority w:val="0"/>
    <w:pPr>
      <w:spacing w:line="360" w:lineRule="auto"/>
      <w:ind w:firstLine="200" w:firstLineChars="200"/>
    </w:pPr>
  </w:style>
  <w:style w:type="paragraph" w:customStyle="1" w:styleId="38">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9">
    <w:name w:val="附件标题-1"/>
    <w:basedOn w:val="1"/>
    <w:qFormat/>
    <w:uiPriority w:val="0"/>
    <w:pPr>
      <w:spacing w:beforeLines="50" w:afterLines="50"/>
      <w:jc w:val="center"/>
    </w:pPr>
    <w:rPr>
      <w:rFonts w:eastAsia="黑体"/>
      <w:sz w:val="32"/>
      <w:szCs w:val="20"/>
    </w:rPr>
  </w:style>
  <w:style w:type="paragraph" w:customStyle="1" w:styleId="40">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1">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2">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3">
    <w:name w:val="日期 Char"/>
    <w:link w:val="13"/>
    <w:uiPriority w:val="0"/>
    <w:rPr>
      <w:rFonts w:eastAsia="宋体"/>
      <w:kern w:val="2"/>
      <w:sz w:val="24"/>
      <w:lang w:val="en-US" w:eastAsia="zh-CN" w:bidi="ar-SA"/>
    </w:rPr>
  </w:style>
  <w:style w:type="paragraph" w:styleId="44">
    <w:name w:val="List Paragraph"/>
    <w:basedOn w:val="1"/>
    <w:qFormat/>
    <w:uiPriority w:val="34"/>
    <w:pPr>
      <w:ind w:firstLine="420" w:firstLineChars="200"/>
    </w:pPr>
  </w:style>
  <w:style w:type="paragraph" w:customStyle="1" w:styleId="45">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46">
    <w:name w:val="Char Char2"/>
    <w:basedOn w:val="1"/>
    <w:qFormat/>
    <w:uiPriority w:val="0"/>
    <w:rPr>
      <w:sz w:val="28"/>
      <w:szCs w:val="20"/>
    </w:rPr>
  </w:style>
  <w:style w:type="character" w:customStyle="1" w:styleId="47">
    <w:name w:val="纯文本 Char"/>
    <w:basedOn w:val="24"/>
    <w:link w:val="12"/>
    <w:qFormat/>
    <w:uiPriority w:val="99"/>
    <w:rPr>
      <w:rFonts w:ascii="宋体" w:hAnsi="宋体"/>
      <w:sz w:val="84"/>
      <w:szCs w:val="72"/>
      <w:shd w:val="solid" w:color="FFFFFF" w:fill="FFFFFF"/>
    </w:rPr>
  </w:style>
  <w:style w:type="character" w:customStyle="1" w:styleId="48">
    <w:name w:val="标题 1 Char"/>
    <w:link w:val="2"/>
    <w:qFormat/>
    <w:uiPriority w:val="0"/>
    <w:rPr>
      <w:rFonts w:eastAsia="仿宋_GB2312"/>
      <w:b/>
      <w:kern w:val="44"/>
      <w:sz w:val="44"/>
    </w:rPr>
  </w:style>
  <w:style w:type="paragraph" w:customStyle="1" w:styleId="49">
    <w:name w:val="_Style 28"/>
    <w:basedOn w:val="7"/>
    <w:qFormat/>
    <w:uiPriority w:val="0"/>
    <w:rPr>
      <w:rFonts w:ascii="Tahoma" w:hAnsi="Tahoma"/>
      <w:sz w:val="24"/>
    </w:rPr>
  </w:style>
  <w:style w:type="character" w:customStyle="1" w:styleId="50">
    <w:name w:val="正文缩进 Char"/>
    <w:link w:val="6"/>
    <w:locked/>
    <w:uiPriority w:val="0"/>
    <w:rPr>
      <w:kern w:val="2"/>
      <w:sz w:val="21"/>
    </w:rPr>
  </w:style>
  <w:style w:type="character" w:customStyle="1" w:styleId="51">
    <w:name w:val="HTML 预设格式 Char"/>
    <w:basedOn w:val="24"/>
    <w:link w:val="20"/>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93352-E045-424C-A64E-4C860AA442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726</Words>
  <Characters>4144</Characters>
  <Lines>34</Lines>
  <Paragraphs>9</Paragraphs>
  <TotalTime>1</TotalTime>
  <ScaleCrop>false</ScaleCrop>
  <LinksUpToDate>false</LinksUpToDate>
  <CharactersWithSpaces>4861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2020-03-30T08:16:00Z</dcterms:created>
  <dc:creator>User</dc:creator>
  <cp:lastModifiedBy>豆小瓣</cp:lastModifiedBy>
  <cp:lastPrinted>2018-09-19T07:34:00Z</cp:lastPrinted>
  <dcterms:modified xsi:type="dcterms:W3CDTF">2020-04-07T07:07:24Z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