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left"/>
        <w:rPr>
          <w:rFonts w:hint="eastAsia" w:ascii="宋体" w:hAnsi="宋体" w:eastAsia="宋体" w:cs="宋体"/>
          <w:b w:val="0"/>
          <w:color w:val="000000"/>
          <w:sz w:val="36"/>
          <w:szCs w:val="30"/>
          <w:lang w:eastAsia="zh-CN"/>
        </w:rPr>
      </w:pPr>
      <w:bookmarkStart w:id="0" w:name="_Toc28191"/>
      <w:r>
        <w:rPr>
          <w:rFonts w:hint="eastAsia" w:ascii="宋体" w:hAnsi="宋体" w:eastAsia="宋体" w:cs="宋体"/>
          <w:b w:val="0"/>
          <w:color w:val="000000"/>
          <w:sz w:val="36"/>
          <w:szCs w:val="30"/>
          <w:lang w:eastAsia="zh-CN"/>
        </w:rPr>
        <w:t>附件一：</w:t>
      </w:r>
      <w:r>
        <w:rPr>
          <w:rFonts w:hint="eastAsia" w:ascii="宋体" w:hAnsi="宋体" w:eastAsia="宋体" w:cs="宋体"/>
          <w:b w:val="0"/>
          <w:color w:val="000000"/>
          <w:sz w:val="36"/>
          <w:szCs w:val="30"/>
        </w:rPr>
        <w:t>谈判项目技术需求</w:t>
      </w:r>
      <w:bookmarkEnd w:id="0"/>
    </w:p>
    <w:p>
      <w:pPr>
        <w:pStyle w:val="4"/>
        <w:spacing w:before="0" w:after="0" w:line="400" w:lineRule="exact"/>
        <w:rPr>
          <w:rFonts w:hint="eastAsia" w:ascii="宋体" w:hAnsi="宋体" w:eastAsia="宋体" w:cs="宋体"/>
          <w:sz w:val="24"/>
          <w:szCs w:val="24"/>
        </w:rPr>
      </w:pPr>
      <w:bookmarkStart w:id="1" w:name="_Toc2160744"/>
      <w:r>
        <w:rPr>
          <w:rFonts w:hint="eastAsia" w:ascii="宋体" w:hAnsi="宋体" w:eastAsia="宋体" w:cs="宋体"/>
          <w:sz w:val="24"/>
          <w:szCs w:val="24"/>
        </w:rPr>
        <w:t>一、项目数量</w:t>
      </w:r>
      <w:bookmarkEnd w:id="1"/>
    </w:p>
    <w:tbl>
      <w:tblPr>
        <w:tblStyle w:val="5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407"/>
        <w:gridCol w:w="790"/>
        <w:gridCol w:w="839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分包号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6"/>
              </w:tabs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color="auto" w:fill="FFFFFF"/>
                <w:lang w:val="en-US" w:eastAsia="zh-CN"/>
              </w:rPr>
              <w:t>LED显示屏室内显示屏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6"/>
              </w:tabs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4"/>
        <w:spacing w:before="0" w:after="0" w:line="400" w:lineRule="exact"/>
        <w:rPr>
          <w:rFonts w:hint="eastAsia" w:ascii="宋体" w:hAnsi="宋体" w:eastAsia="宋体" w:cs="宋体"/>
          <w:sz w:val="24"/>
          <w:szCs w:val="24"/>
        </w:rPr>
      </w:pPr>
      <w:bookmarkStart w:id="2" w:name="_Toc2160745"/>
      <w:r>
        <w:rPr>
          <w:rFonts w:hint="eastAsia" w:ascii="宋体" w:hAnsi="宋体" w:eastAsia="宋体" w:cs="宋体"/>
          <w:sz w:val="24"/>
          <w:szCs w:val="24"/>
        </w:rPr>
        <w:t>二、技术参数及要求</w:t>
      </w:r>
      <w:bookmarkEnd w:id="2"/>
    </w:p>
    <w:tbl>
      <w:tblPr>
        <w:tblStyle w:val="5"/>
        <w:tblpPr w:leftFromText="180" w:rightFromText="180" w:vertAnchor="text" w:horzAnchor="page" w:tblpX="1718" w:tblpY="253"/>
        <w:tblOverlap w:val="never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110"/>
        <w:gridCol w:w="540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40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规格参数要求</w:t>
            </w:r>
          </w:p>
        </w:tc>
        <w:tc>
          <w:tcPr>
            <w:tcW w:w="104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数量及单位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1052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LED显示屏</w:t>
            </w:r>
          </w:p>
        </w:tc>
        <w:tc>
          <w:tcPr>
            <w:tcW w:w="5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1.像素点间距：2.5mm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2、模组尺寸：320mm*160mm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3、驱动器件：采用动态行驱动芯片 ，具有支持亮度调节功能。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4、工作电压：在4.5VDC能正常工作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5、工作环境：能满足—20℃ ~ 50℃ 正常工作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6、像素点间距：≤2.5mm ；最佳视角：水平≥140°，垂直≥130°                                                    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7、物理密度：≥160000点/㎡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8、刷新频率：≥3840Hz；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9、最大对比度：≥5000：1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10、校正后白平衡亮度：≥600cd/m2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11、色度均匀性   ：≤0.0042，亮度均匀性   ：≥95% 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12、色温：3000K-18000K具有可调整性   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13、灰度级数：大于或等于16bit             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14、平整度：≤0.20mm；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15、最大功耗：≤418.7W /㎡，平均功耗≤139.6W/㎡      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以上参数本项标有★的技术参数需提供由国家权威机构CMA、CAL、CNAS认证并出具的检测报告复印件并加盖原厂公章复印件备查。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、生产厂商通过ISO45001认证（提供有效的证书复印件，加盖制造商公章）                                                                                                                                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、显示屏生产厂家拥有智能一键调试软件著作权证书及PLC自动控制系统软件著作权证书。（提供相关证书复印件并加盖制造商公章）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、所用产品符合电子产品有害物质限制使用认证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提供证书并加盖厂家鲜章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                                          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、生产厂商具有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BIS产品认证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、CSAIII A008-IIIMS体系。（提供相关证书复印件并加盖制造商公章）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为保证设备运行稳定，显示屏、视频处理器、LED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控制器为同一品牌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。（提供相关产品的3C证书复印件，加盖制造商公章）                                                            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、为了产品安全可靠，所投LED显示屏制造商获得国家机构联合认定为的：发改委发布、国家认定的企业技术认证中心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批文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。（提供相关政府批文复印件，加盖制造商公章）</w:t>
            </w:r>
          </w:p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为确保供货产品质量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产品为原装、全新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投标人需提供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生产厂家针对投标产品的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供货证明。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为确保供货产品质量满足招标文件的技术要求，并保障设备的后期维护，各投标人需取得生产厂家针对投标产品的授权书和售后服务承诺函，否则采购人有权拒签合同、取消中标人资格，并报上级采购部门追究投标人相应责任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  <w:t>30.46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2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器</w:t>
            </w:r>
          </w:p>
        </w:tc>
        <w:tc>
          <w:tcPr>
            <w:tcW w:w="5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1、视频输入接口包括1路HDMI 2.0（4K信号）输入；4路DVI输入；以及2路SDI 输入；（2、输入分辨率：最大3840*2160@60Hz，支持分辨率任意设置；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3、视频输出带载能力：830万像素，最宽或最高可达8192像素；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4、支持7画面显示，位置大小可自由调节，支持多画面显示漫游；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5、16路千兆网口输出，16个网口可上下左右任意拼接，随意组合；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6、支持视频源任意切换，可根据显示屏分辨率对输入图像进行拼接、缩放；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7、双USB2.0高速通讯接口，用于电脑调试和主控间级联；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8、支持亮度和色温调节；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9、支持广播级缩放；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10、支持HDCP2.2；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11、工作温度：-20℃~60℃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2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收卡</w:t>
            </w:r>
          </w:p>
        </w:tc>
        <w:tc>
          <w:tcPr>
            <w:tcW w:w="5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1、集成HUB75，无需再配转接板，更方便，成本更低；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2、 减少接插连接件，减少故障点，故障率更低；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3、 支持常规芯片实现高刷新、高灰度、高亮度；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4、 全新灰度引擎，低灰度表现更佳；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5、 细节处理更完美，可消除单元板设计引起的某行偏暗、低灰偏红、鬼影等细节问题；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6、 支持14bit精度逐点校正；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7、支持所有常规芯片、PWM芯片和灯饰芯片；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8、 支持静态屏、1/2~1/32扫之间的任意扫描类型；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9、 支持任意抽点，支持数据偏移，可轻松实现各种异型屏、球形屏、创意显示屏；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10、单卡支持32组RGB信号输出；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11、支持超大带载面积；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12、先进设计，优质元器件，全自动高低温老化测试，零故障出厂；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13、支持DC 3.3V~6V超宽工作电压，有效减弱电压波动带来的影响；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14、 支持电源反接保护电路；                                                                                                                           15、支持标定，目标箱体四周显示红绿蓝白边框，接收卡绿灯慢闪，快速识别故障点，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16、支持一帧延迟，发送端到显示端延迟达到一帧。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17、支持模组LED逐点错误侦测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18、可设定温度策略，当侦测到温度高于设定略值，可控制风扇启动，低于设定策略值，可控制风扇关闭。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19、支持网线误码率侦测，数据包总点数，错误包数，协助检查网络质量，排除隐患。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20、支持3D显示功能。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21、电源监控异常下可自动降低亮度。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052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LED播放软件</w:t>
            </w:r>
          </w:p>
        </w:tc>
        <w:tc>
          <w:tcPr>
            <w:tcW w:w="5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1、支持节目窗口任意分区，支持窗口任意层叠，支持多节目页播放；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2、支持远程发布、集群管理；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3、支持视频、音频、图像、文字、flash、Gift等形式的文件播放；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4、支持Microsoft office的word、Excel、PPT显示；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5、支持时钟、计时、网页、表格、数据库、天气预报显示；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6、分区特效，以及三维特效动画，让显示屏显示效果的到完美展现；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7、支持LED大屏幕手工校正，同事兼容其它专业校正设备采集的校正数据；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8、支持简体中文、繁体中文、英文、法语、日语、韩语、俄语、西班牙语、瑞典语、葡萄牙语等多种语言；                                                            9、支持校正数据管理、支持数据上传、擦除、融合、备份等；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10、支持屏体信息云监控显示，可通过手机、PAD随时随地掌握屏体工作状态；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11、支持各大IC厂商的各档IC调试，支持智能IC扩展属性调节，支持灯板flash管理；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12、支持外部视频、环境信息、体育比分、桌面拷贝播放；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播控软件应具备多显示屏支持、多屏独立编辑、数据库显示、表格输入、网络功能、后台播放、和多窗口多任务同时播放等功能；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13、支持Word，Excel和各种格式视频文件，可自动播放多个任务，具备提供外部视频源接入；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052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屏体结构及包边装饰</w:t>
            </w:r>
          </w:p>
        </w:tc>
        <w:tc>
          <w:tcPr>
            <w:tcW w:w="5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根据现场实际定制；整体美观、大方、结构安全牢固；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角钢、方管、槽钢及焊接，结构科学合理，利于维护；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钢架架构用材需采用国标规范235A；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钢架架构必须防锈工艺处理；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屏体四周采用不锈钢包边装饰；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线路敷设</w:t>
            </w:r>
          </w:p>
        </w:tc>
        <w:tc>
          <w:tcPr>
            <w:tcW w:w="5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含所有管线敷设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eastAsia="zh-CN"/>
              </w:rPr>
              <w:t>，电源线、网线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材料及人工费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配电柜</w:t>
            </w:r>
          </w:p>
        </w:tc>
        <w:tc>
          <w:tcPr>
            <w:tcW w:w="5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20KW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安装技术服务及相关辅材</w:t>
            </w:r>
          </w:p>
        </w:tc>
        <w:tc>
          <w:tcPr>
            <w:tcW w:w="5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技术服务及人工安装，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、辅助材料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eastAsia="zh-CN"/>
              </w:rPr>
              <w:t>、质保售后贰年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1套</w:t>
            </w:r>
          </w:p>
        </w:tc>
      </w:tr>
    </w:tbl>
    <w:p>
      <w:bookmarkStart w:id="3" w:name="_GoBack"/>
      <w:bookmarkEnd w:id="3"/>
    </w:p>
    <w:sectPr>
      <w:pgSz w:w="11906" w:h="16838"/>
      <w:pgMar w:top="1389" w:right="1800" w:bottom="1389" w:left="1800" w:header="851" w:footer="992" w:gutter="0"/>
      <w:paperSrc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65E10"/>
    <w:rsid w:val="4126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2020-04-23T02:09:00Z</dcterms:created>
  <dc:creator>瑞秀中国</dc:creator>
  <cp:lastModifiedBy>瑞秀中国</cp:lastModifiedBy>
  <dcterms:modified xsi:type="dcterms:W3CDTF">2020-04-23T02:12:08Z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