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left"/>
        <w:rPr>
          <w:rFonts w:hint="eastAsia" w:ascii="宋体" w:hAnsi="宋体" w:eastAsia="宋体" w:cs="宋体"/>
          <w:b w:val="0"/>
          <w:color w:val="000000"/>
          <w:sz w:val="36"/>
          <w:szCs w:val="30"/>
          <w:lang w:val="en-US" w:eastAsia="zh-CN"/>
        </w:rPr>
      </w:pPr>
      <w:r>
        <w:rPr>
          <w:rFonts w:hint="eastAsia" w:ascii="宋体" w:hAnsi="宋体" w:eastAsia="宋体" w:cs="宋体"/>
          <w:b w:val="0"/>
          <w:color w:val="000000"/>
          <w:sz w:val="36"/>
          <w:szCs w:val="30"/>
          <w:lang w:val="en-US" w:eastAsia="zh-CN"/>
        </w:rPr>
        <w:t>附件二：谈判项目服务需求</w:t>
      </w:r>
    </w:p>
    <w:p>
      <w:pPr>
        <w:pStyle w:val="4"/>
        <w:spacing w:before="0" w:after="0" w:line="360" w:lineRule="auto"/>
        <w:rPr>
          <w:rFonts w:hint="eastAsia" w:ascii="宋体" w:hAnsi="宋体" w:eastAsia="宋体" w:cs="宋体"/>
          <w:color w:val="FF0000"/>
          <w:sz w:val="24"/>
          <w:szCs w:val="24"/>
          <w:lang w:val="en-US" w:eastAsia="zh-CN"/>
        </w:rPr>
      </w:pPr>
      <w:bookmarkStart w:id="0" w:name="_Toc12167"/>
      <w:bookmarkStart w:id="1" w:name="_Toc344475120"/>
      <w:r>
        <w:rPr>
          <w:rFonts w:hint="eastAsia" w:ascii="宋体" w:hAnsi="宋体" w:eastAsia="宋体" w:cs="宋体"/>
          <w:color w:val="000000"/>
          <w:sz w:val="24"/>
          <w:szCs w:val="24"/>
        </w:rPr>
        <w:t>一、交货时间、地点及验收方式</w:t>
      </w:r>
      <w:bookmarkEnd w:id="0"/>
      <w:bookmarkEnd w:id="1"/>
    </w:p>
    <w:p>
      <w:pPr>
        <w:pStyle w:val="5"/>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（一）交货时间</w:t>
      </w:r>
    </w:p>
    <w:p>
      <w:pPr>
        <w:pStyle w:val="5"/>
        <w:tabs>
          <w:tab w:val="left" w:pos="4905"/>
        </w:tabs>
        <w:spacing w:line="24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中标人应在</w:t>
      </w:r>
      <w:r>
        <w:rPr>
          <w:rFonts w:hint="eastAsia" w:ascii="宋体" w:hAnsi="宋体" w:eastAsia="宋体" w:cs="宋体"/>
          <w:color w:val="000000"/>
          <w:sz w:val="24"/>
          <w:szCs w:val="24"/>
          <w:lang w:eastAsia="zh-CN"/>
        </w:rPr>
        <w:t>合同签订且设计方案经确认签字后</w:t>
      </w:r>
      <w:r>
        <w:rPr>
          <w:rFonts w:hint="eastAsia" w:ascii="宋体" w:hAnsi="宋体" w:eastAsia="宋体" w:cs="宋体"/>
          <w:color w:val="000000"/>
          <w:sz w:val="24"/>
          <w:szCs w:val="24"/>
          <w:lang w:val="en-US" w:eastAsia="zh-CN"/>
        </w:rPr>
        <w:t>15日内</w:t>
      </w:r>
      <w:r>
        <w:rPr>
          <w:rFonts w:hint="eastAsia" w:ascii="宋体" w:hAnsi="宋体" w:eastAsia="宋体" w:cs="宋体"/>
          <w:color w:val="000000"/>
          <w:sz w:val="24"/>
          <w:szCs w:val="24"/>
        </w:rPr>
        <w:t>交货并完成安装调试。</w:t>
      </w:r>
    </w:p>
    <w:p>
      <w:pPr>
        <w:pStyle w:val="5"/>
        <w:tabs>
          <w:tab w:val="left" w:pos="4905"/>
        </w:tabs>
        <w:spacing w:line="24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（二）交货地点</w:t>
      </w:r>
    </w:p>
    <w:p>
      <w:pPr>
        <w:numPr>
          <w:ilvl w:val="0"/>
          <w:numId w:val="0"/>
        </w:numPr>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采购人指定地点。</w:t>
      </w:r>
    </w:p>
    <w:p>
      <w:pPr>
        <w:numPr>
          <w:ilvl w:val="0"/>
          <w:numId w:val="1"/>
        </w:numPr>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验收方式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1、货物到达现场后，供应商应经采购人或其指定验收单位清点品名、规格、数量；检查外观，作出验收记录，双方签字确认。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2、供应商应保证货物到达用户所在地完好无损，如有缺漏、损坏，由供应商负责调换、补齐或赔偿。</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3、供应商应提供完备的技术资料、装箱单和合格证等，并派遣专业技术人员进行现场安装调试。验收合格条件如下：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3.1设备品种、规格、数量、技术参数以及商品品牌、生产厂家等与采购合同一致，性能指标达到规定的标准。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3.2货物技术资料、装箱单、合格证等资料齐全。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3.3在规定时间内完成交货并验收，并经采购人确认。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4、供应商提供的货物未达到竞争性谈判规定要求，且对采购人造成损失的，由供应商承担一切责任，并赔偿所造成的损失。</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5、大型或者复杂的政府采购产品项目，采购人可邀请国家认可的质量检测机构参加验收工作。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6、采购人需要厂家对成交供应商交付的产品（包括质量、技术参数等）进行确认的，厂家应予以配合，并出具书面意见。</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7、产品包装材料归采购人所有。</w:t>
      </w:r>
    </w:p>
    <w:p>
      <w:pPr>
        <w:pStyle w:val="4"/>
        <w:spacing w:before="0" w:after="0" w:line="360" w:lineRule="auto"/>
        <w:rPr>
          <w:rFonts w:hint="eastAsia" w:ascii="宋体" w:hAnsi="宋体" w:eastAsia="宋体" w:cs="宋体"/>
          <w:color w:val="auto"/>
          <w:sz w:val="24"/>
          <w:szCs w:val="24"/>
        </w:rPr>
      </w:pPr>
      <w:bookmarkStart w:id="2" w:name="_Toc26330"/>
      <w:bookmarkStart w:id="3" w:name="_Toc344475121"/>
      <w:r>
        <w:rPr>
          <w:rFonts w:hint="eastAsia" w:ascii="宋体" w:hAnsi="宋体" w:eastAsia="宋体" w:cs="宋体"/>
          <w:color w:val="auto"/>
          <w:sz w:val="24"/>
          <w:szCs w:val="24"/>
        </w:rPr>
        <w:t>二、质量保证及售后服务</w:t>
      </w:r>
      <w:bookmarkEnd w:id="2"/>
      <w:bookmarkEnd w:id="3"/>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（一）产品质量保证期</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1、自最终验收协议签署生效之日起， 提供免费质保期</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2、采购货物属于国家规定“三包”范围的，其产品质量保证期不得低于“三包”规定。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3、采购货物由产品生产厂家（指产品生产厂家或其负责销售、售后服务机构，以下同）负责标准售后服务，应当在响应文件中予以明确说明，并提供相关文件。</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4、竞标结束后，合同签订前中标人需提供制造厂家出具的售后服务承诺书（原件，加盖原厂鲜章）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如无法提供将取消中标资格。</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（二）售后服务内容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供应商和厂家在质量保证期内应当为采购人提供以下技术支持服务：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1、质量保证期内服务要求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1.1电话咨询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成交供应商和厂家应当为用户提供技术援助电话，解答用户在使用中遇到的问题，及时为用户提出解决问题的建议。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1.2现场响应</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用户遇到使用及技术问题，电话咨询不能解决的，成交供应商或厂家应在</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小时内采取相应响应措施；无法在</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小时内解决的，应在</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小时内派出专业人员进行技术支持。</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1.3技术升级</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在质保期内，如果成交供应商和厂家的产品技术升级，成交供应商应及时通知采购人，如采购人有相应要求，成交供应商和厂家应对采购人进行升级服务。</w:t>
      </w:r>
    </w:p>
    <w:p>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2、质保期外服务要求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2.1质量保证期过后，成交供应商和厂家应同样提供免费电话咨询服务，并应承诺提供产品上门维护服务。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2.2质量保证期过后，采购人需要继续由原成交供应商和厂家提供售后服务的，成交供应商和厂家应以优惠价格提供售后服务。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（三）故障响应时间要求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供应商接到使用方产品出现问题的通知后立即作出响应，</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小时内到达现场进行处理。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（四）维修配件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成交供应商或厂家应提供备品备件，保证用户应急所需。使用的维修零配件应为原厂配件，未经用户同意不得使用非原厂配件。</w:t>
      </w:r>
    </w:p>
    <w:p>
      <w:pPr>
        <w:pStyle w:val="4"/>
        <w:spacing w:before="0" w:after="0" w:line="360" w:lineRule="auto"/>
        <w:ind w:firstLine="482" w:firstLineChars="200"/>
        <w:rPr>
          <w:rFonts w:hint="eastAsia" w:ascii="宋体" w:hAnsi="宋体" w:eastAsia="宋体" w:cs="宋体"/>
          <w:color w:val="000000"/>
          <w:sz w:val="24"/>
          <w:szCs w:val="24"/>
        </w:rPr>
      </w:pPr>
      <w:bookmarkStart w:id="4" w:name="_Toc344475123"/>
      <w:bookmarkStart w:id="5" w:name="_Toc19670"/>
      <w:r>
        <w:rPr>
          <w:rFonts w:hint="eastAsia" w:ascii="宋体" w:hAnsi="宋体" w:cs="宋体"/>
          <w:b/>
          <w:bCs w:val="0"/>
          <w:color w:val="FF0000"/>
          <w:sz w:val="24"/>
          <w:szCs w:val="24"/>
          <w:lang w:eastAsia="zh-CN"/>
        </w:rPr>
        <w:t>三、</w:t>
      </w:r>
      <w:r>
        <w:rPr>
          <w:rFonts w:hint="eastAsia" w:ascii="宋体" w:hAnsi="宋体" w:eastAsia="宋体" w:cs="宋体"/>
          <w:color w:val="000000"/>
          <w:sz w:val="24"/>
          <w:szCs w:val="24"/>
        </w:rPr>
        <w:t>知识产权</w:t>
      </w:r>
      <w:bookmarkEnd w:id="4"/>
      <w:bookmarkEnd w:id="5"/>
    </w:p>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spacing w:before="0" w:after="0" w:line="360" w:lineRule="auto"/>
        <w:rPr>
          <w:rFonts w:hint="eastAsia" w:ascii="宋体" w:hAnsi="宋体" w:eastAsia="宋体" w:cs="宋体"/>
          <w:color w:val="000000"/>
          <w:sz w:val="24"/>
          <w:szCs w:val="24"/>
        </w:rPr>
      </w:pPr>
      <w:bookmarkStart w:id="6" w:name="_Toc344475124"/>
      <w:bookmarkStart w:id="7" w:name="_Toc25119"/>
      <w:r>
        <w:rPr>
          <w:rFonts w:hint="eastAsia" w:ascii="宋体" w:hAnsi="宋体" w:cs="宋体"/>
          <w:color w:val="000000"/>
          <w:sz w:val="24"/>
          <w:szCs w:val="24"/>
          <w:lang w:val="en-US" w:eastAsia="zh-CN"/>
        </w:rPr>
        <w:t xml:space="preserve">     四</w:t>
      </w:r>
      <w:r>
        <w:rPr>
          <w:rFonts w:hint="eastAsia" w:ascii="宋体" w:hAnsi="宋体" w:eastAsia="宋体" w:cs="宋体"/>
          <w:color w:val="000000"/>
          <w:sz w:val="24"/>
          <w:szCs w:val="24"/>
        </w:rPr>
        <w:t>、培训</w:t>
      </w:r>
      <w:bookmarkEnd w:id="6"/>
      <w:bookmarkEnd w:id="7"/>
    </w:p>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成交供应商须提供对设备的操作培训，使相关使用人员能够正常操作相关设备。</w:t>
      </w:r>
    </w:p>
    <w:p>
      <w:pPr>
        <w:pStyle w:val="4"/>
        <w:spacing w:before="0" w:after="0" w:line="360" w:lineRule="auto"/>
        <w:ind w:firstLine="723" w:firstLineChars="300"/>
        <w:rPr>
          <w:rFonts w:hint="eastAsia" w:ascii="宋体" w:hAnsi="宋体" w:eastAsia="宋体" w:cs="宋体"/>
          <w:color w:val="000000"/>
          <w:sz w:val="24"/>
          <w:szCs w:val="24"/>
        </w:rPr>
      </w:pPr>
      <w:bookmarkStart w:id="8" w:name="_Toc8458"/>
      <w:bookmarkStart w:id="9" w:name="_Toc344475125"/>
      <w:r>
        <w:rPr>
          <w:rFonts w:hint="eastAsia" w:ascii="宋体" w:hAnsi="宋体" w:cs="宋体"/>
          <w:color w:val="000000"/>
          <w:sz w:val="24"/>
          <w:szCs w:val="24"/>
          <w:lang w:eastAsia="zh-CN"/>
        </w:rPr>
        <w:t>五、</w:t>
      </w:r>
      <w:r>
        <w:rPr>
          <w:rFonts w:hint="eastAsia" w:ascii="宋体" w:hAnsi="宋体" w:eastAsia="宋体" w:cs="宋体"/>
          <w:color w:val="000000"/>
          <w:sz w:val="24"/>
          <w:szCs w:val="24"/>
        </w:rPr>
        <w:t>其他</w:t>
      </w:r>
      <w:bookmarkEnd w:id="8"/>
    </w:p>
    <w:bookmarkEnd w:id="9"/>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（一）供应商必须在响应文件中对以上条款和服务承诺明确列出，承诺内容必须达到本篇及竞争性谈判其他条款的要求。</w:t>
      </w:r>
    </w:p>
    <w:p>
      <w:pPr>
        <w:spacing w:line="360" w:lineRule="auto"/>
        <w:ind w:firstLine="600" w:firstLineChars="250"/>
      </w:pPr>
      <w:r>
        <w:rPr>
          <w:rFonts w:hint="eastAsia" w:ascii="宋体" w:hAnsi="宋体" w:eastAsia="宋体" w:cs="宋体"/>
          <w:color w:val="000000"/>
          <w:sz w:val="24"/>
          <w:szCs w:val="24"/>
        </w:rPr>
        <w:t>（二）其他未尽事宜由供需双方在采购合同中详细约定。</w:t>
      </w:r>
      <w:bookmarkStart w:id="10" w:name="_Hlt41879464"/>
      <w:bookmarkEnd w:id="10"/>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DA7E7"/>
    <w:multiLevelType w:val="singleLevel"/>
    <w:tmpl w:val="B01DA7E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B746A"/>
    <w:rsid w:val="53DB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9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eastAsia="宋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32"/>
    </w:rPr>
  </w:style>
  <w:style w:type="paragraph" w:styleId="5">
    <w:name w:val="Body Text Indent 2"/>
    <w:basedOn w:val="1"/>
    <w:qFormat/>
    <w:uiPriority w:val="0"/>
    <w:pPr>
      <w:snapToGrid w:val="0"/>
      <w:spacing w:line="560" w:lineRule="atLeast"/>
      <w:ind w:firstLine="54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2020-04-23T02:12:00Z</dcterms:created>
  <dc:creator>瑞秀中国</dc:creator>
  <cp:lastModifiedBy>瑞秀中国</cp:lastModifiedBy>
  <dcterms:modified xsi:type="dcterms:W3CDTF">2020-04-23T02:12:43Z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