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hint="eastAsia"/>
          <w:b/>
          <w:bCs/>
          <w:color w:val="202020"/>
          <w:sz w:val="33"/>
          <w:szCs w:val="33"/>
          <w:shd w:val="clear" w:color="auto" w:fill="FFFFFF"/>
        </w:rPr>
      </w:pPr>
      <w:r>
        <w:rPr>
          <w:rFonts w:hint="eastAsia"/>
          <w:b/>
          <w:bCs/>
          <w:color w:val="202020"/>
          <w:sz w:val="33"/>
          <w:szCs w:val="33"/>
          <w:shd w:val="clear" w:color="auto" w:fill="FFFFFF"/>
        </w:rPr>
        <w:t>重庆医科大学附属第二医院</w:t>
      </w:r>
      <w:r>
        <w:rPr>
          <w:rFonts w:hint="eastAsia"/>
          <w:b/>
          <w:bCs/>
          <w:color w:val="202020"/>
          <w:sz w:val="33"/>
          <w:szCs w:val="33"/>
          <w:shd w:val="clear" w:color="auto" w:fill="FFFFFF"/>
        </w:rPr>
        <w:t>奎星楼A组团改造装修项目</w:t>
      </w:r>
    </w:p>
    <w:p>
      <w:pPr>
        <w:autoSpaceDE w:val="0"/>
        <w:autoSpaceDN w:val="0"/>
        <w:adjustRightInd w:val="0"/>
        <w:spacing w:line="700" w:lineRule="atLeast"/>
        <w:jc w:val="center"/>
        <w:rPr>
          <w:rFonts w:ascii="宋体" w:hAnsi="宋体"/>
          <w:snapToGrid w:val="0"/>
          <w:sz w:val="36"/>
          <w:szCs w:val="36"/>
        </w:rPr>
      </w:pPr>
      <w:r>
        <w:rPr>
          <w:rFonts w:hint="eastAsia"/>
          <w:b/>
          <w:bCs/>
          <w:color w:val="202020"/>
          <w:sz w:val="33"/>
          <w:szCs w:val="33"/>
          <w:shd w:val="clear" w:color="auto" w:fill="FFFFFF"/>
        </w:rPr>
        <w:t>后置埋件、后植钢筋</w:t>
      </w:r>
      <w:r>
        <w:rPr>
          <w:rFonts w:hint="eastAsia"/>
          <w:b/>
          <w:bCs/>
          <w:color w:val="202020"/>
          <w:sz w:val="33"/>
          <w:szCs w:val="33"/>
          <w:shd w:val="clear" w:color="auto" w:fill="FFFFFF"/>
        </w:rPr>
        <w:t>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二〇二〇年六</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40"/>
              <w:ind w:firstLine="0"/>
              <w:jc w:val="center"/>
              <w:rPr>
                <w:rFonts w:ascii="宋体" w:eastAsia="宋体"/>
              </w:rPr>
            </w:pPr>
            <w:r>
              <w:rPr>
                <w:rFonts w:hint="eastAsia" w:ascii="宋体" w:eastAsia="宋体"/>
              </w:rPr>
              <w:t>项号</w:t>
            </w:r>
          </w:p>
        </w:tc>
        <w:tc>
          <w:tcPr>
            <w:tcW w:w="1663" w:type="dxa"/>
            <w:vAlign w:val="center"/>
          </w:tcPr>
          <w:p>
            <w:pPr>
              <w:pStyle w:val="40"/>
              <w:ind w:firstLine="0"/>
              <w:jc w:val="center"/>
              <w:rPr>
                <w:rFonts w:ascii="宋体" w:eastAsia="宋体"/>
              </w:rPr>
            </w:pPr>
            <w:r>
              <w:rPr>
                <w:rFonts w:hint="eastAsia" w:ascii="宋体" w:eastAsia="宋体"/>
              </w:rPr>
              <w:t>内容</w:t>
            </w:r>
          </w:p>
        </w:tc>
        <w:tc>
          <w:tcPr>
            <w:tcW w:w="7130" w:type="dxa"/>
            <w:vAlign w:val="center"/>
          </w:tcPr>
          <w:p>
            <w:pPr>
              <w:pStyle w:val="40"/>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wordWrap w:val="0"/>
              <w:autoSpaceDE w:val="0"/>
              <w:autoSpaceDN w:val="0"/>
              <w:adjustRightInd w:val="0"/>
              <w:spacing w:before="120" w:after="120" w:line="720" w:lineRule="atLeast"/>
              <w:jc w:val="center"/>
              <w:rPr>
                <w:rFonts w:asciiTheme="minorEastAsia" w:hAnsiTheme="minorEastAsia" w:eastAsiaTheme="minorEastAsia"/>
                <w:snapToGrid w:val="0"/>
                <w:sz w:val="24"/>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奎星楼A组团改造装修项目后置埋件、后植钢筋检测项目</w:t>
            </w:r>
          </w:p>
          <w:p>
            <w:pPr>
              <w:rPr>
                <w:rFonts w:ascii="宋体" w:hAnsi="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5" w:type="dxa"/>
            <w:vAlign w:val="center"/>
          </w:tcPr>
          <w:p>
            <w:pPr>
              <w:pStyle w:val="40"/>
              <w:ind w:firstLine="0"/>
              <w:jc w:val="center"/>
              <w:rPr>
                <w:rFonts w:ascii="宋体" w:eastAsia="宋体"/>
              </w:rPr>
            </w:pPr>
            <w:r>
              <w:rPr>
                <w:rFonts w:hint="eastAsia" w:ascii="宋体" w:eastAsia="宋体"/>
              </w:rPr>
              <w:t>2</w:t>
            </w:r>
          </w:p>
        </w:tc>
        <w:tc>
          <w:tcPr>
            <w:tcW w:w="1663" w:type="dxa"/>
            <w:vAlign w:val="center"/>
          </w:tcPr>
          <w:p>
            <w:pPr>
              <w:pStyle w:val="40"/>
              <w:ind w:firstLine="0"/>
              <w:jc w:val="center"/>
              <w:rPr>
                <w:rFonts w:ascii="宋体" w:eastAsia="宋体"/>
              </w:rPr>
            </w:pPr>
            <w:r>
              <w:rPr>
                <w:rFonts w:hint="eastAsia" w:ascii="宋体" w:eastAsia="宋体"/>
              </w:rPr>
              <w:t>项目概况</w:t>
            </w:r>
          </w:p>
        </w:tc>
        <w:tc>
          <w:tcPr>
            <w:tcW w:w="7130" w:type="dxa"/>
            <w:vAlign w:val="center"/>
          </w:tcPr>
          <w:p>
            <w:pPr>
              <w:pStyle w:val="40"/>
              <w:ind w:firstLine="0"/>
              <w:rPr>
                <w:rFonts w:ascii="宋体" w:eastAsia="宋体"/>
              </w:rPr>
            </w:pPr>
            <w:r>
              <w:rPr>
                <w:rFonts w:hint="eastAsia" w:ascii="宋体" w:eastAsia="宋体"/>
              </w:rPr>
              <w:t>建设地点：重庆市渝中区</w:t>
            </w:r>
          </w:p>
          <w:p>
            <w:pPr>
              <w:spacing w:line="360" w:lineRule="auto"/>
              <w:rPr>
                <w:rFonts w:ascii="宋体" w:hAnsi="宋体" w:cs="宋体"/>
                <w:sz w:val="24"/>
                <w:shd w:val="clear" w:color="auto" w:fill="FFFFFF"/>
              </w:rPr>
            </w:pPr>
            <w:r>
              <w:rPr>
                <w:rFonts w:hint="eastAsia" w:ascii="宋体"/>
                <w:sz w:val="24"/>
              </w:rPr>
              <w:t>工程规模</w:t>
            </w:r>
            <w:r>
              <w:rPr>
                <w:rFonts w:hint="eastAsia" w:ascii="宋体"/>
              </w:rPr>
              <w:t>：</w:t>
            </w:r>
            <w:r>
              <w:rPr>
                <w:rFonts w:hint="eastAsia" w:ascii="宋体" w:hAnsi="宋体" w:cs="宋体"/>
                <w:sz w:val="24"/>
                <w:shd w:val="clear" w:color="auto" w:fill="FFFFFF"/>
              </w:rPr>
              <w:t>项目建设规模：总建筑面积约为32200平方米。</w:t>
            </w:r>
          </w:p>
          <w:p>
            <w:pPr>
              <w:spacing w:line="360" w:lineRule="auto"/>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40"/>
              <w:ind w:firstLine="0"/>
              <w:jc w:val="center"/>
              <w:rPr>
                <w:rFonts w:ascii="宋体" w:eastAsia="宋体"/>
              </w:rPr>
            </w:pPr>
            <w:r>
              <w:rPr>
                <w:rFonts w:hint="eastAsia" w:ascii="宋体" w:eastAsia="宋体"/>
              </w:rPr>
              <w:t>3</w:t>
            </w:r>
          </w:p>
        </w:tc>
        <w:tc>
          <w:tcPr>
            <w:tcW w:w="1663" w:type="dxa"/>
            <w:vAlign w:val="center"/>
          </w:tcPr>
          <w:p>
            <w:pPr>
              <w:pStyle w:val="40"/>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asciiTheme="minorEastAsia" w:hAnsiTheme="minorEastAsia"/>
                <w:sz w:val="24"/>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奎星楼A组团改造装修项目后置埋件、后植钢筋</w:t>
            </w:r>
            <w:r>
              <w:rPr>
                <w:rFonts w:hint="eastAsia" w:asciiTheme="minorEastAsia" w:hAnsiTheme="minorEastAsia"/>
                <w:sz w:val="24"/>
              </w:rPr>
              <w:t>检测并出具检测报告，并</w:t>
            </w:r>
            <w:r>
              <w:rPr>
                <w:rFonts w:asciiTheme="minorEastAsia" w:hAnsiTheme="minorEastAsia"/>
                <w:sz w:val="24"/>
              </w:rPr>
              <w:t>盖有</w:t>
            </w:r>
            <w:r>
              <w:rPr>
                <w:rFonts w:hint="eastAsia" w:asciiTheme="minorEastAsia" w:hAnsiTheme="minorEastAsia"/>
                <w:sz w:val="24"/>
              </w:rPr>
              <w:t>重庆市技监局CMA章、</w:t>
            </w:r>
            <w:r>
              <w:rPr>
                <w:rFonts w:asciiTheme="minorEastAsia" w:hAnsiTheme="minorEastAsia"/>
                <w:sz w:val="24"/>
              </w:rPr>
              <w:t>重庆城乡建设委员会的检测章</w:t>
            </w:r>
            <w:r>
              <w:rPr>
                <w:rFonts w:hint="eastAsia" w:asciiTheme="minorEastAsia" w:hAnsiTheme="minorEastAsia"/>
                <w:sz w:val="24"/>
              </w:rPr>
              <w:t>。</w:t>
            </w:r>
          </w:p>
          <w:p>
            <w:pPr>
              <w:spacing w:line="480" w:lineRule="auto"/>
              <w:rPr>
                <w:rFonts w:cs="宋体" w:asciiTheme="minorEastAsia" w:hAnsiTheme="minorEastAsia" w:eastAsiaTheme="minorEastAsia"/>
                <w:szCs w:val="21"/>
              </w:rPr>
            </w:pPr>
            <w:r>
              <w:rPr>
                <w:rFonts w:hint="eastAsia" w:asciiTheme="minorEastAsia" w:hAnsiTheme="minorEastAsia"/>
                <w:sz w:val="24"/>
              </w:rPr>
              <w:t>检测范围：</w:t>
            </w:r>
            <w:r>
              <w:rPr>
                <w:rFonts w:hint="eastAsia" w:asciiTheme="minorEastAsia" w:hAnsiTheme="minorEastAsia" w:eastAsiaTheme="minorEastAsia"/>
                <w:szCs w:val="21"/>
              </w:rPr>
              <w:t>见附表三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4</w:t>
            </w:r>
          </w:p>
        </w:tc>
        <w:tc>
          <w:tcPr>
            <w:tcW w:w="1663" w:type="dxa"/>
            <w:vAlign w:val="center"/>
          </w:tcPr>
          <w:p>
            <w:pPr>
              <w:pStyle w:val="40"/>
              <w:ind w:firstLine="0"/>
              <w:jc w:val="center"/>
              <w:rPr>
                <w:rFonts w:ascii="宋体" w:eastAsia="宋体"/>
              </w:rPr>
            </w:pPr>
            <w:r>
              <w:rPr>
                <w:rFonts w:hint="eastAsia" w:ascii="宋体" w:eastAsia="宋体"/>
              </w:rPr>
              <w:t>限价</w:t>
            </w:r>
          </w:p>
        </w:tc>
        <w:tc>
          <w:tcPr>
            <w:tcW w:w="7130" w:type="dxa"/>
            <w:vAlign w:val="center"/>
          </w:tcPr>
          <w:p>
            <w:pPr>
              <w:pStyle w:val="40"/>
              <w:ind w:firstLine="0"/>
              <w:rPr>
                <w:rFonts w:ascii="宋体" w:eastAsia="宋体"/>
                <w:szCs w:val="24"/>
              </w:rPr>
            </w:pPr>
            <w:r>
              <w:rPr>
                <w:rFonts w:hint="eastAsia" w:asciiTheme="minorEastAsia" w:hAnsiTheme="minorEastAsia" w:eastAsiaTheme="minorEastAsia"/>
                <w:b/>
                <w:kern w:val="2"/>
                <w:szCs w:val="24"/>
              </w:rPr>
              <w:t>竞谈限价：</w:t>
            </w:r>
            <w:r>
              <w:rPr>
                <w:rFonts w:hint="eastAsia" w:asciiTheme="minorEastAsia" w:hAnsiTheme="minorEastAsia" w:eastAsiaTheme="minorEastAsia"/>
                <w:b/>
                <w:kern w:val="2"/>
                <w:szCs w:val="24"/>
                <w:lang w:val="en-US" w:eastAsia="zh-CN"/>
              </w:rPr>
              <w:t>18.9</w:t>
            </w:r>
            <w:bookmarkStart w:id="0" w:name="_GoBack"/>
            <w:bookmarkEnd w:id="0"/>
            <w:r>
              <w:rPr>
                <w:rFonts w:hint="eastAsia" w:asciiTheme="minorEastAsia" w:hAnsiTheme="minorEastAsia" w:eastAsiaTheme="minorEastAsia"/>
                <w:b/>
                <w:kern w:val="2"/>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40"/>
              <w:ind w:firstLine="0"/>
              <w:jc w:val="center"/>
              <w:rPr>
                <w:rFonts w:ascii="宋体" w:eastAsia="宋体"/>
              </w:rPr>
            </w:pPr>
            <w:r>
              <w:rPr>
                <w:rFonts w:hint="eastAsia" w:ascii="宋体" w:eastAsia="宋体"/>
              </w:rPr>
              <w:t>5</w:t>
            </w:r>
          </w:p>
        </w:tc>
        <w:tc>
          <w:tcPr>
            <w:tcW w:w="1663" w:type="dxa"/>
            <w:vAlign w:val="center"/>
          </w:tcPr>
          <w:p>
            <w:pPr>
              <w:pStyle w:val="40"/>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4"/>
              <w:numPr>
                <w:ilvl w:val="0"/>
                <w:numId w:val="2"/>
              </w:numPr>
              <w:spacing w:line="360" w:lineRule="auto"/>
              <w:ind w:firstLine="0" w:firstLineChars="0"/>
              <w:rPr>
                <w:rFonts w:ascii="宋体" w:hAnsi="宋体" w:cs="宋体"/>
                <w:sz w:val="24"/>
                <w:u w:val="single"/>
              </w:rPr>
            </w:pP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重庆市城乡建设委员会认可的、具有主体结构检测专项资质的检测机构。</w:t>
            </w:r>
            <w:r>
              <w:rPr>
                <w:rFonts w:hint="eastAsia" w:ascii="宋体" w:hAnsi="宋体" w:cs="宋体"/>
                <w:sz w:val="24"/>
                <w:u w:val="single"/>
              </w:rPr>
              <w:t>现场报名时需提供营业执照复印件，且标注出与本次竞谈项目相符合的经营范围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4"/>
              <w:numPr>
                <w:ilvl w:val="0"/>
                <w:numId w:val="3"/>
              </w:numPr>
              <w:spacing w:line="360" w:lineRule="auto"/>
              <w:ind w:firstLineChars="0"/>
              <w:rPr>
                <w:rFonts w:ascii="宋体" w:hAnsi="宋体" w:cs="宋体"/>
                <w:color w:val="000000"/>
                <w:sz w:val="24"/>
              </w:rPr>
            </w:pPr>
            <w:r>
              <w:rPr>
                <w:rFonts w:hint="eastAsia" w:ascii="宋体" w:hAnsi="宋体" w:cs="宋体"/>
                <w:sz w:val="24"/>
              </w:rPr>
              <w:t>具有重庆市质检的CMA许可以及</w:t>
            </w:r>
            <w:r>
              <w:rPr>
                <w:rFonts w:asciiTheme="minorEastAsia" w:hAnsiTheme="minorEastAsia"/>
                <w:sz w:val="24"/>
              </w:rPr>
              <w:t>重庆城乡建设委员会</w:t>
            </w:r>
            <w:r>
              <w:rPr>
                <w:rFonts w:hint="eastAsia" w:asciiTheme="minorEastAsia" w:hAnsiTheme="minorEastAsia"/>
                <w:sz w:val="24"/>
              </w:rPr>
              <w:t>资质许可</w:t>
            </w:r>
            <w:r>
              <w:rPr>
                <w:rFonts w:hint="eastAsia" w:ascii="宋体" w:hAnsi="宋体" w:cs="宋体"/>
                <w:sz w:val="24"/>
              </w:rPr>
              <w:t>，竞谈人经营范围需涵盖本次竞谈内容。</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0"/>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6</w:t>
            </w:r>
          </w:p>
        </w:tc>
        <w:tc>
          <w:tcPr>
            <w:tcW w:w="1663" w:type="dxa"/>
            <w:vAlign w:val="center"/>
          </w:tcPr>
          <w:p>
            <w:pPr>
              <w:pStyle w:val="40"/>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报名地点：</w:t>
            </w:r>
            <w:r>
              <w:rPr>
                <w:rFonts w:ascii="宋体"/>
              </w:rPr>
              <w:t>重庆医科大学附属第二医院</w:t>
            </w:r>
            <w:r>
              <w:rPr>
                <w:rFonts w:hint="eastAsia" w:ascii="宋体"/>
              </w:rPr>
              <w:t>综合楼</w:t>
            </w:r>
            <w:r>
              <w:rPr>
                <w:rFonts w:hint="eastAsia" w:ascii="宋体" w:hAnsi="宋体" w:cs="宋体"/>
                <w:sz w:val="24"/>
                <w:shd w:val="clear" w:color="auto" w:fill="FFFFFF"/>
              </w:rPr>
              <w:t>临江门院区综合楼17-5</w:t>
            </w:r>
          </w:p>
          <w:p>
            <w:pPr>
              <w:spacing w:line="360" w:lineRule="auto"/>
              <w:rPr>
                <w:rFonts w:ascii="宋体" w:hAnsi="宋体" w:cs="宋体"/>
                <w:sz w:val="24"/>
                <w:shd w:val="clear" w:color="auto" w:fill="FFFFFF"/>
              </w:rPr>
            </w:pPr>
            <w:r>
              <w:rPr>
                <w:rFonts w:hint="eastAsia" w:ascii="宋体" w:hAnsi="宋体" w:cs="宋体"/>
                <w:sz w:val="24"/>
                <w:shd w:val="clear" w:color="auto" w:fill="FFFFFF"/>
              </w:rPr>
              <w:t>报名截止时间：2020年6月27日17点</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报名方式：编辑“XX公司+联系人XX+联系电话XXX”，提供“三证合一”的营业执照扫描件电子档发至QQ邮箱236604974@qq.com</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7</w:t>
            </w:r>
          </w:p>
        </w:tc>
        <w:tc>
          <w:tcPr>
            <w:tcW w:w="1663" w:type="dxa"/>
            <w:vAlign w:val="center"/>
          </w:tcPr>
          <w:p>
            <w:pPr>
              <w:pStyle w:val="40"/>
              <w:ind w:firstLine="0"/>
              <w:jc w:val="center"/>
              <w:rPr>
                <w:rFonts w:ascii="宋体" w:eastAsia="宋体"/>
              </w:rPr>
            </w:pPr>
            <w:r>
              <w:rPr>
                <w:rFonts w:hint="eastAsia" w:ascii="宋体" w:eastAsia="宋体"/>
              </w:rPr>
              <w:t>谈判文件递交截止时间</w:t>
            </w:r>
          </w:p>
        </w:tc>
        <w:tc>
          <w:tcPr>
            <w:tcW w:w="7130" w:type="dxa"/>
            <w:vAlign w:val="center"/>
          </w:tcPr>
          <w:p>
            <w:pPr>
              <w:pStyle w:val="40"/>
              <w:ind w:firstLine="0"/>
              <w:rPr>
                <w:rFonts w:ascii="宋体" w:eastAsia="宋体"/>
              </w:rPr>
            </w:pPr>
            <w:r>
              <w:rPr>
                <w:rFonts w:hint="eastAsia" w:ascii="宋体" w:eastAsia="宋体"/>
              </w:rPr>
              <w:t>2020年6月28 日14点30分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55" w:type="dxa"/>
            <w:vAlign w:val="center"/>
          </w:tcPr>
          <w:p>
            <w:pPr>
              <w:pStyle w:val="40"/>
              <w:ind w:firstLine="0"/>
              <w:jc w:val="center"/>
              <w:rPr>
                <w:rFonts w:ascii="宋体" w:eastAsia="宋体"/>
              </w:rPr>
            </w:pPr>
            <w:r>
              <w:rPr>
                <w:rFonts w:hint="eastAsia" w:ascii="宋体" w:eastAsia="宋体"/>
              </w:rPr>
              <w:t>8</w:t>
            </w:r>
          </w:p>
        </w:tc>
        <w:tc>
          <w:tcPr>
            <w:tcW w:w="1663" w:type="dxa"/>
            <w:vAlign w:val="center"/>
          </w:tcPr>
          <w:p>
            <w:pPr>
              <w:pStyle w:val="40"/>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本次采用固定单价*数量报价：包括检测费、编制检测报告费等费用。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pPr>
              <w:pStyle w:val="40"/>
              <w:ind w:firstLine="0"/>
              <w:jc w:val="center"/>
              <w:rPr>
                <w:rFonts w:ascii="宋体" w:eastAsia="宋体"/>
              </w:rPr>
            </w:pPr>
            <w:r>
              <w:rPr>
                <w:rFonts w:hint="eastAsia" w:ascii="宋体" w:eastAsia="宋体"/>
              </w:rPr>
              <w:t>9</w:t>
            </w:r>
          </w:p>
        </w:tc>
        <w:tc>
          <w:tcPr>
            <w:tcW w:w="1663" w:type="dxa"/>
            <w:vAlign w:val="center"/>
          </w:tcPr>
          <w:p>
            <w:pPr>
              <w:pStyle w:val="40"/>
              <w:ind w:firstLine="0"/>
              <w:jc w:val="center"/>
              <w:rPr>
                <w:rFonts w:ascii="宋体" w:eastAsia="宋体"/>
              </w:rPr>
            </w:pPr>
            <w:r>
              <w:rPr>
                <w:rFonts w:hint="eastAsia" w:ascii="宋体" w:eastAsia="宋体"/>
              </w:rPr>
              <w:t>合同价格</w:t>
            </w:r>
          </w:p>
        </w:tc>
        <w:tc>
          <w:tcPr>
            <w:tcW w:w="7130" w:type="dxa"/>
            <w:vAlign w:val="center"/>
          </w:tcPr>
          <w:p>
            <w:pPr>
              <w:pStyle w:val="40"/>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40"/>
              <w:ind w:firstLine="0"/>
              <w:jc w:val="center"/>
              <w:rPr>
                <w:rFonts w:ascii="宋体" w:eastAsia="宋体"/>
              </w:rPr>
            </w:pPr>
            <w:r>
              <w:rPr>
                <w:rFonts w:hint="eastAsia" w:ascii="宋体" w:eastAsia="宋体"/>
              </w:rPr>
              <w:t>10</w:t>
            </w:r>
          </w:p>
        </w:tc>
        <w:tc>
          <w:tcPr>
            <w:tcW w:w="1663" w:type="dxa"/>
            <w:vAlign w:val="center"/>
          </w:tcPr>
          <w:p>
            <w:pPr>
              <w:pStyle w:val="40"/>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每月底按实际检测数量支付</w:t>
            </w:r>
            <w:r>
              <w:rPr>
                <w:rFonts w:hint="eastAsia" w:ascii="宋体" w:hAnsi="宋体" w:cs="宋体"/>
                <w:color w:val="000000"/>
                <w:sz w:val="24"/>
              </w:rPr>
              <w:t>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11</w:t>
            </w:r>
          </w:p>
        </w:tc>
        <w:tc>
          <w:tcPr>
            <w:tcW w:w="1663" w:type="dxa"/>
            <w:vAlign w:val="center"/>
          </w:tcPr>
          <w:p>
            <w:pPr>
              <w:pStyle w:val="40"/>
              <w:ind w:firstLine="0"/>
              <w:jc w:val="center"/>
              <w:rPr>
                <w:rFonts w:ascii="宋体" w:eastAsia="宋体"/>
              </w:rPr>
            </w:pPr>
            <w:r>
              <w:rPr>
                <w:rFonts w:hint="eastAsia" w:ascii="宋体" w:eastAsia="宋体"/>
              </w:rPr>
              <w:t>竞争性谈判</w:t>
            </w:r>
          </w:p>
          <w:p>
            <w:pPr>
              <w:pStyle w:val="40"/>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0"/>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0"/>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40"/>
              <w:ind w:firstLine="0"/>
              <w:rPr>
                <w:rFonts w:ascii="宋体" w:eastAsia="宋体"/>
                <w:szCs w:val="24"/>
              </w:rPr>
            </w:pPr>
            <w:r>
              <w:rPr>
                <w:rFonts w:hint="eastAsia" w:ascii="宋体" w:eastAsia="宋体"/>
                <w:szCs w:val="24"/>
              </w:rPr>
              <w:t>4、公司基本情况表</w:t>
            </w:r>
          </w:p>
          <w:p>
            <w:pPr>
              <w:pStyle w:val="40"/>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40"/>
              <w:ind w:firstLine="0"/>
              <w:rPr>
                <w:rFonts w:ascii="宋体" w:eastAsia="宋体"/>
                <w:szCs w:val="24"/>
              </w:rPr>
            </w:pPr>
            <w:r>
              <w:rPr>
                <w:rFonts w:hint="eastAsia" w:ascii="宋体" w:eastAsia="宋体"/>
                <w:szCs w:val="24"/>
              </w:rPr>
              <w:t>5、公司类似工程业绩表</w:t>
            </w:r>
          </w:p>
          <w:p>
            <w:pPr>
              <w:pStyle w:val="40"/>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12</w:t>
            </w:r>
          </w:p>
        </w:tc>
        <w:tc>
          <w:tcPr>
            <w:tcW w:w="1663" w:type="dxa"/>
            <w:vAlign w:val="center"/>
          </w:tcPr>
          <w:p>
            <w:pPr>
              <w:pStyle w:val="40"/>
              <w:ind w:firstLine="0"/>
              <w:jc w:val="center"/>
              <w:rPr>
                <w:rFonts w:ascii="宋体" w:eastAsia="宋体"/>
              </w:rPr>
            </w:pPr>
            <w:r>
              <w:rPr>
                <w:rFonts w:ascii="宋体" w:eastAsia="宋体"/>
              </w:rPr>
              <w:t>文件密封</w:t>
            </w:r>
          </w:p>
        </w:tc>
        <w:tc>
          <w:tcPr>
            <w:tcW w:w="7130" w:type="dxa"/>
            <w:vAlign w:val="center"/>
          </w:tcPr>
          <w:p>
            <w:pPr>
              <w:pStyle w:val="40"/>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5" w:type="dxa"/>
            <w:vAlign w:val="center"/>
          </w:tcPr>
          <w:p>
            <w:pPr>
              <w:pStyle w:val="40"/>
              <w:ind w:firstLine="0"/>
              <w:jc w:val="center"/>
              <w:rPr>
                <w:rFonts w:ascii="宋体" w:eastAsia="宋体"/>
              </w:rPr>
            </w:pPr>
            <w:r>
              <w:rPr>
                <w:rFonts w:hint="eastAsia" w:ascii="宋体" w:eastAsia="宋体"/>
              </w:rPr>
              <w:t>13</w:t>
            </w:r>
          </w:p>
        </w:tc>
        <w:tc>
          <w:tcPr>
            <w:tcW w:w="1663" w:type="dxa"/>
            <w:vAlign w:val="center"/>
          </w:tcPr>
          <w:p>
            <w:pPr>
              <w:pStyle w:val="40"/>
              <w:ind w:firstLine="0"/>
              <w:jc w:val="center"/>
              <w:rPr>
                <w:rFonts w:ascii="宋体" w:eastAsia="宋体"/>
              </w:rPr>
            </w:pPr>
            <w:r>
              <w:rPr>
                <w:rFonts w:ascii="宋体" w:eastAsia="宋体"/>
              </w:rPr>
              <w:t>递交文件地点</w:t>
            </w:r>
          </w:p>
        </w:tc>
        <w:tc>
          <w:tcPr>
            <w:tcW w:w="7130" w:type="dxa"/>
            <w:vAlign w:val="center"/>
          </w:tcPr>
          <w:p>
            <w:pPr>
              <w:pStyle w:val="40"/>
              <w:ind w:firstLine="0"/>
              <w:rPr>
                <w:rFonts w:ascii="宋体" w:eastAsia="宋体"/>
              </w:rPr>
            </w:pPr>
            <w:r>
              <w:rPr>
                <w:rFonts w:ascii="宋体" w:eastAsia="宋体"/>
              </w:rPr>
              <w:t>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40"/>
              <w:ind w:firstLine="0"/>
              <w:jc w:val="center"/>
              <w:rPr>
                <w:rFonts w:ascii="宋体" w:eastAsia="宋体"/>
              </w:rPr>
            </w:pPr>
            <w:r>
              <w:rPr>
                <w:rFonts w:hint="eastAsia" w:ascii="宋体" w:eastAsia="宋体"/>
              </w:rPr>
              <w:t>14</w:t>
            </w:r>
          </w:p>
        </w:tc>
        <w:tc>
          <w:tcPr>
            <w:tcW w:w="1663" w:type="dxa"/>
            <w:vAlign w:val="center"/>
          </w:tcPr>
          <w:p>
            <w:pPr>
              <w:pStyle w:val="40"/>
              <w:ind w:firstLine="0"/>
              <w:jc w:val="center"/>
              <w:rPr>
                <w:rFonts w:ascii="宋体" w:eastAsia="宋体"/>
              </w:rPr>
            </w:pPr>
            <w:r>
              <w:rPr>
                <w:rFonts w:hint="eastAsia" w:ascii="宋体" w:eastAsia="宋体"/>
              </w:rPr>
              <w:t>谈判</w:t>
            </w:r>
            <w:r>
              <w:rPr>
                <w:rFonts w:ascii="宋体" w:eastAsia="宋体"/>
              </w:rPr>
              <w:t>时间</w:t>
            </w:r>
          </w:p>
          <w:p>
            <w:pPr>
              <w:pStyle w:val="40"/>
              <w:ind w:firstLine="0"/>
              <w:jc w:val="center"/>
              <w:rPr>
                <w:rFonts w:ascii="宋体" w:eastAsia="宋体"/>
              </w:rPr>
            </w:pPr>
            <w:r>
              <w:rPr>
                <w:rFonts w:ascii="宋体" w:eastAsia="宋体"/>
              </w:rPr>
              <w:t>和地点</w:t>
            </w:r>
          </w:p>
        </w:tc>
        <w:tc>
          <w:tcPr>
            <w:tcW w:w="7130" w:type="dxa"/>
            <w:vAlign w:val="center"/>
          </w:tcPr>
          <w:p>
            <w:pPr>
              <w:pStyle w:val="40"/>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0"/>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（渝中院区）综合楼17楼会议室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40"/>
              <w:ind w:firstLine="0"/>
              <w:jc w:val="center"/>
              <w:rPr>
                <w:rFonts w:ascii="宋体" w:eastAsia="宋体"/>
              </w:rPr>
            </w:pPr>
            <w:r>
              <w:rPr>
                <w:rFonts w:hint="eastAsia" w:ascii="宋体" w:eastAsia="宋体"/>
              </w:rPr>
              <w:t>15</w:t>
            </w:r>
          </w:p>
        </w:tc>
        <w:tc>
          <w:tcPr>
            <w:tcW w:w="1663" w:type="dxa"/>
            <w:vAlign w:val="center"/>
          </w:tcPr>
          <w:p>
            <w:pPr>
              <w:pStyle w:val="40"/>
              <w:ind w:firstLine="0"/>
              <w:jc w:val="center"/>
              <w:rPr>
                <w:rFonts w:ascii="宋体" w:eastAsia="宋体"/>
              </w:rPr>
            </w:pPr>
            <w:r>
              <w:rPr>
                <w:rFonts w:hint="eastAsia" w:ascii="宋体" w:eastAsia="宋体"/>
              </w:rPr>
              <w:t>评定方法</w:t>
            </w:r>
          </w:p>
        </w:tc>
        <w:tc>
          <w:tcPr>
            <w:tcW w:w="7130" w:type="dxa"/>
            <w:vAlign w:val="center"/>
          </w:tcPr>
          <w:p>
            <w:pPr>
              <w:pStyle w:val="40"/>
              <w:ind w:firstLine="0"/>
              <w:rPr>
                <w:rFonts w:ascii="宋体" w:eastAsia="宋体"/>
              </w:rPr>
            </w:pPr>
            <w:r>
              <w:rPr>
                <w:rFonts w:hint="eastAsia" w:ascii="宋体" w:eastAsia="宋体" w:cs="宋体"/>
                <w:szCs w:val="24"/>
                <w:shd w:val="clear" w:color="auto" w:fill="FFFFFF"/>
              </w:rPr>
              <w:t>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pPr>
              <w:pStyle w:val="40"/>
              <w:ind w:firstLine="0"/>
              <w:jc w:val="center"/>
              <w:rPr>
                <w:rFonts w:ascii="宋体" w:eastAsia="宋体"/>
              </w:rPr>
            </w:pPr>
            <w:r>
              <w:rPr>
                <w:rFonts w:hint="eastAsia" w:ascii="宋体" w:eastAsia="宋体"/>
              </w:rPr>
              <w:t>16</w:t>
            </w:r>
          </w:p>
        </w:tc>
        <w:tc>
          <w:tcPr>
            <w:tcW w:w="1663" w:type="dxa"/>
            <w:vAlign w:val="center"/>
          </w:tcPr>
          <w:p>
            <w:pPr>
              <w:pStyle w:val="40"/>
              <w:ind w:firstLine="0"/>
              <w:jc w:val="center"/>
              <w:rPr>
                <w:rFonts w:ascii="宋体" w:eastAsia="宋体"/>
              </w:rPr>
            </w:pPr>
            <w:r>
              <w:rPr>
                <w:rFonts w:hint="eastAsia" w:ascii="宋体" w:eastAsia="宋体"/>
              </w:rPr>
              <w:t>联系人及方式</w:t>
            </w:r>
          </w:p>
        </w:tc>
        <w:tc>
          <w:tcPr>
            <w:tcW w:w="7130" w:type="dxa"/>
            <w:vAlign w:val="center"/>
          </w:tcPr>
          <w:p>
            <w:pPr>
              <w:pStyle w:val="40"/>
              <w:ind w:left="1080" w:hanging="1080" w:hangingChars="450"/>
              <w:rPr>
                <w:rFonts w:ascii="宋体" w:eastAsia="宋体"/>
              </w:rPr>
            </w:pPr>
            <w:r>
              <w:rPr>
                <w:rFonts w:hint="eastAsia" w:ascii="宋体" w:eastAsia="宋体"/>
              </w:rPr>
              <w:t>联系地址：重庆市渝中区临江路74号重庆医科大学附属第二医院综合楼17-5办公室</w:t>
            </w:r>
          </w:p>
          <w:p>
            <w:pPr>
              <w:pStyle w:val="40"/>
              <w:ind w:firstLine="0"/>
              <w:rPr>
                <w:rFonts w:ascii="宋体" w:eastAsia="宋体"/>
              </w:rPr>
            </w:pPr>
            <w:r>
              <w:rPr>
                <w:rFonts w:hint="eastAsia" w:ascii="宋体" w:eastAsia="宋体"/>
              </w:rPr>
              <w:t>联 系 人：徐老师    联系电话：023-63693041</w:t>
            </w:r>
          </w:p>
        </w:tc>
      </w:tr>
    </w:tbl>
    <w:p>
      <w:pPr>
        <w:pStyle w:val="40"/>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检测内容（格式）</w:t>
      </w:r>
    </w:p>
    <w:p>
      <w:pPr>
        <w:spacing w:line="360" w:lineRule="auto"/>
        <w:rPr>
          <w:rFonts w:ascii="宋体" w:hAnsi="宋体"/>
          <w:kern w:val="0"/>
          <w:sz w:val="24"/>
          <w:szCs w:val="20"/>
        </w:rPr>
      </w:pPr>
      <w:r>
        <w:rPr>
          <w:rFonts w:hint="eastAsia" w:ascii="宋体" w:hAnsi="宋体"/>
          <w:kern w:val="0"/>
          <w:sz w:val="24"/>
          <w:szCs w:val="20"/>
        </w:rPr>
        <w:t>4．报价表</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奎星楼A组团改造装修项目后置埋件、后植钢筋检测项目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9"/>
        <w:spacing w:beforeLines="0" w:afterLines="0"/>
        <w:jc w:val="both"/>
        <w:rPr>
          <w:rFonts w:ascii="宋体" w:hAnsi="宋体" w:eastAsia="宋体"/>
          <w:kern w:val="0"/>
          <w:sz w:val="28"/>
          <w:szCs w:val="28"/>
        </w:rPr>
      </w:pPr>
    </w:p>
    <w:p>
      <w:pPr>
        <w:pStyle w:val="39"/>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rPr>
        <w:t>重庆医科大学附属第二医院</w:t>
      </w:r>
      <w:r>
        <w:rPr>
          <w:rFonts w:hint="eastAsia"/>
          <w:bCs/>
          <w:color w:val="202020"/>
          <w:sz w:val="28"/>
          <w:szCs w:val="28"/>
          <w:u w:val="single"/>
          <w:shd w:val="clear" w:color="auto" w:fill="FFFFFF"/>
        </w:rPr>
        <w:t>奎星楼A组团改造装修项目后置埋件、后植钢筋检测项目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textAlignment w:val="center"/>
        <w:rPr>
          <w:rFonts w:ascii="宋体" w:hAnsi="宋体" w:cs="宋体"/>
          <w:sz w:val="28"/>
          <w:szCs w:val="28"/>
        </w:rPr>
      </w:pPr>
      <w:r>
        <w:rPr>
          <w:rFonts w:hint="eastAsia" w:ascii="宋体" w:hAnsi="宋体" w:cs="宋体"/>
          <w:sz w:val="28"/>
          <w:szCs w:val="28"/>
        </w:rPr>
        <w:t xml:space="preserve">                      检测内容</w:t>
      </w:r>
    </w:p>
    <w:tbl>
      <w:tblPr>
        <w:tblStyle w:val="22"/>
        <w:tblpPr w:leftFromText="180" w:rightFromText="180" w:vertAnchor="text" w:horzAnchor="margin" w:tblpXSpec="center" w:tblpY="419"/>
        <w:tblW w:w="6379" w:type="dxa"/>
        <w:tblInd w:w="0" w:type="dxa"/>
        <w:tblLayout w:type="fixed"/>
        <w:tblCellMar>
          <w:top w:w="0" w:type="dxa"/>
          <w:left w:w="108" w:type="dxa"/>
          <w:bottom w:w="0" w:type="dxa"/>
          <w:right w:w="108" w:type="dxa"/>
        </w:tblCellMar>
      </w:tblPr>
      <w:tblGrid>
        <w:gridCol w:w="1281"/>
        <w:gridCol w:w="1320"/>
        <w:gridCol w:w="1984"/>
        <w:gridCol w:w="1794"/>
      </w:tblGrid>
      <w:tr>
        <w:tblPrEx>
          <w:tblCellMar>
            <w:top w:w="0" w:type="dxa"/>
            <w:left w:w="108" w:type="dxa"/>
            <w:bottom w:w="0" w:type="dxa"/>
            <w:right w:w="108" w:type="dxa"/>
          </w:tblCellMar>
        </w:tblPrEx>
        <w:trPr>
          <w:trHeight w:val="1620" w:hRule="atLeast"/>
        </w:trPr>
        <w:tc>
          <w:tcPr>
            <w:tcW w:w="1281"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检测内容</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取样数量（不低于</w:t>
            </w:r>
            <w:r>
              <w:rPr>
                <w:rFonts w:hint="eastAsia" w:asciiTheme="minorEastAsia" w:hAnsiTheme="minorEastAsia" w:eastAsiaTheme="minorEastAsia"/>
                <w:bCs/>
                <w:color w:val="202020"/>
                <w:sz w:val="24"/>
                <w:shd w:val="clear" w:color="auto" w:fill="FFFFFF"/>
              </w:rPr>
              <w:t>后置埋件、后植钢筋总数的1%</w:t>
            </w:r>
          </w:p>
        </w:tc>
      </w:tr>
      <w:tr>
        <w:tblPrEx>
          <w:tblCellMar>
            <w:top w:w="0" w:type="dxa"/>
            <w:left w:w="108" w:type="dxa"/>
            <w:bottom w:w="0" w:type="dxa"/>
            <w:right w:w="108" w:type="dxa"/>
          </w:tblCellMar>
        </w:tblPrEx>
        <w:trPr>
          <w:trHeight w:val="2189" w:hRule="atLeast"/>
        </w:trPr>
        <w:tc>
          <w:tcPr>
            <w:tcW w:w="1281"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后置埋件、后植钢筋</w:t>
            </w:r>
          </w:p>
        </w:tc>
        <w:tc>
          <w:tcPr>
            <w:tcW w:w="1984"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锚固承载力</w:t>
            </w: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约630点</w:t>
            </w:r>
          </w:p>
        </w:tc>
      </w:tr>
    </w:tbl>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r>
        <w:rPr>
          <w:rFonts w:hint="eastAsia" w:asciiTheme="minorEastAsia" w:hAnsiTheme="minorEastAsia" w:eastAsiaTheme="minorEastAsia"/>
          <w:bCs/>
          <w:color w:val="202020"/>
          <w:sz w:val="24"/>
          <w:shd w:val="clear" w:color="auto" w:fill="FFFFFF"/>
        </w:rPr>
        <w:t>后置埋件、后植钢筋数量（分楼层汇总）</w:t>
      </w:r>
    </w:p>
    <w:tbl>
      <w:tblPr>
        <w:tblStyle w:val="22"/>
        <w:tblW w:w="8926" w:type="dxa"/>
        <w:tblInd w:w="-525" w:type="dxa"/>
        <w:tblLayout w:type="autofit"/>
        <w:tblCellMar>
          <w:top w:w="0" w:type="dxa"/>
          <w:left w:w="108" w:type="dxa"/>
          <w:bottom w:w="0" w:type="dxa"/>
          <w:right w:w="108" w:type="dxa"/>
        </w:tblCellMar>
      </w:tblPr>
      <w:tblGrid>
        <w:gridCol w:w="866"/>
        <w:gridCol w:w="992"/>
        <w:gridCol w:w="851"/>
        <w:gridCol w:w="850"/>
        <w:gridCol w:w="851"/>
        <w:gridCol w:w="850"/>
        <w:gridCol w:w="992"/>
        <w:gridCol w:w="709"/>
        <w:gridCol w:w="992"/>
        <w:gridCol w:w="973"/>
      </w:tblGrid>
      <w:tr>
        <w:tblPrEx>
          <w:tblCellMar>
            <w:top w:w="0" w:type="dxa"/>
            <w:left w:w="108" w:type="dxa"/>
            <w:bottom w:w="0" w:type="dxa"/>
            <w:right w:w="108" w:type="dxa"/>
          </w:tblCellMar>
        </w:tblPrEx>
        <w:trPr>
          <w:trHeight w:val="285"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7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楼层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型号</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25</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22</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18</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14</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10</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屋顶</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487</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816</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十楼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660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54</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96</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48</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816</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九楼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2228</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74</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178</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56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150</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1668</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20200</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八楼</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植筋数量</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1262</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74</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178</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56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150</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1668</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七楼</w:t>
            </w: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1262</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210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80</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180</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1668</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六楼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1262</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210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80</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180</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1668</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5楼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1262</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210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80</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180</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1668</w:t>
            </w:r>
          </w:p>
        </w:tc>
        <w:tc>
          <w:tcPr>
            <w:tcW w:w="9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四楼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2424</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64</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217</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22</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92</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36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1080</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5351</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三楼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810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104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58</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20</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1308</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156</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二楼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670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80</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47</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44</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34</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780</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2286</w:t>
            </w:r>
          </w:p>
        </w:tc>
      </w:tr>
      <w:tr>
        <w:tblPrEx>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12327</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606</w:t>
            </w:r>
          </w:p>
        </w:tc>
        <w:tc>
          <w:tcPr>
            <w:tcW w:w="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1510</w:t>
            </w:r>
          </w:p>
        </w:tc>
        <w:tc>
          <w:tcPr>
            <w:tcW w:w="8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466</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1038</w:t>
            </w:r>
          </w:p>
        </w:tc>
        <w:tc>
          <w:tcPr>
            <w:tcW w:w="7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154</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13140</w:t>
            </w:r>
          </w:p>
        </w:tc>
        <w:tc>
          <w:tcPr>
            <w:tcW w:w="9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27993</w:t>
            </w:r>
          </w:p>
        </w:tc>
      </w:tr>
    </w:tbl>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tbl>
      <w:tblPr>
        <w:tblStyle w:val="22"/>
        <w:tblpPr w:leftFromText="180" w:rightFromText="180" w:vertAnchor="text" w:horzAnchor="margin" w:tblpXSpec="center" w:tblpY="419"/>
        <w:tblW w:w="8207" w:type="dxa"/>
        <w:tblInd w:w="0" w:type="dxa"/>
        <w:tblLayout w:type="fixed"/>
        <w:tblCellMar>
          <w:top w:w="0" w:type="dxa"/>
          <w:left w:w="108" w:type="dxa"/>
          <w:bottom w:w="0" w:type="dxa"/>
          <w:right w:w="108" w:type="dxa"/>
        </w:tblCellMar>
      </w:tblPr>
      <w:tblGrid>
        <w:gridCol w:w="1101"/>
        <w:gridCol w:w="1534"/>
        <w:gridCol w:w="1984"/>
        <w:gridCol w:w="1794"/>
        <w:gridCol w:w="1794"/>
      </w:tblGrid>
      <w:tr>
        <w:tblPrEx>
          <w:tblCellMar>
            <w:top w:w="0" w:type="dxa"/>
            <w:left w:w="108" w:type="dxa"/>
            <w:bottom w:w="0" w:type="dxa"/>
            <w:right w:w="108" w:type="dxa"/>
          </w:tblCellMar>
        </w:tblPrEx>
        <w:trPr>
          <w:trHeight w:val="1620" w:hRule="atLeast"/>
        </w:trPr>
        <w:tc>
          <w:tcPr>
            <w:tcW w:w="1101"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检测内容</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取样数量（不低于</w:t>
            </w:r>
            <w:r>
              <w:rPr>
                <w:rFonts w:hint="eastAsia" w:asciiTheme="minorEastAsia" w:hAnsiTheme="minorEastAsia" w:eastAsiaTheme="minorEastAsia"/>
                <w:bCs/>
                <w:color w:val="202020"/>
                <w:sz w:val="24"/>
                <w:shd w:val="clear" w:color="auto" w:fill="FFFFFF"/>
              </w:rPr>
              <w:t>后置埋件、后植钢筋总数的1%</w:t>
            </w:r>
          </w:p>
        </w:tc>
        <w:tc>
          <w:tcPr>
            <w:tcW w:w="1794"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单价（元/点）</w:t>
            </w:r>
          </w:p>
        </w:tc>
      </w:tr>
      <w:tr>
        <w:tblPrEx>
          <w:tblCellMar>
            <w:top w:w="0" w:type="dxa"/>
            <w:left w:w="108" w:type="dxa"/>
            <w:bottom w:w="0" w:type="dxa"/>
            <w:right w:w="108" w:type="dxa"/>
          </w:tblCellMar>
        </w:tblPrEx>
        <w:trPr>
          <w:trHeight w:val="2189" w:hRule="atLeast"/>
        </w:trPr>
        <w:tc>
          <w:tcPr>
            <w:tcW w:w="1101"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后置埋件、后植钢筋</w:t>
            </w:r>
          </w:p>
        </w:tc>
        <w:tc>
          <w:tcPr>
            <w:tcW w:w="1984"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锚固承载力</w:t>
            </w: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约630点</w:t>
            </w:r>
          </w:p>
        </w:tc>
        <w:tc>
          <w:tcPr>
            <w:tcW w:w="1794" w:type="dxa"/>
            <w:tcBorders>
              <w:top w:val="nil"/>
              <w:left w:val="nil"/>
              <w:bottom w:val="single" w:color="auto" w:sz="4" w:space="0"/>
              <w:right w:val="single" w:color="auto" w:sz="4" w:space="0"/>
            </w:tcBorders>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2189" w:hRule="atLeast"/>
        </w:trPr>
        <w:tc>
          <w:tcPr>
            <w:tcW w:w="110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总价</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ascii="仿宋_GB2312" w:hAnsi="宋体" w:eastAsia="仿宋_GB2312" w:cs="宋体"/>
                <w:kern w:val="0"/>
                <w:szCs w:val="21"/>
              </w:rPr>
            </w:pP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794"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p>
        </w:tc>
      </w:tr>
    </w:tbl>
    <w:p>
      <w:pPr>
        <w:spacing w:line="360" w:lineRule="auto"/>
        <w:jc w:val="left"/>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p>
    <w:p>
      <w:pPr>
        <w:spacing w:line="360" w:lineRule="auto"/>
        <w:rPr>
          <w:rFonts w:ascii="宋体" w:hAnsi="宋体" w:cs="宋体"/>
          <w:sz w:val="24"/>
        </w:rPr>
      </w:pPr>
      <w:r>
        <w:rPr>
          <w:rFonts w:hint="eastAsia" w:ascii="宋体" w:hAnsi="宋体" w:cs="宋体"/>
          <w:sz w:val="24"/>
        </w:rPr>
        <w:t>日期：年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swiss"/>
    <w:pitch w:val="default"/>
    <w:sig w:usb0="00007A87" w:usb1="80000000" w:usb2="00000008"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3</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1D47"/>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2EC4"/>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67CF2"/>
    <w:rsid w:val="0037056B"/>
    <w:rsid w:val="00373989"/>
    <w:rsid w:val="003765D1"/>
    <w:rsid w:val="00377FB7"/>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B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6FC"/>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54988"/>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0B0C"/>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15D22"/>
    <w:rsid w:val="00C24FB7"/>
    <w:rsid w:val="00C25620"/>
    <w:rsid w:val="00C31DC0"/>
    <w:rsid w:val="00C3273B"/>
    <w:rsid w:val="00C37875"/>
    <w:rsid w:val="00C402EC"/>
    <w:rsid w:val="00C459CF"/>
    <w:rsid w:val="00C477E0"/>
    <w:rsid w:val="00C51E47"/>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15A37"/>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19CF688F"/>
    <w:rsid w:val="1E1F1D60"/>
    <w:rsid w:val="3F861F4F"/>
    <w:rsid w:val="5AFE4E00"/>
    <w:rsid w:val="6FEC046E"/>
    <w:rsid w:val="7A1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7"/>
    <w:qFormat/>
    <w:uiPriority w:val="99"/>
    <w:pPr>
      <w:shd w:val="solid" w:color="FFFFFF" w:fill="FFFFFF"/>
      <w:jc w:val="center"/>
    </w:pPr>
    <w:rPr>
      <w:rFonts w:ascii="宋体" w:hAnsi="宋体"/>
      <w:kern w:val="0"/>
      <w:sz w:val="84"/>
      <w:szCs w:val="72"/>
    </w:rPr>
  </w:style>
  <w:style w:type="paragraph" w:styleId="13">
    <w:name w:val="Date"/>
    <w:basedOn w:val="1"/>
    <w:next w:val="1"/>
    <w:link w:val="43"/>
    <w:uiPriority w:val="0"/>
    <w:rPr>
      <w:sz w:val="24"/>
      <w:szCs w:val="20"/>
    </w:rPr>
  </w:style>
  <w:style w:type="paragraph" w:styleId="14">
    <w:name w:val="Body Text Indent 2"/>
    <w:basedOn w:val="1"/>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Emphasis"/>
    <w:basedOn w:val="24"/>
    <w:qFormat/>
    <w:uiPriority w:val="20"/>
    <w:rPr>
      <w:i/>
      <w:iCs/>
    </w:rPr>
  </w:style>
  <w:style w:type="character" w:styleId="27">
    <w:name w:val="Hyperlink"/>
    <w:basedOn w:val="24"/>
    <w:uiPriority w:val="0"/>
    <w:rPr>
      <w:color w:val="0000FF"/>
      <w:u w:val="single"/>
    </w:rPr>
  </w:style>
  <w:style w:type="character" w:customStyle="1" w:styleId="28">
    <w:name w:val="标题 2 Char"/>
    <w:basedOn w:val="24"/>
    <w:link w:val="3"/>
    <w:uiPriority w:val="0"/>
    <w:rPr>
      <w:rFonts w:ascii="Helvetica" w:hAnsi="Helvetica" w:eastAsia="宋体"/>
      <w:b/>
      <w:color w:val="000000"/>
      <w:sz w:val="24"/>
      <w:lang w:val="en-US" w:eastAsia="zh-CN" w:bidi="ar-SA"/>
    </w:rPr>
  </w:style>
  <w:style w:type="character" w:customStyle="1" w:styleId="29">
    <w:name w:val="页眉 Char"/>
    <w:basedOn w:val="24"/>
    <w:link w:val="17"/>
    <w:qFormat/>
    <w:uiPriority w:val="0"/>
    <w:rPr>
      <w:rFonts w:eastAsia="宋体"/>
      <w:kern w:val="2"/>
      <w:sz w:val="18"/>
      <w:szCs w:val="18"/>
      <w:lang w:val="en-US" w:eastAsia="zh-CN" w:bidi="ar-SA"/>
    </w:rPr>
  </w:style>
  <w:style w:type="character" w:customStyle="1" w:styleId="30">
    <w:name w:val="页脚 Char"/>
    <w:basedOn w:val="24"/>
    <w:link w:val="16"/>
    <w:uiPriority w:val="0"/>
    <w:rPr>
      <w:rFonts w:eastAsia="宋体"/>
      <w:kern w:val="2"/>
      <w:sz w:val="18"/>
      <w:szCs w:val="18"/>
      <w:lang w:val="en-US" w:eastAsia="zh-CN" w:bidi="ar-SA"/>
    </w:rPr>
  </w:style>
  <w:style w:type="paragraph" w:customStyle="1" w:styleId="31">
    <w:name w:val="Char"/>
    <w:basedOn w:val="1"/>
    <w:uiPriority w:val="0"/>
    <w:rPr>
      <w:rFonts w:ascii="Tahoma" w:hAnsi="Tahoma"/>
      <w:sz w:val="24"/>
      <w:szCs w:val="20"/>
    </w:rPr>
  </w:style>
  <w:style w:type="paragraph" w:customStyle="1" w:styleId="32">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3">
    <w:name w:val="5号正文 Char"/>
    <w:basedOn w:val="24"/>
    <w:link w:val="34"/>
    <w:uiPriority w:val="0"/>
    <w:rPr>
      <w:rFonts w:ascii="楷体_GB2312" w:hAnsi="宋体" w:eastAsia="楷体_GB2312"/>
      <w:snapToGrid w:val="0"/>
      <w:sz w:val="24"/>
      <w:lang w:val="en-US" w:eastAsia="zh-CN" w:bidi="ar-SA"/>
    </w:rPr>
  </w:style>
  <w:style w:type="paragraph" w:customStyle="1" w:styleId="34">
    <w:name w:val="5号正文"/>
    <w:link w:val="33"/>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6">
    <w:name w:val="Char Char4"/>
    <w:basedOn w:val="24"/>
    <w:uiPriority w:val="0"/>
    <w:rPr>
      <w:rFonts w:eastAsia="宋体"/>
      <w:kern w:val="2"/>
      <w:sz w:val="18"/>
      <w:lang w:val="en-US" w:eastAsia="zh-CN"/>
    </w:rPr>
  </w:style>
  <w:style w:type="paragraph" w:customStyle="1" w:styleId="37">
    <w:name w:val="Char Char Char Char Char Char Char Char Char Char Char Char Char Char Char Char"/>
    <w:basedOn w:val="7"/>
    <w:uiPriority w:val="0"/>
    <w:pPr>
      <w:spacing w:line="360" w:lineRule="auto"/>
      <w:ind w:firstLine="200" w:firstLineChars="200"/>
    </w:pPr>
  </w:style>
  <w:style w:type="paragraph" w:customStyle="1" w:styleId="38">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9">
    <w:name w:val="附件标题-1"/>
    <w:basedOn w:val="1"/>
    <w:qFormat/>
    <w:uiPriority w:val="0"/>
    <w:pPr>
      <w:spacing w:beforeLines="50" w:afterLines="50"/>
      <w:jc w:val="center"/>
    </w:pPr>
    <w:rPr>
      <w:rFonts w:eastAsia="黑体"/>
      <w:sz w:val="32"/>
      <w:szCs w:val="20"/>
    </w:rPr>
  </w:style>
  <w:style w:type="paragraph" w:customStyle="1" w:styleId="40">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1">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2">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3">
    <w:name w:val="日期 Char"/>
    <w:link w:val="13"/>
    <w:uiPriority w:val="0"/>
    <w:rPr>
      <w:rFonts w:eastAsia="宋体"/>
      <w:kern w:val="2"/>
      <w:sz w:val="24"/>
      <w:lang w:val="en-US" w:eastAsia="zh-CN" w:bidi="ar-SA"/>
    </w:rPr>
  </w:style>
  <w:style w:type="paragraph" w:styleId="44">
    <w:name w:val="List Paragraph"/>
    <w:basedOn w:val="1"/>
    <w:qFormat/>
    <w:uiPriority w:val="34"/>
    <w:pPr>
      <w:ind w:firstLine="420" w:firstLineChars="200"/>
    </w:pPr>
  </w:style>
  <w:style w:type="paragraph" w:customStyle="1" w:styleId="45">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46">
    <w:name w:val="Char Char2"/>
    <w:basedOn w:val="1"/>
    <w:qFormat/>
    <w:uiPriority w:val="0"/>
    <w:rPr>
      <w:sz w:val="28"/>
      <w:szCs w:val="20"/>
    </w:rPr>
  </w:style>
  <w:style w:type="character" w:customStyle="1" w:styleId="47">
    <w:name w:val="纯文本 Char"/>
    <w:basedOn w:val="24"/>
    <w:link w:val="12"/>
    <w:qFormat/>
    <w:uiPriority w:val="99"/>
    <w:rPr>
      <w:rFonts w:ascii="宋体" w:hAnsi="宋体"/>
      <w:sz w:val="84"/>
      <w:szCs w:val="72"/>
      <w:shd w:val="solid" w:color="FFFFFF" w:fill="FFFFFF"/>
    </w:rPr>
  </w:style>
  <w:style w:type="character" w:customStyle="1" w:styleId="48">
    <w:name w:val="标题 1 Char"/>
    <w:link w:val="2"/>
    <w:qFormat/>
    <w:uiPriority w:val="0"/>
    <w:rPr>
      <w:rFonts w:eastAsia="仿宋_GB2312"/>
      <w:b/>
      <w:kern w:val="44"/>
      <w:sz w:val="44"/>
    </w:rPr>
  </w:style>
  <w:style w:type="paragraph" w:customStyle="1" w:styleId="49">
    <w:name w:val="_Style 28"/>
    <w:basedOn w:val="7"/>
    <w:qFormat/>
    <w:uiPriority w:val="0"/>
    <w:rPr>
      <w:rFonts w:ascii="Tahoma" w:hAnsi="Tahoma"/>
      <w:sz w:val="24"/>
    </w:rPr>
  </w:style>
  <w:style w:type="character" w:customStyle="1" w:styleId="50">
    <w:name w:val="正文缩进 Char"/>
    <w:link w:val="6"/>
    <w:locked/>
    <w:uiPriority w:val="0"/>
    <w:rPr>
      <w:kern w:val="2"/>
      <w:sz w:val="21"/>
    </w:rPr>
  </w:style>
  <w:style w:type="character" w:customStyle="1" w:styleId="51">
    <w:name w:val="HTML 预设格式 Char"/>
    <w:basedOn w:val="24"/>
    <w:link w:val="20"/>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93352-E045-424C-A64E-4C860AA442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427</Words>
  <Characters>2437</Characters>
  <Lines>20</Lines>
  <Paragraphs>5</Paragraphs>
  <TotalTime>30</TotalTime>
  <ScaleCrop>false</ScaleCrop>
  <LinksUpToDate>false</LinksUpToDate>
  <CharactersWithSpaces>2859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2020-03-30T08:16:00Z</dcterms:created>
  <dc:creator>User</dc:creator>
  <cp:lastModifiedBy>豆小瓣</cp:lastModifiedBy>
  <cp:lastPrinted>2018-09-19T07:34:00Z</cp:lastPrinted>
  <dcterms:modified xsi:type="dcterms:W3CDTF">2020-06-22T08:20:49Z</dcterms:modified>
  <dc:title>重庆医科大学第二附属医院江南医院工程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