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idowControl/>
        <w:shd w:val="clear" w:color="auto" w:fill="FFFFFF"/>
        <w:spacing w:line="450" w:lineRule="atLeast"/>
        <w:jc w:val="center"/>
        <w:textAlignment w:val="baseline"/>
        <w:rPr>
          <w:rFonts w:ascii="新宋体" w:hAnsi="新宋体" w:eastAsia="新宋体" w:cs="新宋体"/>
          <w:b/>
          <w:bCs/>
          <w:color w:val="000000" w:themeColor="text1"/>
          <w:kern w:val="0"/>
          <w:sz w:val="48"/>
          <w:szCs w:val="48"/>
        </w:rPr>
      </w:pPr>
      <w:r>
        <w:rPr>
          <w:rFonts w:hint="eastAsia" w:ascii="新宋体" w:hAnsi="新宋体" w:eastAsia="新宋体" w:cs="新宋体"/>
          <w:b/>
          <w:bCs/>
          <w:color w:val="000000" w:themeColor="text1"/>
          <w:kern w:val="0"/>
          <w:sz w:val="48"/>
          <w:szCs w:val="48"/>
        </w:rPr>
        <w:t>重医附二院七星岗学生宿舍公共卫生间</w:t>
      </w:r>
    </w:p>
    <w:p>
      <w:pPr>
        <w:widowControl/>
        <w:shd w:val="clear" w:color="auto" w:fill="FFFFFF"/>
        <w:spacing w:line="450" w:lineRule="atLeast"/>
        <w:jc w:val="center"/>
        <w:textAlignment w:val="baseline"/>
        <w:rPr>
          <w:rFonts w:ascii="新宋体" w:hAnsi="新宋体" w:eastAsia="新宋体" w:cs="新宋体"/>
          <w:b/>
          <w:bCs/>
          <w:color w:val="000000" w:themeColor="text1"/>
          <w:kern w:val="0"/>
          <w:sz w:val="48"/>
          <w:szCs w:val="48"/>
        </w:rPr>
      </w:pPr>
      <w:r>
        <w:rPr>
          <w:rFonts w:hint="eastAsia" w:ascii="新宋体" w:hAnsi="新宋体" w:eastAsia="新宋体" w:cs="新宋体"/>
          <w:b/>
          <w:bCs/>
          <w:color w:val="000000" w:themeColor="text1"/>
          <w:kern w:val="0"/>
          <w:sz w:val="48"/>
          <w:szCs w:val="48"/>
        </w:rPr>
        <w:t>改造工程</w:t>
      </w:r>
    </w:p>
    <w:p>
      <w:pPr>
        <w:pStyle w:val="2"/>
        <w:numPr>
          <w:ilvl w:val="2"/>
          <w:numId w:val="0"/>
        </w:numPr>
        <w:ind w:left="840"/>
        <w:rPr>
          <w:sz w:val="44"/>
          <w:szCs w:val="44"/>
        </w:rPr>
      </w:pPr>
    </w:p>
    <w:p/>
    <w:p>
      <w:pPr>
        <w:pStyle w:val="2"/>
        <w:numPr>
          <w:ilvl w:val="2"/>
          <w:numId w:val="0"/>
        </w:numPr>
      </w:pPr>
    </w:p>
    <w:p>
      <w:pPr>
        <w:pStyle w:val="2"/>
        <w:numPr>
          <w:ilvl w:val="2"/>
          <w:numId w:val="0"/>
        </w:numPr>
      </w:pPr>
    </w:p>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jc w:val="center"/>
        <w:rPr>
          <w:rFonts w:ascii="宋体" w:hAnsi="宋体" w:cs="宋体"/>
          <w:b/>
          <w:bCs/>
          <w:sz w:val="36"/>
        </w:rPr>
        <w:sectPr>
          <w:footerReference r:id="rId7" w:type="first"/>
          <w:headerReference r:id="rId3" w:type="default"/>
          <w:footerReference r:id="rId5" w:type="default"/>
          <w:headerReference r:id="rId4" w:type="even"/>
          <w:footerReference r:id="rId6" w:type="even"/>
          <w:type w:val="continuous"/>
          <w:pgSz w:w="11906" w:h="16838"/>
          <w:pgMar w:top="1247" w:right="1134" w:bottom="936" w:left="1418" w:header="680" w:footer="992" w:gutter="0"/>
          <w:pgNumType w:fmt="numberInDash" w:start="1"/>
          <w:cols w:space="720" w:num="1"/>
          <w:titlePg/>
          <w:docGrid w:linePitch="312" w:charSpace="0"/>
        </w:sectPr>
      </w:pPr>
      <w:r>
        <w:rPr>
          <w:rFonts w:hint="eastAsia" w:ascii="宋体" w:hAnsi="宋体" w:cs="宋体"/>
          <w:b/>
          <w:bCs/>
          <w:snapToGrid w:val="0"/>
          <w:sz w:val="36"/>
          <w:szCs w:val="36"/>
        </w:rPr>
        <w:t xml:space="preserve">    二〇二一年七月</w:t>
      </w:r>
      <w:r>
        <w:rPr>
          <w:rFonts w:hint="eastAsia" w:ascii="宋体" w:hAnsi="宋体" w:cs="宋体"/>
          <w:b/>
          <w:bCs/>
          <w:snapToGrid w:val="0"/>
          <w:sz w:val="36"/>
          <w:szCs w:val="36"/>
          <w:lang w:val="en-US" w:eastAsia="zh-CN"/>
        </w:rPr>
        <w:t>二十一</w:t>
      </w:r>
      <w:r>
        <w:rPr>
          <w:rFonts w:hint="eastAsia" w:ascii="宋体" w:hAnsi="宋体" w:cs="宋体"/>
          <w:b/>
          <w:bCs/>
          <w:snapToGrid w:val="0"/>
          <w:sz w:val="36"/>
          <w:szCs w:val="36"/>
        </w:rPr>
        <w:t>日</w:t>
      </w: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idowControl/>
              <w:shd w:val="clear" w:color="auto" w:fill="FFFFFF"/>
              <w:textAlignment w:val="baseline"/>
              <w:rPr>
                <w:rFonts w:ascii="宋体" w:hAnsi="宋体" w:cs="宋体"/>
                <w:snapToGrid w:val="0"/>
                <w:sz w:val="24"/>
              </w:rPr>
            </w:pPr>
            <w:r>
              <w:rPr>
                <w:rFonts w:hint="eastAsia" w:ascii="新宋体" w:hAnsi="新宋体" w:eastAsia="新宋体" w:cs="新宋体"/>
                <w:color w:val="000000" w:themeColor="text1"/>
                <w:kern w:val="0"/>
                <w:sz w:val="24"/>
              </w:rPr>
              <w:t>重医附二院七星岗学生宿舍公共卫生间改造工程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 xml:space="preserve">工程规模：建筑面积约110平方米 </w:t>
            </w:r>
          </w:p>
          <w:p>
            <w:pPr>
              <w:pStyle w:val="51"/>
              <w:spacing w:line="240" w:lineRule="auto"/>
              <w:ind w:firstLine="0"/>
              <w:jc w:val="left"/>
              <w:rPr>
                <w:rFonts w:ascii="宋体" w:eastAsia="宋体" w:cs="宋体"/>
                <w:szCs w:val="24"/>
              </w:rPr>
            </w:pPr>
            <w:r>
              <w:rPr>
                <w:rFonts w:hint="eastAsia" w:ascii="宋体" w:eastAsia="宋体" w:cs="宋体"/>
                <w:szCs w:val="24"/>
              </w:rPr>
              <w:t>工程地点：渝中区山城巷85号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施工范围及内容</w:t>
            </w:r>
          </w:p>
        </w:tc>
        <w:tc>
          <w:tcPr>
            <w:tcW w:w="6845" w:type="dxa"/>
            <w:vAlign w:val="center"/>
          </w:tcPr>
          <w:p>
            <w:pPr>
              <w:widowControl/>
              <w:jc w:val="left"/>
              <w:rPr>
                <w:rFonts w:ascii="宋体" w:hAnsi="宋体" w:eastAsia="新宋体" w:cs="宋体"/>
                <w:kern w:val="0"/>
                <w:sz w:val="24"/>
              </w:rPr>
            </w:pPr>
            <w:r>
              <w:rPr>
                <w:rFonts w:hint="eastAsia" w:ascii="新宋体" w:hAnsi="新宋体" w:eastAsia="新宋体" w:cs="新宋体"/>
                <w:bCs/>
                <w:kern w:val="0"/>
                <w:sz w:val="24"/>
              </w:rPr>
              <w:t>施工单位按医院要求、设计图进行装饰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本项目施工工期为合同签订后40日历天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质量要求</w:t>
            </w:r>
          </w:p>
        </w:tc>
        <w:tc>
          <w:tcPr>
            <w:tcW w:w="6845" w:type="dxa"/>
            <w:vAlign w:val="center"/>
          </w:tcPr>
          <w:p>
            <w:pPr>
              <w:widowControl/>
              <w:jc w:val="left"/>
              <w:rPr>
                <w:rFonts w:ascii="宋体" w:hAnsi="宋体" w:cs="宋体"/>
                <w:sz w:val="24"/>
              </w:rPr>
            </w:pPr>
            <w:r>
              <w:rPr>
                <w:rFonts w:hint="eastAsia" w:ascii="宋体" w:hAnsi="宋体" w:cs="宋体"/>
                <w:kern w:val="0"/>
                <w:sz w:val="24"/>
              </w:rPr>
              <w:t>需达到国家各相关部门现行规定要求，及满足医院使用要求。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ascii="宋体" w:eastAsia="宋体" w:cs="宋体"/>
                <w:szCs w:val="24"/>
              </w:rPr>
            </w:pPr>
            <w:r>
              <w:rPr>
                <w:rFonts w:hint="eastAsia" w:ascii="宋体" w:eastAsia="宋体" w:cs="宋体"/>
                <w:szCs w:val="24"/>
              </w:rPr>
              <w:t>2、具备房屋建筑工程总承包和建筑装修装饰工程贰级及以上资质</w:t>
            </w:r>
          </w:p>
          <w:p>
            <w:pPr>
              <w:pStyle w:val="51"/>
              <w:spacing w:line="240" w:lineRule="auto"/>
              <w:ind w:firstLine="0"/>
              <w:rPr>
                <w:rFonts w:ascii="宋体" w:eastAsia="宋体" w:cs="宋体"/>
              </w:rPr>
            </w:pPr>
            <w:r>
              <w:rPr>
                <w:rFonts w:hint="eastAsia" w:ascii="宋体" w:eastAsia="宋体" w:cs="宋体"/>
                <w:szCs w:val="24"/>
              </w:rPr>
              <w:t>3、</w:t>
            </w:r>
            <w:r>
              <w:rPr>
                <w:rFonts w:hint="eastAsia" w:ascii="宋体" w:eastAsia="宋体" w:cs="宋体"/>
              </w:rPr>
              <w:t>项目经理必须是竞选本单位人员，应具有建筑工程二级以及上注册建造师执业资格（含临时）</w:t>
            </w:r>
          </w:p>
          <w:p>
            <w:pPr>
              <w:pStyle w:val="51"/>
              <w:spacing w:line="240" w:lineRule="auto"/>
              <w:ind w:firstLine="0"/>
              <w:rPr>
                <w:rFonts w:ascii="宋体" w:eastAsia="宋体" w:cs="宋体"/>
              </w:rPr>
            </w:pPr>
            <w:r>
              <w:rPr>
                <w:rFonts w:hint="eastAsia" w:ascii="宋体" w:eastAsia="宋体" w:cs="宋体"/>
              </w:rPr>
              <w:t>4、施工主要管理人员：</w:t>
            </w:r>
          </w:p>
          <w:p>
            <w:pPr>
              <w:pStyle w:val="51"/>
              <w:spacing w:line="240" w:lineRule="auto"/>
              <w:ind w:firstLine="480" w:firstLineChars="200"/>
              <w:rPr>
                <w:rFonts w:ascii="宋体" w:eastAsia="宋体" w:cs="宋体"/>
                <w:szCs w:val="24"/>
              </w:rPr>
            </w:pPr>
            <w:r>
              <w:rPr>
                <w:rFonts w:hint="eastAsia" w:ascii="宋体" w:eastAsia="宋体" w:cs="宋体"/>
              </w:rPr>
              <w:t>持有效证件的质检员（质量员）不少于</w:t>
            </w:r>
            <w:r>
              <w:rPr>
                <w:rFonts w:hint="eastAsia" w:ascii="宋体" w:eastAsia="宋体" w:cs="宋体"/>
                <w:u w:val="single"/>
              </w:rPr>
              <w:t xml:space="preserve"> 1</w:t>
            </w:r>
            <w:r>
              <w:rPr>
                <w:rFonts w:hint="eastAsia" w:ascii="宋体" w:eastAsia="宋体" w:cs="宋体"/>
              </w:rPr>
              <w:t>人，安全员不少于</w:t>
            </w:r>
            <w:r>
              <w:rPr>
                <w:rFonts w:hint="eastAsia" w:ascii="宋体" w:eastAsia="宋体" w:cs="宋体"/>
                <w:u w:val="single"/>
              </w:rPr>
              <w:t xml:space="preserve"> 1</w:t>
            </w:r>
            <w:r>
              <w:rPr>
                <w:rFonts w:hint="eastAsia" w:ascii="宋体" w:eastAsia="宋体" w:cs="宋体"/>
              </w:rPr>
              <w:t>人，施工员不少于</w:t>
            </w:r>
            <w:r>
              <w:rPr>
                <w:rFonts w:hint="eastAsia" w:ascii="宋体" w:eastAsia="宋体" w:cs="宋体"/>
                <w:u w:val="single"/>
              </w:rPr>
              <w:t xml:space="preserve"> 1</w:t>
            </w:r>
            <w:r>
              <w:rPr>
                <w:rFonts w:hint="eastAsia" w:ascii="宋体" w:eastAsia="宋体" w:cs="宋体"/>
              </w:rPr>
              <w:t>人。并提供2021年1月～2021年5月为其缴纳的社保证明提供上述资料的复印件或扫描件。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55" w:type="dxa"/>
            <w:vAlign w:val="center"/>
          </w:tcPr>
          <w:p>
            <w:pPr>
              <w:pStyle w:val="51"/>
              <w:spacing w:line="240" w:lineRule="auto"/>
              <w:ind w:firstLine="0"/>
              <w:jc w:val="center"/>
              <w:rPr>
                <w:rFonts w:ascii="宋体" w:eastAsia="宋体" w:cs="宋体"/>
                <w:bCs/>
              </w:rPr>
            </w:pPr>
            <w:r>
              <w:rPr>
                <w:rFonts w:hint="eastAsia" w:ascii="宋体" w:eastAsia="宋体" w:cs="宋体"/>
                <w:bCs/>
              </w:rPr>
              <w:t>7</w:t>
            </w:r>
          </w:p>
        </w:tc>
        <w:tc>
          <w:tcPr>
            <w:tcW w:w="1948" w:type="dxa"/>
            <w:vAlign w:val="center"/>
          </w:tcPr>
          <w:p>
            <w:pPr>
              <w:pStyle w:val="51"/>
              <w:spacing w:line="240" w:lineRule="auto"/>
              <w:ind w:firstLine="0"/>
              <w:jc w:val="center"/>
              <w:rPr>
                <w:rFonts w:ascii="宋体" w:eastAsia="宋体" w:cs="宋体"/>
                <w:bCs/>
                <w:szCs w:val="24"/>
              </w:rPr>
            </w:pPr>
            <w:r>
              <w:rPr>
                <w:rFonts w:hint="eastAsia" w:ascii="宋体" w:eastAsia="宋体" w:cs="宋体"/>
                <w:bCs/>
                <w:szCs w:val="24"/>
              </w:rPr>
              <w:t>工程限价</w:t>
            </w:r>
          </w:p>
        </w:tc>
        <w:tc>
          <w:tcPr>
            <w:tcW w:w="6845" w:type="dxa"/>
            <w:vAlign w:val="center"/>
          </w:tcPr>
          <w:p>
            <w:pPr>
              <w:rPr>
                <w:bCs/>
                <w:sz w:val="24"/>
              </w:rPr>
            </w:pPr>
            <w:r>
              <w:rPr>
                <w:rFonts w:hint="eastAsia" w:ascii="宋体" w:hAnsi="宋体"/>
                <w:bCs/>
                <w:sz w:val="24"/>
              </w:rPr>
              <w:t>本工程最高限价</w:t>
            </w:r>
            <w:r>
              <w:rPr>
                <w:rFonts w:hint="eastAsia" w:ascii="宋体" w:hAnsi="宋体"/>
                <w:bCs/>
                <w:sz w:val="24"/>
                <w:lang w:val="en-US" w:eastAsia="zh-CN"/>
              </w:rPr>
              <w:t>250000</w:t>
            </w:r>
            <w:r>
              <w:rPr>
                <w:rFonts w:hint="eastAsia" w:ascii="宋体" w:hAnsi="宋体"/>
                <w:bCs/>
                <w:sz w:val="24"/>
              </w:rPr>
              <w:t>元，（无二次报价）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8</w:t>
            </w:r>
          </w:p>
        </w:tc>
        <w:tc>
          <w:tcPr>
            <w:tcW w:w="1948" w:type="dxa"/>
            <w:vAlign w:val="center"/>
          </w:tcPr>
          <w:p>
            <w:pPr>
              <w:widowControl/>
              <w:jc w:val="center"/>
              <w:rPr>
                <w:rFonts w:ascii="宋体" w:hAnsi="宋体" w:cs="宋体"/>
                <w:sz w:val="24"/>
              </w:rPr>
            </w:pPr>
            <w:r>
              <w:rPr>
                <w:rFonts w:hint="eastAsia" w:ascii="宋体" w:hAnsi="宋体" w:cs="宋体"/>
                <w:bCs/>
                <w:kern w:val="0"/>
                <w:sz w:val="24"/>
              </w:rPr>
              <w:t>支付方式</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本项目无工程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9</w:t>
            </w:r>
          </w:p>
        </w:tc>
        <w:tc>
          <w:tcPr>
            <w:tcW w:w="1948" w:type="dxa"/>
            <w:vAlign w:val="center"/>
          </w:tcPr>
          <w:p>
            <w:pPr>
              <w:pStyle w:val="51"/>
              <w:spacing w:line="240" w:lineRule="auto"/>
              <w:ind w:firstLine="0"/>
              <w:jc w:val="center"/>
              <w:rPr>
                <w:rFonts w:ascii="宋体" w:eastAsia="宋体" w:cs="宋体"/>
                <w:bCs/>
                <w:szCs w:val="24"/>
              </w:rPr>
            </w:pPr>
            <w:r>
              <w:rPr>
                <w:rFonts w:hint="eastAsia" w:ascii="宋体" w:eastAsia="宋体" w:cs="宋体"/>
                <w:szCs w:val="21"/>
              </w:rPr>
              <w:t>竞选报价</w:t>
            </w:r>
          </w:p>
        </w:tc>
        <w:tc>
          <w:tcPr>
            <w:tcW w:w="6845" w:type="dxa"/>
            <w:vAlign w:val="center"/>
          </w:tcPr>
          <w:p>
            <w:pPr>
              <w:snapToGrid w:val="0"/>
              <w:spacing w:line="440" w:lineRule="exact"/>
              <w:ind w:firstLine="480" w:firstLineChars="200"/>
              <w:rPr>
                <w:rFonts w:ascii="宋体" w:hAnsi="宋体" w:cs="宋体"/>
                <w:kern w:val="0"/>
                <w:sz w:val="24"/>
              </w:rPr>
            </w:pPr>
            <w:r>
              <w:rPr>
                <w:rFonts w:hint="eastAsia" w:ascii="宋体" w:hAnsi="宋体" w:cs="宋体"/>
                <w:kern w:val="0"/>
                <w:sz w:val="24"/>
              </w:rPr>
              <w:t>1、工程计价方式：本工程采用工程量清单计价。</w:t>
            </w:r>
          </w:p>
          <w:p>
            <w:pPr>
              <w:numPr>
                <w:ilvl w:val="0"/>
                <w:numId w:val="3"/>
              </w:numPr>
              <w:snapToGrid w:val="0"/>
              <w:spacing w:line="440" w:lineRule="exact"/>
              <w:ind w:firstLine="480" w:firstLineChars="200"/>
              <w:rPr>
                <w:rFonts w:ascii="宋体" w:hAnsi="宋体" w:cs="宋体"/>
                <w:kern w:val="0"/>
                <w:sz w:val="24"/>
              </w:rPr>
            </w:pPr>
            <w:r>
              <w:rPr>
                <w:rFonts w:hint="eastAsia" w:ascii="宋体" w:hAnsi="宋体" w:cs="宋体"/>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hint="eastAsia" w:ascii="宋体" w:hAnsi="宋体" w:cs="宋体"/>
                <w:kern w:val="0"/>
                <w:sz w:val="24"/>
              </w:rPr>
              <w:t>、</w:t>
            </w:r>
            <w:r>
              <w:rPr>
                <w:rFonts w:ascii="宋体" w:hAnsi="宋体" w:cs="宋体"/>
                <w:kern w:val="0"/>
                <w:sz w:val="24"/>
              </w:rPr>
              <w:t>企业</w:t>
            </w:r>
            <w:r>
              <w:rPr>
                <w:rFonts w:hint="eastAsia" w:ascii="宋体" w:hAnsi="宋体" w:cs="宋体"/>
                <w:kern w:val="0"/>
                <w:sz w:val="24"/>
              </w:rPr>
              <w:t>管理费、利润、风险费等除措施费、规费及税金外的所有费用。中标后招标人不再对综合单价进行调整。</w:t>
            </w:r>
          </w:p>
          <w:p>
            <w:pPr>
              <w:numPr>
                <w:ilvl w:val="0"/>
                <w:numId w:val="3"/>
              </w:numPr>
              <w:snapToGrid w:val="0"/>
              <w:spacing w:line="440" w:lineRule="exact"/>
              <w:ind w:firstLine="420"/>
              <w:rPr>
                <w:rFonts w:ascii="宋体" w:hAnsi="宋体" w:cs="宋体"/>
                <w:kern w:val="0"/>
                <w:sz w:val="24"/>
              </w:rPr>
            </w:pPr>
            <w:r>
              <w:rPr>
                <w:rFonts w:hint="eastAsia" w:ascii="宋体" w:hAnsi="宋体" w:cs="宋体"/>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4、措施项目费清单包括施工组织措施项目清单和施工技术措施项目清单两部分。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4.1施工组织措施项目清单：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4.1.2安全文明施工费根据发包人提供的暂定金额计入施工组织措施清单中。</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4.2施工技术措施项目清单：</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4.2.1技术措施清单中以项计列的项目，由竞选人根据现场踏勘情况及本工程的实际情况结合自身施工组织设计，以项为单位自行报价，包干使用，结算时不再调整。</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目特征、工程内容、工程量及计量单位，否则视为对招标文件不作实质性响应，其竞选文件按否决投标处理。中标后不论何种因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及相关配套文件规定的计量规则及工程量清单说明按实计量。</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4.2.3技术措施清单中以暂估价计列的项目（如果有），中标后，由承包人提出实施方案，经发包人批准后，按批准的实施方案及现场签证的工程内容按实结算。</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5、分部分项工程量清单项、量、价</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及相关配套文件等相关规范约定的计量规则计算的实际合格工程量。</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hint="eastAsia" w:ascii="宋体" w:hAnsi="宋体" w:cs="宋体"/>
                <w:kern w:val="0"/>
                <w:sz w:val="24"/>
              </w:rPr>
              <w:t>2018、《重庆市绿色建筑工程计价定额》 CQLSJZDE</w:t>
            </w:r>
            <w:r>
              <w:rPr>
                <w:rFonts w:ascii="宋体" w:hAnsi="宋体" w:cs="宋体"/>
                <w:kern w:val="0"/>
                <w:sz w:val="24"/>
              </w:rPr>
              <w:t>-</w:t>
            </w:r>
            <w:r>
              <w:rPr>
                <w:rFonts w:hint="eastAsia" w:ascii="宋体" w:hAnsi="宋体" w:cs="宋体"/>
                <w:kern w:val="0"/>
                <w:sz w:val="24"/>
              </w:rPr>
              <w:t>201</w:t>
            </w:r>
            <w:r>
              <w:rPr>
                <w:rFonts w:ascii="宋体" w:hAnsi="宋体" w:cs="宋体"/>
                <w:kern w:val="0"/>
                <w:sz w:val="24"/>
              </w:rPr>
              <w:t>8</w:t>
            </w:r>
            <w:r>
              <w:rPr>
                <w:rFonts w:hint="eastAsia" w:ascii="宋体" w:hAnsi="宋体" w:cs="宋体"/>
                <w:kern w:val="0"/>
                <w:sz w:val="24"/>
              </w:rPr>
              <w:t>、《重庆市建设工程</w:t>
            </w:r>
            <w:r>
              <w:rPr>
                <w:rFonts w:ascii="宋体" w:hAnsi="宋体" w:cs="宋体"/>
                <w:kern w:val="0"/>
                <w:sz w:val="24"/>
              </w:rPr>
              <w:t>费用定额</w:t>
            </w:r>
            <w:r>
              <w:rPr>
                <w:rFonts w:hint="eastAsia" w:ascii="宋体" w:hAnsi="宋体" w:cs="宋体"/>
                <w:kern w:val="0"/>
                <w:sz w:val="24"/>
              </w:rPr>
              <w:t>》 CQ</w:t>
            </w:r>
            <w:r>
              <w:rPr>
                <w:rFonts w:ascii="宋体" w:hAnsi="宋体" w:cs="宋体"/>
                <w:kern w:val="0"/>
                <w:sz w:val="24"/>
              </w:rPr>
              <w:t>FYDE-</w:t>
            </w:r>
            <w:r>
              <w:rPr>
                <w:rFonts w:hint="eastAsia" w:ascii="宋体" w:hAnsi="宋体" w:cs="宋体"/>
                <w:kern w:val="0"/>
                <w:sz w:val="24"/>
              </w:rPr>
              <w:t>2018、《重庆市建设工程施工机械台班定额》CQJXDE</w:t>
            </w:r>
            <w:r>
              <w:rPr>
                <w:rFonts w:ascii="宋体" w:hAnsi="宋体" w:cs="宋体"/>
                <w:kern w:val="0"/>
                <w:sz w:val="24"/>
              </w:rPr>
              <w:t>-</w:t>
            </w:r>
            <w:r>
              <w:rPr>
                <w:rFonts w:hint="eastAsia" w:ascii="宋体" w:hAnsi="宋体" w:cs="宋体"/>
                <w:kern w:val="0"/>
                <w:sz w:val="24"/>
              </w:rPr>
              <w:t>2018、《重庆市建设工程施工仪器仪表台班定额》CQYQYBDE-2018、《重庆市建设工程混凝土及砂浆配合比表》CQPHBB-2018、</w:t>
            </w:r>
            <w:r>
              <w:rPr>
                <w:rFonts w:hint="eastAsia" w:ascii="宋体" w:hAnsi="宋体"/>
                <w:sz w:val="24"/>
              </w:rPr>
              <w:t>《重庆市住房和城乡建设委员会关于适用增值税新税率调整建设工程计价依据的通知》(渝建〔2019〕143号)</w:t>
            </w:r>
            <w:r>
              <w:rPr>
                <w:rFonts w:hint="eastAsia" w:ascii="宋体" w:hAnsi="宋体" w:cs="宋体"/>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5.5竞选人只有严格按发包人提供的《工程量清单》和本招标文件中提供的《工程量清单报价表》格式内所有项目进行报价，不得出现漏项或增项，否则视为对招标文件不作实质性响应，其竞选文件按否决投标处理。报价空白或报价为零，则视为该子项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pPr>
              <w:snapToGrid w:val="0"/>
              <w:spacing w:line="440" w:lineRule="exact"/>
              <w:ind w:firstLine="480" w:firstLineChars="200"/>
              <w:rPr>
                <w:rFonts w:ascii="宋体" w:hAnsi="宋体" w:cs="宋体"/>
                <w:kern w:val="0"/>
                <w:sz w:val="24"/>
              </w:rPr>
            </w:pPr>
            <w:r>
              <w:rPr>
                <w:rFonts w:ascii="宋体" w:hAnsi="宋体"/>
                <w:sz w:val="24"/>
              </w:rPr>
              <w:t>6</w:t>
            </w:r>
            <w:r>
              <w:rPr>
                <w:rFonts w:hint="eastAsia" w:ascii="宋体" w:hAnsi="宋体" w:cs="宋体"/>
                <w:sz w:val="24"/>
              </w:rPr>
              <w:t>、安全文明施工费、竣工档案编制费：</w:t>
            </w:r>
          </w:p>
          <w:p>
            <w:pPr>
              <w:snapToGrid w:val="0"/>
              <w:spacing w:line="440" w:lineRule="exact"/>
              <w:ind w:firstLine="480" w:firstLineChars="200"/>
              <w:rPr>
                <w:rFonts w:ascii="宋体" w:hAnsi="宋体" w:cs="宋体"/>
                <w:kern w:val="0"/>
                <w:sz w:val="24"/>
              </w:rPr>
            </w:pPr>
            <w:r>
              <w:rPr>
                <w:rFonts w:ascii="宋体" w:hAnsi="宋体"/>
                <w:sz w:val="24"/>
              </w:rPr>
              <w:t>6.1</w:t>
            </w:r>
            <w:r>
              <w:rPr>
                <w:rFonts w:hint="eastAsia" w:ascii="宋体" w:hAnsi="宋体" w:cs="宋体"/>
                <w:sz w:val="24"/>
              </w:rPr>
              <w:t>安全文明施工费：</w:t>
            </w:r>
            <w:r>
              <w:rPr>
                <w:rFonts w:hint="eastAsia" w:ascii="宋体" w:hAnsi="宋体" w:cs="宋体"/>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hint="eastAsia" w:ascii="宋体" w:hAnsi="宋体" w:cs="宋体"/>
                <w:b/>
                <w:sz w:val="24"/>
              </w:rPr>
              <w:t>。</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7、材料采购及报价</w:t>
            </w:r>
          </w:p>
          <w:p>
            <w:pPr>
              <w:snapToGrid w:val="0"/>
              <w:spacing w:line="440" w:lineRule="exact"/>
              <w:ind w:firstLine="480" w:firstLineChars="200"/>
              <w:rPr>
                <w:rFonts w:ascii="宋体" w:cs="宋体"/>
              </w:rPr>
            </w:pPr>
            <w:r>
              <w:rPr>
                <w:rFonts w:hint="eastAsia" w:ascii="宋体" w:hAnsi="宋体" w:cs="宋体"/>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有权按下表中约定的该材料品牌中指定一种供承包人使用，发包人不因更换材料品牌而调整材料价格及相关费用；</w:t>
            </w:r>
            <w:r>
              <w:rPr>
                <w:rFonts w:hint="eastAsia" w:ascii="宋体" w:cs="宋体"/>
              </w:rPr>
              <w:t>增减变更所有材料必须经过重医附二院认质核价后方可在施工中使用。所有材料均为工地到岸价，已包含材料价格、材料运输费、上下车费和转运费，采保费等所有费用。</w:t>
            </w:r>
          </w:p>
          <w:tbl>
            <w:tblPr>
              <w:tblStyle w:val="22"/>
              <w:tblpPr w:leftFromText="180" w:rightFromText="180" w:vertAnchor="text" w:horzAnchor="page" w:tblpXSpec="center" w:tblpY="283"/>
              <w:tblOverlap w:val="never"/>
              <w:tblW w:w="6494" w:type="dxa"/>
              <w:tblInd w:w="0" w:type="dxa"/>
              <w:tblLayout w:type="fixed"/>
              <w:tblCellMar>
                <w:top w:w="0" w:type="dxa"/>
                <w:left w:w="108" w:type="dxa"/>
                <w:bottom w:w="0" w:type="dxa"/>
                <w:right w:w="108" w:type="dxa"/>
              </w:tblCellMar>
            </w:tblPr>
            <w:tblGrid>
              <w:gridCol w:w="937"/>
              <w:gridCol w:w="1659"/>
              <w:gridCol w:w="3898"/>
            </w:tblGrid>
            <w:tr>
              <w:tblPrEx>
                <w:tblCellMar>
                  <w:top w:w="0" w:type="dxa"/>
                  <w:left w:w="108" w:type="dxa"/>
                  <w:bottom w:w="0" w:type="dxa"/>
                  <w:right w:w="108" w:type="dxa"/>
                </w:tblCellMar>
              </w:tblPrEx>
              <w:trPr>
                <w:trHeight w:val="416" w:hRule="atLeast"/>
              </w:trPr>
              <w:tc>
                <w:tcPr>
                  <w:tcW w:w="93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3"/>
                    <w:jc w:val="center"/>
                    <w:rPr>
                      <w:rFonts w:ascii="宋体" w:hAnsi="宋体" w:cs="宋体"/>
                      <w:kern w:val="0"/>
                      <w:sz w:val="24"/>
                    </w:rPr>
                  </w:pPr>
                  <w:r>
                    <w:rPr>
                      <w:rFonts w:hint="eastAsia" w:ascii="宋体" w:hAnsi="宋体" w:cs="宋体"/>
                      <w:kern w:val="0"/>
                      <w:szCs w:val="21"/>
                      <w:lang w:bidi="ar"/>
                    </w:rPr>
                    <w:t>序号</w:t>
                  </w:r>
                </w:p>
              </w:tc>
              <w:tc>
                <w:tcPr>
                  <w:tcW w:w="1659" w:type="dxa"/>
                  <w:tcBorders>
                    <w:top w:val="single" w:color="auto" w:sz="4" w:space="0"/>
                    <w:left w:val="nil"/>
                    <w:bottom w:val="single" w:color="auto" w:sz="4" w:space="0"/>
                    <w:right w:val="single" w:color="auto" w:sz="4" w:space="0"/>
                  </w:tcBorders>
                </w:tcPr>
                <w:p>
                  <w:pPr>
                    <w:autoSpaceDE w:val="0"/>
                    <w:autoSpaceDN w:val="0"/>
                    <w:adjustRightInd w:val="0"/>
                    <w:spacing w:before="73"/>
                    <w:jc w:val="center"/>
                    <w:rPr>
                      <w:rFonts w:ascii="宋体" w:hAnsi="宋体" w:cs="宋体"/>
                      <w:kern w:val="0"/>
                      <w:sz w:val="24"/>
                    </w:rPr>
                  </w:pPr>
                  <w:r>
                    <w:rPr>
                      <w:rFonts w:hint="eastAsia" w:ascii="宋体" w:hAnsi="宋体" w:cs="宋体"/>
                      <w:kern w:val="0"/>
                      <w:szCs w:val="21"/>
                      <w:lang w:bidi="ar"/>
                    </w:rPr>
                    <w:t>材料名称</w:t>
                  </w:r>
                </w:p>
              </w:tc>
              <w:tc>
                <w:tcPr>
                  <w:tcW w:w="3898" w:type="dxa"/>
                  <w:tcBorders>
                    <w:top w:val="single" w:color="auto" w:sz="4" w:space="0"/>
                    <w:left w:val="nil"/>
                    <w:bottom w:val="single" w:color="auto" w:sz="4" w:space="0"/>
                    <w:right w:val="single" w:color="auto" w:sz="4" w:space="0"/>
                  </w:tcBorders>
                </w:tcPr>
                <w:p>
                  <w:pPr>
                    <w:autoSpaceDE w:val="0"/>
                    <w:autoSpaceDN w:val="0"/>
                    <w:adjustRightInd w:val="0"/>
                    <w:spacing w:before="73"/>
                    <w:jc w:val="center"/>
                    <w:rPr>
                      <w:rFonts w:ascii="宋体" w:hAnsi="宋体" w:cs="宋体"/>
                      <w:kern w:val="0"/>
                      <w:sz w:val="24"/>
                    </w:rPr>
                  </w:pPr>
                  <w:r>
                    <w:rPr>
                      <w:rFonts w:hint="eastAsia" w:ascii="宋体" w:hAnsi="宋体" w:cs="宋体"/>
                      <w:kern w:val="0"/>
                      <w:szCs w:val="21"/>
                      <w:lang w:bidi="ar"/>
                    </w:rPr>
                    <w:t>品牌（厂家）</w:t>
                  </w:r>
                </w:p>
              </w:tc>
            </w:tr>
            <w:tr>
              <w:tblPrEx>
                <w:tblCellMar>
                  <w:top w:w="0" w:type="dxa"/>
                  <w:left w:w="108" w:type="dxa"/>
                  <w:bottom w:w="0" w:type="dxa"/>
                  <w:right w:w="108" w:type="dxa"/>
                </w:tblCellMar>
              </w:tblPrEx>
              <w:trPr>
                <w:trHeight w:val="401"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1</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铝扣板</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依诺</w:t>
                  </w:r>
                </w:p>
              </w:tc>
            </w:tr>
            <w:tr>
              <w:tblPrEx>
                <w:tblCellMar>
                  <w:top w:w="0" w:type="dxa"/>
                  <w:left w:w="108" w:type="dxa"/>
                  <w:bottom w:w="0" w:type="dxa"/>
                  <w:right w:w="108" w:type="dxa"/>
                </w:tblCellMar>
              </w:tblPrEx>
              <w:trPr>
                <w:trHeight w:val="420"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2</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木工板</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新象，新皓，距象，三峡龙</w:t>
                  </w:r>
                </w:p>
              </w:tc>
            </w:tr>
            <w:tr>
              <w:tblPrEx>
                <w:tblCellMar>
                  <w:top w:w="0" w:type="dxa"/>
                  <w:left w:w="108" w:type="dxa"/>
                  <w:bottom w:w="0" w:type="dxa"/>
                  <w:right w:w="108" w:type="dxa"/>
                </w:tblCellMar>
              </w:tblPrEx>
              <w:trPr>
                <w:trHeight w:val="413"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3</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乳胶漆</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立邦，长颈鹿，大宝，宏漆</w:t>
                  </w:r>
                </w:p>
              </w:tc>
            </w:tr>
            <w:tr>
              <w:tblPrEx>
                <w:tblCellMar>
                  <w:top w:w="0" w:type="dxa"/>
                  <w:left w:w="108" w:type="dxa"/>
                  <w:bottom w:w="0" w:type="dxa"/>
                  <w:right w:w="108" w:type="dxa"/>
                </w:tblCellMar>
              </w:tblPrEx>
              <w:trPr>
                <w:trHeight w:val="419"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4</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腻子胶水</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兴渝，万吉，德和，宏漆</w:t>
                  </w:r>
                </w:p>
              </w:tc>
            </w:tr>
            <w:tr>
              <w:tblPrEx>
                <w:tblCellMar>
                  <w:top w:w="0" w:type="dxa"/>
                  <w:left w:w="108" w:type="dxa"/>
                  <w:bottom w:w="0" w:type="dxa"/>
                  <w:right w:w="108" w:type="dxa"/>
                </w:tblCellMar>
              </w:tblPrEx>
              <w:trPr>
                <w:trHeight w:val="425"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5</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电线/电缆</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鸽牌，泰山，渝丰，飞鸽</w:t>
                  </w:r>
                </w:p>
              </w:tc>
            </w:tr>
            <w:tr>
              <w:tblPrEx>
                <w:tblCellMar>
                  <w:top w:w="0" w:type="dxa"/>
                  <w:left w:w="108" w:type="dxa"/>
                  <w:bottom w:w="0" w:type="dxa"/>
                  <w:right w:w="108" w:type="dxa"/>
                </w:tblCellMar>
              </w:tblPrEx>
              <w:trPr>
                <w:trHeight w:val="416"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6</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线管</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得亿，联塑，金牛，顾地</w:t>
                  </w:r>
                </w:p>
              </w:tc>
            </w:tr>
            <w:tr>
              <w:tblPrEx>
                <w:tblCellMar>
                  <w:top w:w="0" w:type="dxa"/>
                  <w:left w:w="108" w:type="dxa"/>
                  <w:bottom w:w="0" w:type="dxa"/>
                  <w:right w:w="108" w:type="dxa"/>
                </w:tblCellMar>
              </w:tblPrEx>
              <w:trPr>
                <w:trHeight w:val="408"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7</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地砖、墙砖</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新南悦，大周，欧诺蒙妮，天际源</w:t>
                  </w:r>
                </w:p>
              </w:tc>
            </w:tr>
            <w:tr>
              <w:tblPrEx>
                <w:tblCellMar>
                  <w:top w:w="0" w:type="dxa"/>
                  <w:left w:w="108" w:type="dxa"/>
                  <w:bottom w:w="0" w:type="dxa"/>
                  <w:right w:w="108" w:type="dxa"/>
                </w:tblCellMar>
              </w:tblPrEx>
              <w:trPr>
                <w:trHeight w:val="414"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8</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水泥</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拉法基，小南海，富皇，红狮</w:t>
                  </w:r>
                </w:p>
              </w:tc>
            </w:tr>
            <w:tr>
              <w:tblPrEx>
                <w:tblCellMar>
                  <w:top w:w="0" w:type="dxa"/>
                  <w:left w:w="108" w:type="dxa"/>
                  <w:bottom w:w="0" w:type="dxa"/>
                  <w:right w:w="108" w:type="dxa"/>
                </w:tblCellMar>
              </w:tblPrEx>
              <w:trPr>
                <w:trHeight w:val="420"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9</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洁具</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四维、惠达、恒洁、</w:t>
                  </w:r>
                </w:p>
              </w:tc>
            </w:tr>
            <w:tr>
              <w:tblPrEx>
                <w:tblCellMar>
                  <w:top w:w="0" w:type="dxa"/>
                  <w:left w:w="108" w:type="dxa"/>
                  <w:bottom w:w="0" w:type="dxa"/>
                  <w:right w:w="108" w:type="dxa"/>
                </w:tblCellMar>
              </w:tblPrEx>
              <w:trPr>
                <w:trHeight w:val="365" w:hRule="atLeast"/>
              </w:trPr>
              <w:tc>
                <w:tcPr>
                  <w:tcW w:w="937"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10</w:t>
                  </w:r>
                </w:p>
              </w:tc>
              <w:tc>
                <w:tcPr>
                  <w:tcW w:w="1659" w:type="dxa"/>
                  <w:tcBorders>
                    <w:top w:val="single" w:color="auto" w:sz="4" w:space="0"/>
                    <w:left w:val="single" w:color="auto" w:sz="4" w:space="0"/>
                    <w:bottom w:val="single" w:color="auto" w:sz="4" w:space="0"/>
                    <w:right w:val="single" w:color="auto" w:sz="4" w:space="0"/>
                  </w:tcBorders>
                </w:tcPr>
                <w:p>
                  <w:pPr>
                    <w:jc w:val="left"/>
                    <w:rPr>
                      <w:rFonts w:ascii="宋体" w:hAnsi="宋体" w:cs="宋体"/>
                      <w:b/>
                      <w:kern w:val="0"/>
                      <w:sz w:val="24"/>
                      <w:highlight w:val="green"/>
                    </w:rPr>
                  </w:pPr>
                  <w:r>
                    <w:rPr>
                      <w:rFonts w:hint="eastAsia"/>
                    </w:rPr>
                    <w:t>吸顶灯</w:t>
                  </w:r>
                </w:p>
              </w:tc>
              <w:tc>
                <w:tcPr>
                  <w:tcW w:w="3898" w:type="dxa"/>
                  <w:tcBorders>
                    <w:top w:val="single" w:color="auto" w:sz="4" w:space="0"/>
                    <w:left w:val="single" w:color="auto" w:sz="4" w:space="0"/>
                    <w:bottom w:val="single" w:color="auto" w:sz="4" w:space="0"/>
                    <w:right w:val="single" w:color="auto" w:sz="4" w:space="0"/>
                  </w:tcBorders>
                </w:tcPr>
                <w:p>
                  <w:pPr>
                    <w:rPr>
                      <w:rFonts w:ascii="宋体" w:hAnsi="宋体" w:cs="宋体"/>
                      <w:b/>
                      <w:kern w:val="0"/>
                      <w:sz w:val="24"/>
                      <w:highlight w:val="green"/>
                    </w:rPr>
                  </w:pPr>
                  <w:r>
                    <w:rPr>
                      <w:rFonts w:hint="eastAsia"/>
                    </w:rPr>
                    <w:t>TCL、星辉、佛山、美的</w:t>
                  </w:r>
                </w:p>
              </w:tc>
            </w:tr>
            <w:tr>
              <w:tblPrEx>
                <w:tblCellMar>
                  <w:top w:w="0" w:type="dxa"/>
                  <w:left w:w="108" w:type="dxa"/>
                  <w:bottom w:w="0" w:type="dxa"/>
                  <w:right w:w="108" w:type="dxa"/>
                </w:tblCellMar>
              </w:tblPrEx>
              <w:trPr>
                <w:trHeight w:val="267" w:hRule="atLeast"/>
              </w:trPr>
              <w:tc>
                <w:tcPr>
                  <w:tcW w:w="937" w:type="dxa"/>
                  <w:tcBorders>
                    <w:top w:val="single" w:color="auto" w:sz="4" w:space="0"/>
                    <w:left w:val="single" w:color="auto" w:sz="4" w:space="0"/>
                    <w:bottom w:val="single" w:color="auto" w:sz="4" w:space="0"/>
                    <w:right w:val="single" w:color="auto" w:sz="4" w:space="0"/>
                  </w:tcBorders>
                </w:tcPr>
                <w:p>
                  <w:r>
                    <w:rPr>
                      <w:rFonts w:hint="eastAsia"/>
                      <w:szCs w:val="21"/>
                    </w:rPr>
                    <w:t>13</w:t>
                  </w:r>
                </w:p>
              </w:tc>
              <w:tc>
                <w:tcPr>
                  <w:tcW w:w="1659" w:type="dxa"/>
                  <w:tcBorders>
                    <w:top w:val="single" w:color="auto" w:sz="4" w:space="0"/>
                    <w:left w:val="single" w:color="auto" w:sz="4" w:space="0"/>
                    <w:bottom w:val="single" w:color="auto" w:sz="4" w:space="0"/>
                    <w:right w:val="single" w:color="auto" w:sz="4" w:space="0"/>
                  </w:tcBorders>
                </w:tcPr>
                <w:p>
                  <w:pPr>
                    <w:jc w:val="left"/>
                  </w:pPr>
                  <w:r>
                    <w:rPr>
                      <w:rFonts w:hint="eastAsia"/>
                      <w:szCs w:val="21"/>
                    </w:rPr>
                    <w:t>浴霸</w:t>
                  </w:r>
                </w:p>
              </w:tc>
              <w:tc>
                <w:tcPr>
                  <w:tcW w:w="3898" w:type="dxa"/>
                  <w:tcBorders>
                    <w:top w:val="single" w:color="auto" w:sz="4" w:space="0"/>
                    <w:left w:val="single" w:color="auto" w:sz="4" w:space="0"/>
                    <w:bottom w:val="single" w:color="auto" w:sz="4" w:space="0"/>
                    <w:right w:val="single" w:color="auto" w:sz="4" w:space="0"/>
                  </w:tcBorders>
                </w:tcPr>
                <w:p>
                  <w:r>
                    <w:rPr>
                      <w:rFonts w:hint="eastAsia"/>
                    </w:rPr>
                    <w:t>小天鹅，伯仕朗，奥普，欧普</w:t>
                  </w:r>
                </w:p>
              </w:tc>
            </w:tr>
            <w:tr>
              <w:tblPrEx>
                <w:tblCellMar>
                  <w:top w:w="0" w:type="dxa"/>
                  <w:left w:w="108" w:type="dxa"/>
                  <w:bottom w:w="0" w:type="dxa"/>
                  <w:right w:w="108" w:type="dxa"/>
                </w:tblCellMar>
              </w:tblPrEx>
              <w:trPr>
                <w:trHeight w:val="400" w:hRule="atLeast"/>
              </w:trPr>
              <w:tc>
                <w:tcPr>
                  <w:tcW w:w="937" w:type="dxa"/>
                  <w:tcBorders>
                    <w:top w:val="single" w:color="auto" w:sz="4" w:space="0"/>
                    <w:left w:val="single" w:color="auto" w:sz="4" w:space="0"/>
                    <w:bottom w:val="single" w:color="auto" w:sz="4" w:space="0"/>
                    <w:right w:val="single" w:color="auto" w:sz="4" w:space="0"/>
                  </w:tcBorders>
                </w:tcPr>
                <w:p>
                  <w:r>
                    <w:rPr>
                      <w:rFonts w:hint="eastAsia"/>
                      <w:szCs w:val="21"/>
                    </w:rPr>
                    <w:t>14</w:t>
                  </w:r>
                </w:p>
              </w:tc>
              <w:tc>
                <w:tcPr>
                  <w:tcW w:w="16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lang w:bidi="ar"/>
                    </w:rPr>
                    <w:t>套装门</w:t>
                  </w:r>
                </w:p>
              </w:tc>
              <w:tc>
                <w:tcPr>
                  <w:tcW w:w="3898" w:type="dxa"/>
                  <w:tcBorders>
                    <w:top w:val="single" w:color="auto" w:sz="4" w:space="0"/>
                    <w:left w:val="single" w:color="auto" w:sz="4" w:space="0"/>
                    <w:bottom w:val="single" w:color="auto" w:sz="4" w:space="0"/>
                    <w:right w:val="single" w:color="auto" w:sz="4" w:space="0"/>
                  </w:tcBorders>
                </w:tcPr>
                <w:p>
                  <w:r>
                    <w:rPr>
                      <w:rFonts w:hint="eastAsia"/>
                      <w:szCs w:val="21"/>
                    </w:rPr>
                    <w:t>川田，千禾，富渝，星星</w:t>
                  </w:r>
                </w:p>
              </w:tc>
            </w:tr>
          </w:tbl>
          <w:p>
            <w:pPr>
              <w:snapToGrid w:val="0"/>
              <w:spacing w:line="440" w:lineRule="exact"/>
              <w:ind w:firstLine="420" w:firstLineChars="200"/>
              <w:rPr>
                <w:rFonts w:ascii="宋体" w:cs="宋体"/>
              </w:rPr>
            </w:pP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8、人工费：</w:t>
            </w:r>
          </w:p>
          <w:p>
            <w:pPr>
              <w:snapToGrid w:val="0"/>
              <w:spacing w:line="440" w:lineRule="exact"/>
              <w:ind w:firstLine="480" w:firstLineChars="200"/>
              <w:rPr>
                <w:rFonts w:ascii="宋体" w:hAnsi="宋体" w:cs="宋体"/>
                <w:kern w:val="0"/>
                <w:sz w:val="24"/>
              </w:rPr>
            </w:pPr>
            <w:r>
              <w:rPr>
                <w:rFonts w:hint="eastAsia" w:ascii="宋体" w:hAnsi="宋体" w:cs="宋体"/>
                <w:kern w:val="0"/>
                <w:sz w:val="24"/>
              </w:rPr>
              <w:t>8.1本工程人工单价参照重庆市建设工程造价总站主办的《重庆工程造价信息》公布的市场人工指导价，由各竞选人结合市场行情自主测算计入相应综合单价中，中标后不再调整。</w:t>
            </w:r>
          </w:p>
          <w:p>
            <w:pPr>
              <w:snapToGrid w:val="0"/>
              <w:ind w:right="-2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snapToGrid w:val="0"/>
              <w:spacing w:line="440" w:lineRule="exact"/>
              <w:ind w:firstLine="480" w:firstLineChars="200"/>
              <w:rPr>
                <w:rFonts w:ascii="宋体" w:hAnsi="宋体" w:cs="宋体"/>
                <w:kern w:val="0"/>
                <w:sz w:val="24"/>
              </w:rPr>
            </w:pPr>
            <w:r>
              <w:rPr>
                <w:rFonts w:hint="eastAsia" w:ascii="宋体" w:hAnsi="宋体" w:cs="宋体"/>
                <w:kern w:val="0"/>
                <w:sz w:val="24"/>
              </w:rPr>
              <w:t>结算标准：</w:t>
            </w:r>
          </w:p>
          <w:p>
            <w:pPr>
              <w:numPr>
                <w:ilvl w:val="0"/>
                <w:numId w:val="4"/>
              </w:numPr>
              <w:snapToGrid w:val="0"/>
              <w:spacing w:line="440" w:lineRule="exact"/>
              <w:ind w:firstLine="480" w:firstLineChars="200"/>
              <w:rPr>
                <w:rFonts w:ascii="宋体" w:hAnsi="宋体" w:cs="宋体"/>
                <w:kern w:val="0"/>
                <w:sz w:val="24"/>
              </w:rPr>
            </w:pPr>
            <w:r>
              <w:rPr>
                <w:rFonts w:hint="eastAsia" w:ascii="宋体" w:hAnsi="宋体" w:cs="宋体"/>
                <w:kern w:val="0"/>
                <w:sz w:val="24"/>
              </w:rPr>
              <w:t>工程计价方式：本工程采用工程量清单计价。</w:t>
            </w:r>
          </w:p>
          <w:p>
            <w:pPr>
              <w:ind w:firstLine="480" w:firstLineChars="200"/>
              <w:rPr>
                <w:rFonts w:ascii="宋体" w:hAnsi="宋体" w:cs="宋体"/>
                <w:kern w:val="0"/>
                <w:sz w:val="24"/>
              </w:rPr>
            </w:pPr>
            <w:r>
              <w:rPr>
                <w:rFonts w:hint="eastAsia" w:ascii="宋体" w:hAnsi="宋体" w:cs="宋体"/>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pPr>
              <w:ind w:firstLine="480" w:firstLineChars="200"/>
              <w:rPr>
                <w:rFonts w:ascii="宋体" w:hAnsi="宋体" w:cs="宋体"/>
                <w:sz w:val="24"/>
              </w:rPr>
            </w:pPr>
            <w:r>
              <w:rPr>
                <w:rFonts w:hint="eastAsia" w:ascii="宋体" w:hAnsi="宋体" w:cs="宋体"/>
                <w:sz w:val="24"/>
              </w:rPr>
              <w:t>3、结算总价=分部分项工程量清单结算价+措施费（含安全文明施工费）+分部分项工程量清单新增或变更等引起的增（减）子项结算金额+规费+税金+合同约定其它费用。如有设计变更，有相同或相似的，参照投标清单执行，无相同或相似的，经甲方认质认价后重新组建清单子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11</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竞争性谈判</w:t>
            </w:r>
          </w:p>
          <w:p>
            <w:pPr>
              <w:pStyle w:val="51"/>
              <w:spacing w:line="240" w:lineRule="auto"/>
              <w:ind w:firstLine="0"/>
              <w:jc w:val="center"/>
              <w:rPr>
                <w:rFonts w:ascii="宋体" w:eastAsia="宋体" w:cs="宋体"/>
                <w:bCs/>
                <w:szCs w:val="24"/>
              </w:rPr>
            </w:pPr>
            <w:r>
              <w:rPr>
                <w:rFonts w:hint="eastAsia" w:ascii="宋体" w:eastAsia="宋体" w:cs="宋体"/>
                <w:szCs w:val="24"/>
              </w:rPr>
              <w:t>文件组成</w:t>
            </w:r>
          </w:p>
        </w:tc>
        <w:tc>
          <w:tcPr>
            <w:tcW w:w="6845" w:type="dxa"/>
            <w:vAlign w:val="center"/>
          </w:tcPr>
          <w:p>
            <w:pPr>
              <w:pStyle w:val="51"/>
              <w:numPr>
                <w:ilvl w:val="0"/>
                <w:numId w:val="5"/>
              </w:numPr>
              <w:spacing w:line="240" w:lineRule="auto"/>
              <w:ind w:firstLine="0"/>
              <w:rPr>
                <w:rFonts w:ascii="宋体" w:eastAsia="宋体" w:cs="宋体"/>
                <w:szCs w:val="24"/>
              </w:rPr>
            </w:pPr>
            <w:r>
              <w:rPr>
                <w:rFonts w:hint="eastAsia" w:ascii="宋体" w:eastAsia="宋体" w:cs="宋体"/>
                <w:szCs w:val="24"/>
              </w:rPr>
              <w:t xml:space="preserve">法定代表人授权委托书  </w:t>
            </w:r>
          </w:p>
          <w:p>
            <w:pPr>
              <w:pStyle w:val="51"/>
              <w:spacing w:line="240" w:lineRule="auto"/>
              <w:ind w:firstLine="0"/>
              <w:rPr>
                <w:rFonts w:ascii="宋体" w:eastAsia="宋体" w:cs="宋体"/>
                <w:szCs w:val="24"/>
              </w:rPr>
            </w:pPr>
            <w:r>
              <w:rPr>
                <w:rFonts w:hint="eastAsia" w:ascii="宋体" w:eastAsia="宋体" w:cs="宋体"/>
                <w:szCs w:val="24"/>
              </w:rPr>
              <w:t xml:space="preserve">2、投标预算书  </w:t>
            </w:r>
          </w:p>
          <w:p>
            <w:pPr>
              <w:pStyle w:val="51"/>
              <w:spacing w:line="240" w:lineRule="auto"/>
              <w:ind w:firstLine="0"/>
              <w:rPr>
                <w:rFonts w:ascii="宋体" w:eastAsia="宋体" w:cs="宋体"/>
                <w:szCs w:val="24"/>
              </w:rPr>
            </w:pPr>
            <w:r>
              <w:rPr>
                <w:rFonts w:hint="eastAsia" w:ascii="宋体" w:eastAsia="宋体" w:cs="宋体"/>
                <w:szCs w:val="24"/>
              </w:rPr>
              <w:t>3、公司基本情况表（提供近半年职工社保证明）</w:t>
            </w:r>
          </w:p>
          <w:p>
            <w:pPr>
              <w:pStyle w:val="51"/>
              <w:spacing w:line="240" w:lineRule="auto"/>
              <w:ind w:firstLine="0"/>
              <w:rPr>
                <w:rFonts w:ascii="宋体" w:eastAsia="宋体" w:cs="宋体"/>
                <w:szCs w:val="24"/>
              </w:rPr>
            </w:pPr>
            <w:r>
              <w:rPr>
                <w:rFonts w:hint="eastAsia" w:ascii="宋体" w:eastAsia="宋体" w:cs="宋体"/>
                <w:szCs w:val="24"/>
              </w:rPr>
              <w:t>资质证明材料：①企业营业执照（三证合一）；②资质等级证书。以上复印件需加盖公章（原件备查）。</w:t>
            </w:r>
          </w:p>
          <w:p>
            <w:pPr>
              <w:pStyle w:val="51"/>
              <w:spacing w:line="240" w:lineRule="auto"/>
              <w:ind w:firstLine="0"/>
              <w:rPr>
                <w:rFonts w:ascii="宋体" w:eastAsia="宋体" w:cs="宋体"/>
                <w:szCs w:val="24"/>
              </w:rPr>
            </w:pPr>
            <w:r>
              <w:rPr>
                <w:rFonts w:hint="eastAsia" w:ascii="宋体" w:eastAsia="宋体" w:cs="宋体"/>
                <w:szCs w:val="24"/>
              </w:rPr>
              <w:t>4、公司类似工程业绩表（至少3例，附合同复印件）</w:t>
            </w:r>
          </w:p>
          <w:p>
            <w:pPr>
              <w:pStyle w:val="51"/>
              <w:spacing w:line="240" w:lineRule="auto"/>
              <w:ind w:firstLine="0"/>
              <w:rPr>
                <w:rFonts w:ascii="宋体" w:eastAsia="宋体" w:cs="宋体"/>
                <w:szCs w:val="24"/>
              </w:rPr>
            </w:pPr>
            <w:r>
              <w:rPr>
                <w:rFonts w:hint="eastAsia" w:ascii="宋体" w:eastAsia="宋体" w:cs="宋体"/>
                <w:szCs w:val="24"/>
              </w:rPr>
              <w:t>5、拟派施工人员一览表（项目经理）</w:t>
            </w:r>
          </w:p>
          <w:p>
            <w:pPr>
              <w:pStyle w:val="51"/>
              <w:spacing w:line="240" w:lineRule="auto"/>
              <w:ind w:firstLine="0"/>
              <w:rPr>
                <w:rFonts w:ascii="宋体" w:eastAsia="宋体" w:cs="宋体"/>
                <w:szCs w:val="24"/>
              </w:rPr>
            </w:pPr>
            <w:r>
              <w:rPr>
                <w:rFonts w:hint="eastAsia" w:ascii="宋体" w:eastAsia="宋体" w:cs="宋体"/>
                <w:szCs w:val="24"/>
              </w:rPr>
              <w:t>6、施工方案</w:t>
            </w:r>
          </w:p>
          <w:p>
            <w:pPr>
              <w:pStyle w:val="51"/>
              <w:spacing w:line="240" w:lineRule="auto"/>
              <w:ind w:firstLine="0"/>
              <w:rPr>
                <w:rFonts w:ascii="宋体" w:eastAsia="宋体" w:cs="宋体"/>
                <w:szCs w:val="24"/>
              </w:rPr>
            </w:pPr>
            <w:r>
              <w:rPr>
                <w:rFonts w:hint="eastAsia" w:ascii="宋体" w:eastAsia="宋体" w:cs="宋体"/>
                <w:szCs w:val="24"/>
              </w:rPr>
              <w:t>7、承诺书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widowControl/>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jc w:val="left"/>
              <w:rPr>
                <w:rFonts w:ascii="宋体" w:hAnsi="宋体" w:cs="宋体"/>
                <w:sz w:val="24"/>
              </w:rPr>
            </w:pPr>
            <w:r>
              <w:rPr>
                <w:rFonts w:hint="eastAsia" w:ascii="宋体" w:hAnsi="宋体" w:cs="宋体"/>
                <w:kern w:val="0"/>
                <w:sz w:val="24"/>
              </w:rPr>
              <w:t>该工程质保期防水为五年，土建装饰为二年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1、投标文件包含装修设计施工图、综合预算和公司资质、资格审查资料以及其他资料。</w:t>
            </w:r>
          </w:p>
          <w:p>
            <w:pPr>
              <w:pStyle w:val="51"/>
              <w:spacing w:line="240" w:lineRule="auto"/>
              <w:ind w:firstLine="0"/>
              <w:rPr>
                <w:rFonts w:ascii="宋体" w:eastAsia="宋体" w:cs="宋体"/>
              </w:rPr>
            </w:pPr>
            <w:r>
              <w:rPr>
                <w:rFonts w:hint="eastAsia" w:ascii="宋体" w:eastAsia="宋体" w:cs="宋体"/>
                <w:bCs/>
              </w:rPr>
              <w:t>2、</w:t>
            </w:r>
            <w:r>
              <w:rPr>
                <w:rFonts w:hint="eastAsia" w:ascii="宋体" w:eastAsia="宋体" w:cs="宋体"/>
              </w:rPr>
              <w:t>投标文件制作肆份（一正叁副），采用A 4纸装订成册，签章齐备。将谈判文件装入档案袋并密封完好，封面应加盖单位骑缝鲜章。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pPr>
            <w:r>
              <w:rPr>
                <w:rFonts w:hint="eastAsia"/>
              </w:rPr>
              <w:t>综合评定。</w:t>
            </w:r>
          </w:p>
          <w:p>
            <w:pPr>
              <w:widowControl/>
              <w:jc w:val="left"/>
              <w:rPr>
                <w:rFonts w:ascii="宋体" w:hAnsi="宋体" w:cs="宋体"/>
                <w:b/>
                <w:bCs/>
                <w:szCs w:val="21"/>
              </w:rPr>
            </w:pPr>
            <w:r>
              <w:rPr>
                <w:rFonts w:hint="eastAsia" w:ascii="宋体" w:hAnsi="宋体" w:cs="宋体"/>
                <w:bCs/>
                <w:szCs w:val="21"/>
              </w:rPr>
              <w:t>分值构成：10分</w:t>
            </w:r>
          </w:p>
          <w:p>
            <w:pPr>
              <w:autoSpaceDE w:val="0"/>
              <w:autoSpaceDN w:val="0"/>
              <w:adjustRightInd w:val="0"/>
              <w:rPr>
                <w:rFonts w:ascii="宋体" w:hAnsi="宋体"/>
              </w:rPr>
            </w:pPr>
            <w:r>
              <w:rPr>
                <w:rFonts w:hint="eastAsia" w:ascii="宋体" w:hAnsi="宋体"/>
              </w:rPr>
              <w:t>（1）资质：1分</w:t>
            </w:r>
          </w:p>
          <w:p>
            <w:pPr>
              <w:autoSpaceDE w:val="0"/>
              <w:autoSpaceDN w:val="0"/>
              <w:adjustRightInd w:val="0"/>
              <w:rPr>
                <w:rFonts w:ascii="宋体" w:hAnsi="宋体"/>
              </w:rPr>
            </w:pPr>
            <w:r>
              <w:rPr>
                <w:rFonts w:hint="eastAsia" w:ascii="宋体" w:hAnsi="宋体"/>
              </w:rPr>
              <w:t>（2）报价：5分</w:t>
            </w:r>
          </w:p>
          <w:p>
            <w:pPr>
              <w:rPr>
                <w:rFonts w:ascii="宋体" w:hAnsi="宋体"/>
              </w:rPr>
            </w:pPr>
            <w:r>
              <w:rPr>
                <w:rFonts w:hint="eastAsia" w:ascii="宋体" w:hAnsi="宋体"/>
              </w:rPr>
              <w:t>（3）施工方案：2分</w:t>
            </w:r>
          </w:p>
          <w:p>
            <w:pPr>
              <w:rPr>
                <w:rFonts w:ascii="宋体" w:hAnsi="宋体"/>
              </w:rPr>
            </w:pPr>
            <w:r>
              <w:rPr>
                <w:rFonts w:hint="eastAsia" w:ascii="宋体" w:hAnsi="宋体"/>
              </w:rPr>
              <w:t>（4）业绩：2分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2021年7月</w:t>
            </w:r>
            <w:r>
              <w:rPr>
                <w:rFonts w:hint="eastAsia" w:ascii="宋体" w:eastAsia="宋体" w:cs="宋体"/>
                <w:szCs w:val="24"/>
                <w:lang w:val="en-US" w:eastAsia="zh-CN"/>
              </w:rPr>
              <w:t>27</w:t>
            </w:r>
            <w:r>
              <w:rPr>
                <w:rFonts w:hint="eastAsia" w:ascii="宋体" w:eastAsia="宋体" w:cs="宋体"/>
                <w:szCs w:val="24"/>
              </w:rPr>
              <w:t xml:space="preserve">日17点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szCs w:val="24"/>
              </w:rPr>
            </w:pPr>
            <w:r>
              <w:rPr>
                <w:rFonts w:hint="eastAsia" w:ascii="宋体" w:eastAsia="宋体" w:cs="宋体"/>
                <w:szCs w:val="24"/>
              </w:rPr>
              <w:t>联系地址：重医附二院综合楼16-1房管科办公室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联 系 人：周老师  李老师   联系电话：023-63693619</w:t>
            </w:r>
          </w:p>
        </w:tc>
      </w:tr>
    </w:tbl>
    <w:p>
      <w:pPr>
        <w:rPr>
          <w:rFonts w:ascii="宋体" w:hAnsi="宋体" w:cs="宋体"/>
          <w:kern w:val="0"/>
          <w:sz w:val="24"/>
        </w:rPr>
      </w:pPr>
    </w:p>
    <w:p/>
    <w:p>
      <w:pPr>
        <w:rPr>
          <w:rFonts w:ascii="宋体" w:hAnsi="宋体" w:cs="宋体"/>
          <w:kern w:val="0"/>
          <w:sz w:val="24"/>
        </w:rPr>
      </w:pPr>
      <w:r>
        <w:rPr>
          <w:rFonts w:hint="eastAsia" w:ascii="宋体" w:hAnsi="宋体" w:cs="宋体"/>
          <w:kern w:val="0"/>
          <w:sz w:val="24"/>
        </w:rPr>
        <w:t>附件：</w:t>
      </w:r>
    </w:p>
    <w:p>
      <w:pPr>
        <w:numPr>
          <w:ilvl w:val="0"/>
          <w:numId w:val="6"/>
        </w:numPr>
        <w:rPr>
          <w:rFonts w:ascii="宋体" w:hAnsi="宋体" w:cs="宋体"/>
          <w:kern w:val="0"/>
          <w:sz w:val="24"/>
        </w:rPr>
      </w:pPr>
      <w:r>
        <w:rPr>
          <w:rFonts w:hint="eastAsia" w:ascii="宋体" w:hAnsi="宋体" w:cs="宋体"/>
          <w:kern w:val="0"/>
          <w:sz w:val="24"/>
        </w:rPr>
        <w:t>法定代表人授权书（格式）</w:t>
      </w:r>
    </w:p>
    <w:p>
      <w:pPr>
        <w:numPr>
          <w:ilvl w:val="0"/>
          <w:numId w:val="6"/>
        </w:numPr>
        <w:rPr>
          <w:rFonts w:ascii="宋体" w:hAnsi="宋体" w:cs="宋体"/>
          <w:kern w:val="0"/>
          <w:sz w:val="24"/>
        </w:rPr>
      </w:pPr>
      <w:r>
        <w:rPr>
          <w:rFonts w:hint="eastAsia" w:ascii="宋体" w:hAnsi="宋体" w:cs="宋体"/>
          <w:kern w:val="0"/>
          <w:sz w:val="24"/>
        </w:rPr>
        <w:t>承诺书（格式）</w:t>
      </w:r>
    </w:p>
    <w:p>
      <w:pPr>
        <w:numPr>
          <w:ilvl w:val="0"/>
          <w:numId w:val="6"/>
        </w:numPr>
        <w:rPr>
          <w:rFonts w:ascii="宋体" w:hAnsi="宋体" w:cs="宋体"/>
          <w:kern w:val="0"/>
          <w:sz w:val="24"/>
        </w:rPr>
      </w:pPr>
      <w:r>
        <w:rPr>
          <w:rFonts w:hint="eastAsia" w:ascii="宋体" w:hAnsi="宋体" w:cs="宋体"/>
          <w:kern w:val="0"/>
          <w:sz w:val="24"/>
        </w:rPr>
        <w:t>报价书（格式）、报价须知</w:t>
      </w:r>
    </w:p>
    <w:p>
      <w:pPr>
        <w:numPr>
          <w:ilvl w:val="0"/>
          <w:numId w:val="6"/>
        </w:numPr>
        <w:rPr>
          <w:rFonts w:ascii="宋体" w:hAnsi="宋体" w:cs="宋体"/>
          <w:kern w:val="0"/>
          <w:sz w:val="24"/>
        </w:rPr>
      </w:pPr>
      <w:r>
        <w:rPr>
          <w:rFonts w:hint="eastAsia" w:ascii="宋体" w:hAnsi="宋体" w:cs="宋体"/>
          <w:kern w:val="0"/>
          <w:sz w:val="24"/>
        </w:rPr>
        <w:t>本项目造价咨询人员一览表</w:t>
      </w:r>
    </w:p>
    <w:p>
      <w:pPr>
        <w:numPr>
          <w:ilvl w:val="0"/>
          <w:numId w:val="6"/>
        </w:numPr>
        <w:rPr>
          <w:rFonts w:ascii="宋体" w:hAnsi="宋体" w:cs="宋体"/>
          <w:kern w:val="0"/>
          <w:sz w:val="24"/>
        </w:rPr>
      </w:pPr>
      <w:r>
        <w:rPr>
          <w:rFonts w:hint="eastAsia" w:ascii="宋体" w:hAnsi="宋体" w:cs="宋体"/>
          <w:kern w:val="0"/>
          <w:sz w:val="24"/>
        </w:rPr>
        <w:t>类似业绩一览表（自拟）</w:t>
      </w:r>
    </w:p>
    <w:p>
      <w:pPr>
        <w:jc w:val="cente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2021年7月</w:t>
      </w:r>
      <w:r>
        <w:rPr>
          <w:rFonts w:hint="eastAsia" w:ascii="宋体" w:hAnsi="宋体" w:cs="宋体"/>
          <w:sz w:val="24"/>
          <w:lang w:val="en-US" w:eastAsia="zh-CN"/>
        </w:rPr>
        <w:t>21</w:t>
      </w:r>
      <w:r>
        <w:rPr>
          <w:rFonts w:hint="eastAsia" w:ascii="宋体" w:hAnsi="宋体" w:cs="宋体"/>
          <w:sz w:val="24"/>
        </w:rPr>
        <w:t>日</w:t>
      </w:r>
    </w:p>
    <w:p>
      <w:pPr>
        <w:widowControl/>
        <w:jc w:val="left"/>
        <w:rPr>
          <w:rFonts w:ascii="宋体" w:hAnsi="宋体" w:cs="宋体"/>
          <w:sz w:val="24"/>
        </w:rPr>
      </w:pPr>
      <w:r>
        <w:rPr>
          <w:rFonts w:ascii="宋体" w:hAnsi="宋体" w:cs="宋体"/>
          <w:sz w:val="24"/>
        </w:rPr>
        <w:br w:type="page"/>
      </w:r>
    </w:p>
    <w:p>
      <w:pPr>
        <w:jc w:val="center"/>
        <w:rPr>
          <w:rFonts w:ascii="宋体" w:hAnsi="宋体" w:cs="宋体"/>
          <w:sz w:val="24"/>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idowControl/>
        <w:numPr>
          <w:ilvl w:val="0"/>
          <w:numId w:val="7"/>
        </w:numPr>
        <w:spacing w:line="500" w:lineRule="exact"/>
        <w:ind w:firstLine="280"/>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新宋体" w:hAnsi="新宋体" w:eastAsia="新宋体" w:cs="新宋体"/>
          <w:b/>
          <w:bCs/>
          <w:color w:val="000000" w:themeColor="text1"/>
          <w:kern w:val="0"/>
          <w:sz w:val="28"/>
          <w:szCs w:val="28"/>
          <w:u w:val="single"/>
        </w:rPr>
        <w:t>重医附二院七星岗学生宿舍公共卫生间改造工程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pStyle w:val="2"/>
        <w:numPr>
          <w:numId w:val="0"/>
        </w:numPr>
        <w:tabs>
          <w:tab w:val="clear" w:pos="1260"/>
        </w:tabs>
      </w:pPr>
    </w:p>
    <w:p>
      <w:pPr>
        <w:jc w:val="cente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承 诺 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新宋体" w:hAnsi="新宋体" w:eastAsia="新宋体" w:cs="新宋体"/>
          <w:b/>
          <w:bCs/>
          <w:color w:val="000000" w:themeColor="text1"/>
          <w:kern w:val="0"/>
          <w:sz w:val="28"/>
          <w:szCs w:val="28"/>
          <w:u w:val="single"/>
        </w:rPr>
        <w:t>重医附二院七星岗学生宿舍公共卫生间改造工程</w:t>
      </w:r>
      <w:r>
        <w:rPr>
          <w:rFonts w:hint="eastAsia" w:ascii="宋体" w:hAnsi="宋体" w:cs="宋体"/>
          <w:sz w:val="28"/>
          <w:szCs w:val="28"/>
        </w:rPr>
        <w:t>的竞争性谈判工作</w:t>
      </w:r>
      <w:r>
        <w:rPr>
          <w:rFonts w:hint="eastAsia" w:ascii="宋体" w:hAnsi="宋体" w:cs="宋体"/>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r>
        <w:rPr>
          <w:rFonts w:hint="eastAsia" w:ascii="宋体" w:hAnsi="宋体" w:cs="宋体"/>
          <w:sz w:val="28"/>
        </w:rPr>
        <w:t>4、本项目工程需缴纳的装修保证金由我司垫付。</w:t>
      </w: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120"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 价 书</w:t>
      </w:r>
    </w:p>
    <w:p>
      <w:pPr>
        <w:pStyle w:val="51"/>
        <w:spacing w:line="360" w:lineRule="auto"/>
        <w:ind w:firstLine="539"/>
        <w:rPr>
          <w:rFonts w:ascii="宋体" w:eastAsia="宋体" w:cs="宋体"/>
          <w:sz w:val="28"/>
          <w:szCs w:val="28"/>
        </w:rPr>
      </w:pPr>
    </w:p>
    <w:p>
      <w:pPr>
        <w:pStyle w:val="51"/>
        <w:spacing w:line="360" w:lineRule="auto"/>
        <w:ind w:firstLine="0"/>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新宋体" w:hAnsi="新宋体" w:eastAsia="新宋体" w:cs="新宋体"/>
          <w:b/>
          <w:bCs/>
          <w:color w:val="000000" w:themeColor="text1"/>
          <w:sz w:val="28"/>
          <w:szCs w:val="28"/>
          <w:u w:val="single"/>
        </w:rPr>
        <w:t>重医附二院七星岗学生宿舍公共卫生间改造工程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竞争性谈判文件的全部内容。我们已完全理解了竞争性谈判文件规定的合同范围、要求，并考虑到了潜在所有风险。结合本项目特点及我方实际情况，本项目土建装饰费总价为</w:t>
      </w:r>
      <w:r>
        <w:rPr>
          <w:rFonts w:hint="eastAsia" w:ascii="宋体" w:eastAsia="宋体" w:cs="宋体"/>
          <w:sz w:val="28"/>
          <w:szCs w:val="28"/>
          <w:u w:val="single"/>
        </w:rPr>
        <w:t xml:space="preserve">     </w:t>
      </w:r>
      <w:r>
        <w:rPr>
          <w:rFonts w:ascii="宋体" w:eastAsia="宋体" w:cs="宋体"/>
          <w:sz w:val="28"/>
          <w:szCs w:val="28"/>
          <w:u w:val="single"/>
        </w:rPr>
        <w:t xml:space="preserve">        </w:t>
      </w:r>
      <w:r>
        <w:rPr>
          <w:rFonts w:hint="eastAsia" w:ascii="宋体" w:eastAsia="宋体" w:cs="宋体"/>
          <w:sz w:val="28"/>
          <w:szCs w:val="28"/>
          <w:u w:val="single"/>
        </w:rPr>
        <w:t xml:space="preserve">   </w:t>
      </w:r>
      <w:r>
        <w:rPr>
          <w:rFonts w:hint="eastAsia" w:ascii="宋体" w:eastAsia="宋体" w:cs="宋体"/>
          <w:sz w:val="28"/>
          <w:szCs w:val="28"/>
        </w:rPr>
        <w:t>元，工期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bookmarkStart w:id="2" w:name="_GoBack"/>
      <w:bookmarkEnd w:id="2"/>
    </w:p>
    <w:p>
      <w:pPr>
        <w:pStyle w:val="51"/>
        <w:spacing w:before="120" w:after="120"/>
        <w:rPr>
          <w:rFonts w:ascii="宋体" w:eastAsia="宋体" w:cs="宋体"/>
          <w:sz w:val="28"/>
          <w:szCs w:val="28"/>
        </w:rPr>
      </w:pPr>
    </w:p>
    <w:p>
      <w:pPr>
        <w:pStyle w:val="51"/>
        <w:spacing w:before="120" w:after="120"/>
        <w:ind w:firstLine="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8"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36"/>
          <w:szCs w:val="36"/>
        </w:rPr>
      </w:pPr>
      <w:r>
        <w:rPr>
          <w:rFonts w:hint="eastAsia" w:ascii="宋体" w:hAnsi="宋体" w:cs="宋体"/>
          <w:b/>
          <w:sz w:val="36"/>
          <w:szCs w:val="36"/>
        </w:rPr>
        <w:t>本工程</w:t>
      </w:r>
      <w:r>
        <w:rPr>
          <w:rFonts w:hint="eastAsia" w:ascii="宋体" w:cs="宋体"/>
          <w:b/>
          <w:bCs/>
          <w:sz w:val="36"/>
          <w:szCs w:val="36"/>
        </w:rPr>
        <w:t>施工</w:t>
      </w:r>
      <w:r>
        <w:rPr>
          <w:rFonts w:hint="eastAsia" w:ascii="宋体" w:hAnsi="宋体" w:cs="宋体"/>
          <w:b/>
          <w:sz w:val="36"/>
          <w:szCs w:val="36"/>
        </w:rPr>
        <w:t>人员一览表</w:t>
      </w:r>
    </w:p>
    <w:p>
      <w:pPr>
        <w:spacing w:line="460" w:lineRule="exact"/>
        <w:ind w:firstLine="482"/>
        <w:jc w:val="center"/>
        <w:rPr>
          <w:rFonts w:ascii="宋体" w:hAnsi="宋体" w:cs="宋体"/>
          <w:sz w:val="28"/>
          <w:szCs w:val="28"/>
        </w:rPr>
      </w:pPr>
    </w:p>
    <w:tbl>
      <w:tblPr>
        <w:tblStyle w:val="22"/>
        <w:tblW w:w="12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9"/>
        <w:gridCol w:w="1445"/>
        <w:gridCol w:w="1146"/>
        <w:gridCol w:w="1118"/>
        <w:gridCol w:w="1936"/>
        <w:gridCol w:w="1718"/>
        <w:gridCol w:w="1732"/>
        <w:gridCol w:w="1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649" w:type="dxa"/>
            <w:tcBorders>
              <w:top w:val="single" w:color="auto" w:sz="12" w:space="0"/>
            </w:tcBorders>
            <w:vAlign w:val="center"/>
          </w:tcPr>
          <w:p>
            <w:pPr>
              <w:spacing w:line="460" w:lineRule="exact"/>
              <w:ind w:firstLine="482"/>
              <w:rPr>
                <w:rFonts w:ascii="宋体" w:hAnsi="宋体" w:cs="宋体"/>
                <w:b/>
                <w:bCs/>
                <w:sz w:val="28"/>
                <w:szCs w:val="28"/>
              </w:rPr>
            </w:pPr>
            <w:r>
              <w:rPr>
                <w:rFonts w:hint="eastAsia" w:ascii="宋体" w:hAnsi="宋体" w:cs="宋体"/>
                <w:b/>
                <w:bCs/>
                <w:sz w:val="28"/>
                <w:szCs w:val="28"/>
              </w:rPr>
              <w:t>岗位</w:t>
            </w:r>
          </w:p>
        </w:tc>
        <w:tc>
          <w:tcPr>
            <w:tcW w:w="1445" w:type="dxa"/>
            <w:tcBorders>
              <w:top w:val="single" w:color="auto" w:sz="12" w:space="0"/>
            </w:tcBorders>
            <w:vAlign w:val="center"/>
          </w:tcPr>
          <w:p>
            <w:pPr>
              <w:spacing w:line="460" w:lineRule="exact"/>
              <w:ind w:firstLine="482"/>
              <w:rPr>
                <w:rFonts w:ascii="宋体" w:hAnsi="宋体" w:cs="宋体"/>
                <w:b/>
                <w:bCs/>
                <w:sz w:val="28"/>
                <w:szCs w:val="28"/>
              </w:rPr>
            </w:pPr>
            <w:r>
              <w:rPr>
                <w:rFonts w:hint="eastAsia" w:ascii="宋体" w:hAnsi="宋体" w:cs="宋体"/>
                <w:b/>
                <w:bCs/>
                <w:sz w:val="28"/>
                <w:szCs w:val="28"/>
              </w:rPr>
              <w:t>姓名</w:t>
            </w:r>
          </w:p>
        </w:tc>
        <w:tc>
          <w:tcPr>
            <w:tcW w:w="1146" w:type="dxa"/>
            <w:tcBorders>
              <w:top w:val="single" w:color="auto" w:sz="12" w:space="0"/>
            </w:tcBorders>
            <w:vAlign w:val="center"/>
          </w:tcPr>
          <w:p>
            <w:pPr>
              <w:spacing w:line="460" w:lineRule="exact"/>
              <w:ind w:hanging="18"/>
              <w:jc w:val="center"/>
              <w:rPr>
                <w:rFonts w:ascii="宋体" w:hAnsi="宋体" w:cs="宋体"/>
                <w:b/>
                <w:bCs/>
                <w:sz w:val="28"/>
                <w:szCs w:val="28"/>
              </w:rPr>
            </w:pPr>
            <w:r>
              <w:rPr>
                <w:rFonts w:hint="eastAsia" w:ascii="宋体" w:hAnsi="宋体" w:cs="宋体"/>
                <w:b/>
                <w:bCs/>
                <w:sz w:val="28"/>
                <w:szCs w:val="28"/>
              </w:rPr>
              <w:t>性别</w:t>
            </w:r>
          </w:p>
        </w:tc>
        <w:tc>
          <w:tcPr>
            <w:tcW w:w="1118" w:type="dxa"/>
            <w:tcBorders>
              <w:top w:val="single" w:color="auto" w:sz="12" w:space="0"/>
            </w:tcBorders>
            <w:vAlign w:val="center"/>
          </w:tcPr>
          <w:p>
            <w:pPr>
              <w:spacing w:line="460" w:lineRule="exact"/>
              <w:ind w:firstLine="30"/>
              <w:jc w:val="center"/>
              <w:rPr>
                <w:rFonts w:ascii="宋体" w:hAnsi="宋体" w:cs="宋体"/>
                <w:b/>
                <w:bCs/>
                <w:sz w:val="28"/>
                <w:szCs w:val="28"/>
              </w:rPr>
            </w:pPr>
            <w:r>
              <w:rPr>
                <w:rFonts w:hint="eastAsia" w:ascii="宋体" w:hAnsi="宋体" w:cs="宋体"/>
                <w:b/>
                <w:bCs/>
                <w:sz w:val="28"/>
                <w:szCs w:val="28"/>
              </w:rPr>
              <w:t>年龄</w:t>
            </w:r>
          </w:p>
        </w:tc>
        <w:tc>
          <w:tcPr>
            <w:tcW w:w="1936"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8"/>
                <w:szCs w:val="28"/>
              </w:rPr>
              <w:t>职务</w:t>
            </w:r>
          </w:p>
        </w:tc>
        <w:tc>
          <w:tcPr>
            <w:tcW w:w="1718"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8"/>
                <w:szCs w:val="28"/>
              </w:rPr>
              <w:t>学历</w:t>
            </w:r>
          </w:p>
        </w:tc>
        <w:tc>
          <w:tcPr>
            <w:tcW w:w="1732"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4"/>
              </w:rPr>
              <w:t>专业及职称</w:t>
            </w:r>
          </w:p>
        </w:tc>
        <w:tc>
          <w:tcPr>
            <w:tcW w:w="1961" w:type="dxa"/>
            <w:tcBorders>
              <w:top w:val="single" w:color="auto" w:sz="12" w:space="0"/>
            </w:tcBorders>
            <w:vAlign w:val="center"/>
          </w:tcPr>
          <w:p>
            <w:pPr>
              <w:spacing w:line="460" w:lineRule="exact"/>
              <w:jc w:val="center"/>
              <w:rPr>
                <w:rFonts w:ascii="宋体" w:hAnsi="宋体" w:cs="宋体"/>
                <w:b/>
                <w:bCs/>
                <w:sz w:val="28"/>
                <w:szCs w:val="28"/>
              </w:rPr>
            </w:pPr>
            <w:r>
              <w:rPr>
                <w:rFonts w:hint="eastAsia" w:ascii="宋体" w:hAnsi="宋体" w:cs="宋体"/>
                <w:b/>
                <w:bCs/>
                <w:sz w:val="24"/>
              </w:rPr>
              <w:t>专业资格证编号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10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sz w:val="28"/>
                <w:szCs w:val="28"/>
              </w:rPr>
            </w:pPr>
          </w:p>
        </w:tc>
        <w:tc>
          <w:tcPr>
            <w:tcW w:w="1445" w:type="dxa"/>
          </w:tcPr>
          <w:p>
            <w:pPr>
              <w:spacing w:line="460" w:lineRule="exact"/>
              <w:ind w:firstLine="482"/>
              <w:rPr>
                <w:rFonts w:ascii="宋体" w:hAnsi="宋体" w:cs="宋体"/>
                <w:sz w:val="28"/>
                <w:szCs w:val="28"/>
              </w:rPr>
            </w:pPr>
          </w:p>
        </w:tc>
        <w:tc>
          <w:tcPr>
            <w:tcW w:w="1146" w:type="dxa"/>
          </w:tcPr>
          <w:p>
            <w:pPr>
              <w:spacing w:line="460" w:lineRule="exact"/>
              <w:ind w:firstLine="482"/>
              <w:rPr>
                <w:rFonts w:ascii="宋体" w:hAnsi="宋体" w:cs="宋体"/>
                <w:sz w:val="28"/>
                <w:szCs w:val="28"/>
              </w:rPr>
            </w:pPr>
          </w:p>
        </w:tc>
        <w:tc>
          <w:tcPr>
            <w:tcW w:w="1118" w:type="dxa"/>
          </w:tcPr>
          <w:p>
            <w:pPr>
              <w:spacing w:line="460" w:lineRule="exact"/>
              <w:ind w:firstLine="482"/>
              <w:rPr>
                <w:rFonts w:ascii="宋体" w:hAnsi="宋体" w:cs="宋体"/>
                <w:sz w:val="28"/>
                <w:szCs w:val="28"/>
              </w:rPr>
            </w:pPr>
          </w:p>
        </w:tc>
        <w:tc>
          <w:tcPr>
            <w:tcW w:w="1936" w:type="dxa"/>
          </w:tcPr>
          <w:p>
            <w:pPr>
              <w:spacing w:line="460" w:lineRule="exact"/>
              <w:ind w:firstLine="482"/>
              <w:rPr>
                <w:rFonts w:ascii="宋体" w:hAnsi="宋体" w:cs="宋体"/>
                <w:sz w:val="28"/>
                <w:szCs w:val="28"/>
              </w:rPr>
            </w:pPr>
          </w:p>
        </w:tc>
        <w:tc>
          <w:tcPr>
            <w:tcW w:w="1718" w:type="dxa"/>
          </w:tcPr>
          <w:p>
            <w:pPr>
              <w:spacing w:line="460" w:lineRule="exact"/>
              <w:ind w:firstLine="482"/>
              <w:rPr>
                <w:rFonts w:ascii="宋体" w:hAnsi="宋体" w:cs="宋体"/>
                <w:sz w:val="28"/>
                <w:szCs w:val="28"/>
              </w:rPr>
            </w:pPr>
          </w:p>
        </w:tc>
        <w:tc>
          <w:tcPr>
            <w:tcW w:w="1732" w:type="dxa"/>
          </w:tcPr>
          <w:p>
            <w:pPr>
              <w:spacing w:line="460" w:lineRule="exact"/>
              <w:ind w:firstLine="482"/>
              <w:rPr>
                <w:rFonts w:ascii="宋体" w:hAnsi="宋体" w:cs="宋体"/>
                <w:sz w:val="28"/>
                <w:szCs w:val="28"/>
              </w:rPr>
            </w:pPr>
          </w:p>
        </w:tc>
        <w:tc>
          <w:tcPr>
            <w:tcW w:w="1961" w:type="dxa"/>
          </w:tcPr>
          <w:p>
            <w:pPr>
              <w:spacing w:line="460" w:lineRule="exact"/>
              <w:ind w:firstLine="482"/>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49" w:type="dxa"/>
            <w:tcBorders>
              <w:bottom w:val="single" w:color="auto" w:sz="12" w:space="0"/>
            </w:tcBorders>
          </w:tcPr>
          <w:p>
            <w:pPr>
              <w:spacing w:line="460" w:lineRule="exact"/>
              <w:ind w:firstLine="482"/>
              <w:rPr>
                <w:rFonts w:ascii="宋体" w:hAnsi="宋体" w:cs="宋体"/>
                <w:sz w:val="28"/>
                <w:szCs w:val="28"/>
              </w:rPr>
            </w:pPr>
          </w:p>
        </w:tc>
        <w:tc>
          <w:tcPr>
            <w:tcW w:w="1445" w:type="dxa"/>
            <w:tcBorders>
              <w:bottom w:val="single" w:color="auto" w:sz="12" w:space="0"/>
            </w:tcBorders>
          </w:tcPr>
          <w:p>
            <w:pPr>
              <w:spacing w:line="460" w:lineRule="exact"/>
              <w:ind w:firstLine="482"/>
              <w:rPr>
                <w:rFonts w:ascii="宋体" w:hAnsi="宋体" w:cs="宋体"/>
                <w:sz w:val="28"/>
                <w:szCs w:val="28"/>
              </w:rPr>
            </w:pPr>
          </w:p>
        </w:tc>
        <w:tc>
          <w:tcPr>
            <w:tcW w:w="1146" w:type="dxa"/>
            <w:tcBorders>
              <w:bottom w:val="single" w:color="auto" w:sz="12" w:space="0"/>
            </w:tcBorders>
          </w:tcPr>
          <w:p>
            <w:pPr>
              <w:spacing w:line="460" w:lineRule="exact"/>
              <w:ind w:firstLine="482"/>
              <w:rPr>
                <w:rFonts w:ascii="宋体" w:hAnsi="宋体" w:cs="宋体"/>
                <w:sz w:val="28"/>
                <w:szCs w:val="28"/>
              </w:rPr>
            </w:pPr>
          </w:p>
        </w:tc>
        <w:tc>
          <w:tcPr>
            <w:tcW w:w="1118" w:type="dxa"/>
            <w:tcBorders>
              <w:bottom w:val="single" w:color="auto" w:sz="12" w:space="0"/>
            </w:tcBorders>
          </w:tcPr>
          <w:p>
            <w:pPr>
              <w:spacing w:line="460" w:lineRule="exact"/>
              <w:ind w:firstLine="482"/>
              <w:rPr>
                <w:rFonts w:ascii="宋体" w:hAnsi="宋体" w:cs="宋体"/>
                <w:sz w:val="28"/>
                <w:szCs w:val="28"/>
              </w:rPr>
            </w:pPr>
          </w:p>
        </w:tc>
        <w:tc>
          <w:tcPr>
            <w:tcW w:w="1936" w:type="dxa"/>
            <w:tcBorders>
              <w:bottom w:val="single" w:color="auto" w:sz="12" w:space="0"/>
            </w:tcBorders>
          </w:tcPr>
          <w:p>
            <w:pPr>
              <w:spacing w:line="460" w:lineRule="exact"/>
              <w:ind w:firstLine="482"/>
              <w:rPr>
                <w:rFonts w:ascii="宋体" w:hAnsi="宋体" w:cs="宋体"/>
                <w:sz w:val="28"/>
                <w:szCs w:val="28"/>
              </w:rPr>
            </w:pPr>
          </w:p>
        </w:tc>
        <w:tc>
          <w:tcPr>
            <w:tcW w:w="1718" w:type="dxa"/>
            <w:tcBorders>
              <w:bottom w:val="single" w:color="auto" w:sz="12" w:space="0"/>
            </w:tcBorders>
          </w:tcPr>
          <w:p>
            <w:pPr>
              <w:spacing w:line="460" w:lineRule="exact"/>
              <w:ind w:firstLine="482"/>
              <w:rPr>
                <w:rFonts w:ascii="宋体" w:hAnsi="宋体" w:cs="宋体"/>
                <w:sz w:val="28"/>
                <w:szCs w:val="28"/>
              </w:rPr>
            </w:pPr>
          </w:p>
        </w:tc>
        <w:tc>
          <w:tcPr>
            <w:tcW w:w="1732" w:type="dxa"/>
            <w:tcBorders>
              <w:bottom w:val="single" w:color="auto" w:sz="12" w:space="0"/>
            </w:tcBorders>
          </w:tcPr>
          <w:p>
            <w:pPr>
              <w:spacing w:line="460" w:lineRule="exact"/>
              <w:ind w:firstLine="482"/>
              <w:rPr>
                <w:rFonts w:ascii="宋体" w:hAnsi="宋体" w:cs="宋体"/>
                <w:sz w:val="28"/>
                <w:szCs w:val="28"/>
              </w:rPr>
            </w:pPr>
          </w:p>
        </w:tc>
        <w:tc>
          <w:tcPr>
            <w:tcW w:w="1961" w:type="dxa"/>
            <w:tcBorders>
              <w:bottom w:val="single" w:color="auto" w:sz="12" w:space="0"/>
            </w:tcBorders>
          </w:tcPr>
          <w:p>
            <w:pPr>
              <w:spacing w:line="460" w:lineRule="exact"/>
              <w:ind w:firstLine="482"/>
              <w:rPr>
                <w:rFonts w:ascii="宋体" w:hAnsi="宋体" w:cs="宋体"/>
                <w:sz w:val="28"/>
                <w:szCs w:val="28"/>
              </w:rPr>
            </w:pPr>
          </w:p>
        </w:tc>
      </w:tr>
    </w:tbl>
    <w:p>
      <w:pPr>
        <w:spacing w:line="460" w:lineRule="exact"/>
        <w:ind w:firstLine="960" w:firstLineChars="400"/>
        <w:rPr>
          <w:rFonts w:ascii="宋体" w:hAnsi="宋体" w:cs="宋体"/>
          <w:sz w:val="28"/>
          <w:szCs w:val="28"/>
        </w:rPr>
      </w:pPr>
      <w:r>
        <w:rPr>
          <w:rFonts w:hint="eastAsia" w:ascii="宋体" w:hAnsi="宋体" w:cs="宋体"/>
          <w:sz w:val="24"/>
        </w:rPr>
        <w:t>用于该工程的工作人员未经甲方批准不得擅自更换，且所有资质属实，若有不实按合同相关条款承担违约责任。</w:t>
      </w:r>
      <w:bookmarkEnd w:id="0"/>
      <w:bookmarkEnd w:id="1"/>
    </w:p>
    <w:sectPr>
      <w:headerReference r:id="rId9" w:type="default"/>
      <w:footerReference r:id="rId10"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6</w:t>
    </w:r>
    <w:r>
      <w:rPr>
        <w:rStyle w:val="2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13</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B480E"/>
    <w:multiLevelType w:val="singleLevel"/>
    <w:tmpl w:val="B47B480E"/>
    <w:lvl w:ilvl="0" w:tentative="0">
      <w:start w:val="1"/>
      <w:numFmt w:val="decimal"/>
      <w:suff w:val="nothing"/>
      <w:lvlText w:val="%1、"/>
      <w:lvlJc w:val="left"/>
    </w:lvl>
  </w:abstractNum>
  <w:abstractNum w:abstractNumId="1">
    <w:nsid w:val="BB18DA59"/>
    <w:multiLevelType w:val="singleLevel"/>
    <w:tmpl w:val="BB18DA59"/>
    <w:lvl w:ilvl="0" w:tentative="0">
      <w:start w:val="1"/>
      <w:numFmt w:val="decimal"/>
      <w:suff w:val="space"/>
      <w:lvlText w:val="%1."/>
      <w:lvlJc w:val="left"/>
    </w:lvl>
  </w:abstractNum>
  <w:abstractNum w:abstractNumId="2">
    <w:nsid w:val="0000000C"/>
    <w:multiLevelType w:val="multilevel"/>
    <w:tmpl w:val="0000000C"/>
    <w:lvl w:ilvl="0" w:tentative="0">
      <w:start w:val="1"/>
      <w:numFmt w:val="decimal"/>
      <w:pStyle w:val="3"/>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2"/>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4">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92FC9F5"/>
    <w:multiLevelType w:val="singleLevel"/>
    <w:tmpl w:val="592FC9F5"/>
    <w:lvl w:ilvl="0" w:tentative="0">
      <w:start w:val="2"/>
      <w:numFmt w:val="decimal"/>
      <w:suff w:val="nothing"/>
      <w:lvlText w:val="%1、"/>
      <w:lvlJc w:val="left"/>
    </w:lvl>
  </w:abstractNum>
  <w:abstractNum w:abstractNumId="6">
    <w:nsid w:val="59AD13C0"/>
    <w:multiLevelType w:val="singleLevel"/>
    <w:tmpl w:val="59AD13C0"/>
    <w:lvl w:ilvl="0" w:tentative="0">
      <w:start w:val="1"/>
      <w:numFmt w:val="decimal"/>
      <w:suff w:val="nothing"/>
      <w:lvlText w:val="%1、"/>
      <w:lvlJc w:val="left"/>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31A73"/>
    <w:rsid w:val="0003626F"/>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5F05"/>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4ECE"/>
    <w:rsid w:val="001F540B"/>
    <w:rsid w:val="001F5897"/>
    <w:rsid w:val="002025FF"/>
    <w:rsid w:val="00202B0F"/>
    <w:rsid w:val="00202FD5"/>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4B47"/>
    <w:rsid w:val="003E0F1C"/>
    <w:rsid w:val="003E3B37"/>
    <w:rsid w:val="003F6228"/>
    <w:rsid w:val="003F74E5"/>
    <w:rsid w:val="00401CD5"/>
    <w:rsid w:val="00412DB1"/>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7404"/>
    <w:rsid w:val="005131AB"/>
    <w:rsid w:val="00513DBA"/>
    <w:rsid w:val="00516FEB"/>
    <w:rsid w:val="00517363"/>
    <w:rsid w:val="0052288E"/>
    <w:rsid w:val="0052407D"/>
    <w:rsid w:val="00535052"/>
    <w:rsid w:val="00535D44"/>
    <w:rsid w:val="005406E9"/>
    <w:rsid w:val="00540ABC"/>
    <w:rsid w:val="005459CB"/>
    <w:rsid w:val="005544A2"/>
    <w:rsid w:val="0055541F"/>
    <w:rsid w:val="0056315D"/>
    <w:rsid w:val="0056509A"/>
    <w:rsid w:val="00566386"/>
    <w:rsid w:val="0058229C"/>
    <w:rsid w:val="00585A47"/>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B0E01"/>
    <w:rsid w:val="006B24F9"/>
    <w:rsid w:val="006B2DE1"/>
    <w:rsid w:val="006B4B30"/>
    <w:rsid w:val="006B5C9F"/>
    <w:rsid w:val="006C2985"/>
    <w:rsid w:val="006C3E28"/>
    <w:rsid w:val="006D1D35"/>
    <w:rsid w:val="006D57B7"/>
    <w:rsid w:val="006D6F4C"/>
    <w:rsid w:val="006E082D"/>
    <w:rsid w:val="006F1B08"/>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3BF0"/>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E7800"/>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2B20"/>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378AE"/>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11AC"/>
    <w:rsid w:val="00A8156C"/>
    <w:rsid w:val="00A912BA"/>
    <w:rsid w:val="00A97B87"/>
    <w:rsid w:val="00A97FEE"/>
    <w:rsid w:val="00AA0270"/>
    <w:rsid w:val="00AA1233"/>
    <w:rsid w:val="00AA43B4"/>
    <w:rsid w:val="00AA6E88"/>
    <w:rsid w:val="00AA7C5E"/>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110A"/>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7507C"/>
    <w:rsid w:val="00C85DBC"/>
    <w:rsid w:val="00C86602"/>
    <w:rsid w:val="00C86E90"/>
    <w:rsid w:val="00C93BD5"/>
    <w:rsid w:val="00C94E9E"/>
    <w:rsid w:val="00C9573F"/>
    <w:rsid w:val="00C96011"/>
    <w:rsid w:val="00CA0EFA"/>
    <w:rsid w:val="00CA7BE4"/>
    <w:rsid w:val="00CA7D62"/>
    <w:rsid w:val="00CA7EFC"/>
    <w:rsid w:val="00CB2F8C"/>
    <w:rsid w:val="00CB586A"/>
    <w:rsid w:val="00CC0D70"/>
    <w:rsid w:val="00CC5456"/>
    <w:rsid w:val="00CC74BA"/>
    <w:rsid w:val="00CD46F3"/>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4EBB"/>
    <w:rsid w:val="00D875A9"/>
    <w:rsid w:val="00D87C46"/>
    <w:rsid w:val="00D95B4A"/>
    <w:rsid w:val="00D95C0A"/>
    <w:rsid w:val="00D97B94"/>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04D4"/>
    <w:rsid w:val="00E71605"/>
    <w:rsid w:val="00E73DB5"/>
    <w:rsid w:val="00E8159A"/>
    <w:rsid w:val="00E91951"/>
    <w:rsid w:val="00E938B5"/>
    <w:rsid w:val="00EA0499"/>
    <w:rsid w:val="00EA04FA"/>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EF7D81"/>
    <w:rsid w:val="00F00AD0"/>
    <w:rsid w:val="00F07575"/>
    <w:rsid w:val="00F10796"/>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A5648"/>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36A547A"/>
    <w:rsid w:val="055D103B"/>
    <w:rsid w:val="066B0504"/>
    <w:rsid w:val="06FC6A73"/>
    <w:rsid w:val="084E371F"/>
    <w:rsid w:val="08F0374D"/>
    <w:rsid w:val="0A5645ED"/>
    <w:rsid w:val="0B8D2772"/>
    <w:rsid w:val="0C275406"/>
    <w:rsid w:val="0CE21643"/>
    <w:rsid w:val="0D611A26"/>
    <w:rsid w:val="0DB17E50"/>
    <w:rsid w:val="0DB840F5"/>
    <w:rsid w:val="0E1C6AB2"/>
    <w:rsid w:val="0E314D10"/>
    <w:rsid w:val="0EAF7512"/>
    <w:rsid w:val="0F534D9D"/>
    <w:rsid w:val="0F85331E"/>
    <w:rsid w:val="101578CB"/>
    <w:rsid w:val="114C6873"/>
    <w:rsid w:val="121F72FD"/>
    <w:rsid w:val="14654EC6"/>
    <w:rsid w:val="14AD7F5C"/>
    <w:rsid w:val="15A913EB"/>
    <w:rsid w:val="17670313"/>
    <w:rsid w:val="17EB6EA6"/>
    <w:rsid w:val="182C316C"/>
    <w:rsid w:val="18AD0F45"/>
    <w:rsid w:val="18D30E16"/>
    <w:rsid w:val="19A86F01"/>
    <w:rsid w:val="1A250C83"/>
    <w:rsid w:val="1AF302A2"/>
    <w:rsid w:val="1BEA5F64"/>
    <w:rsid w:val="1D006037"/>
    <w:rsid w:val="1D8E2B76"/>
    <w:rsid w:val="1DA4323C"/>
    <w:rsid w:val="1ED87B53"/>
    <w:rsid w:val="1F2707CD"/>
    <w:rsid w:val="1FBC170A"/>
    <w:rsid w:val="21A849C5"/>
    <w:rsid w:val="230F4C7E"/>
    <w:rsid w:val="233F45A2"/>
    <w:rsid w:val="23766FE5"/>
    <w:rsid w:val="2381650F"/>
    <w:rsid w:val="246E4949"/>
    <w:rsid w:val="2588467F"/>
    <w:rsid w:val="26361A62"/>
    <w:rsid w:val="2789638B"/>
    <w:rsid w:val="27BF1592"/>
    <w:rsid w:val="2A6D50C0"/>
    <w:rsid w:val="2C392EE4"/>
    <w:rsid w:val="2DA7411D"/>
    <w:rsid w:val="2EC077B7"/>
    <w:rsid w:val="2EF760B4"/>
    <w:rsid w:val="30965E94"/>
    <w:rsid w:val="311A6F11"/>
    <w:rsid w:val="32730BC7"/>
    <w:rsid w:val="33485455"/>
    <w:rsid w:val="33504CBC"/>
    <w:rsid w:val="35F940DC"/>
    <w:rsid w:val="365A6138"/>
    <w:rsid w:val="37953F1B"/>
    <w:rsid w:val="37A64887"/>
    <w:rsid w:val="385D1102"/>
    <w:rsid w:val="3884472B"/>
    <w:rsid w:val="38A766C8"/>
    <w:rsid w:val="3A570529"/>
    <w:rsid w:val="3AF82448"/>
    <w:rsid w:val="3B49773A"/>
    <w:rsid w:val="3B8E5B0E"/>
    <w:rsid w:val="3BDE6F50"/>
    <w:rsid w:val="3BF46AA8"/>
    <w:rsid w:val="3C8C6228"/>
    <w:rsid w:val="3CF35007"/>
    <w:rsid w:val="3D3F27BE"/>
    <w:rsid w:val="3E0E2A9A"/>
    <w:rsid w:val="3EE76E7A"/>
    <w:rsid w:val="3F7C7F5D"/>
    <w:rsid w:val="3F9A2C13"/>
    <w:rsid w:val="403E487D"/>
    <w:rsid w:val="40945E67"/>
    <w:rsid w:val="41EC4714"/>
    <w:rsid w:val="423C178E"/>
    <w:rsid w:val="42D919BF"/>
    <w:rsid w:val="43137560"/>
    <w:rsid w:val="437C2D5F"/>
    <w:rsid w:val="43EE138F"/>
    <w:rsid w:val="43FB3CF4"/>
    <w:rsid w:val="442A54AB"/>
    <w:rsid w:val="484179B7"/>
    <w:rsid w:val="486F22C4"/>
    <w:rsid w:val="48EE37AD"/>
    <w:rsid w:val="49143C77"/>
    <w:rsid w:val="4B675AE1"/>
    <w:rsid w:val="4B944920"/>
    <w:rsid w:val="4BA81188"/>
    <w:rsid w:val="4D19382D"/>
    <w:rsid w:val="4D9B6CAD"/>
    <w:rsid w:val="4DBF4FB5"/>
    <w:rsid w:val="4DE00FE4"/>
    <w:rsid w:val="4EED3429"/>
    <w:rsid w:val="505D5CA7"/>
    <w:rsid w:val="50B65882"/>
    <w:rsid w:val="51C22300"/>
    <w:rsid w:val="520D5858"/>
    <w:rsid w:val="53B72788"/>
    <w:rsid w:val="54B515DA"/>
    <w:rsid w:val="553C24F9"/>
    <w:rsid w:val="55AE3014"/>
    <w:rsid w:val="571969A3"/>
    <w:rsid w:val="575A26F7"/>
    <w:rsid w:val="58B479CA"/>
    <w:rsid w:val="58DE72BC"/>
    <w:rsid w:val="597532F0"/>
    <w:rsid w:val="59871E39"/>
    <w:rsid w:val="59C9742B"/>
    <w:rsid w:val="5B8A1C8B"/>
    <w:rsid w:val="5D190ED5"/>
    <w:rsid w:val="5D8B2B33"/>
    <w:rsid w:val="5EE21B05"/>
    <w:rsid w:val="5F5D2729"/>
    <w:rsid w:val="5F7A5A4D"/>
    <w:rsid w:val="60476764"/>
    <w:rsid w:val="610C41C4"/>
    <w:rsid w:val="6121215E"/>
    <w:rsid w:val="61A85A2C"/>
    <w:rsid w:val="62122F0B"/>
    <w:rsid w:val="62B63BA4"/>
    <w:rsid w:val="62F85505"/>
    <w:rsid w:val="6376431C"/>
    <w:rsid w:val="6414026A"/>
    <w:rsid w:val="64AF141D"/>
    <w:rsid w:val="654D347D"/>
    <w:rsid w:val="664E7C34"/>
    <w:rsid w:val="666D1DB9"/>
    <w:rsid w:val="66A34CD4"/>
    <w:rsid w:val="66D022EE"/>
    <w:rsid w:val="68743FDA"/>
    <w:rsid w:val="68EF1791"/>
    <w:rsid w:val="69572CAB"/>
    <w:rsid w:val="6A124C1D"/>
    <w:rsid w:val="6A276DF3"/>
    <w:rsid w:val="6A71198E"/>
    <w:rsid w:val="6AE267D7"/>
    <w:rsid w:val="6B2A2F80"/>
    <w:rsid w:val="6B3256CD"/>
    <w:rsid w:val="6B975C07"/>
    <w:rsid w:val="6C693432"/>
    <w:rsid w:val="6E0F570F"/>
    <w:rsid w:val="6E3C0BF3"/>
    <w:rsid w:val="6F854B2B"/>
    <w:rsid w:val="70D26AD3"/>
    <w:rsid w:val="71155ACF"/>
    <w:rsid w:val="716277A0"/>
    <w:rsid w:val="71B6484B"/>
    <w:rsid w:val="72A307E6"/>
    <w:rsid w:val="72A763A4"/>
    <w:rsid w:val="72EF068A"/>
    <w:rsid w:val="731F5E6A"/>
    <w:rsid w:val="752B291E"/>
    <w:rsid w:val="755C3B8D"/>
    <w:rsid w:val="76356E8E"/>
    <w:rsid w:val="7770503A"/>
    <w:rsid w:val="78E76C55"/>
    <w:rsid w:val="7A6D2A63"/>
    <w:rsid w:val="7A78364C"/>
    <w:rsid w:val="7B0A364A"/>
    <w:rsid w:val="7B2F35CD"/>
    <w:rsid w:val="7B49629E"/>
    <w:rsid w:val="7D1D01AB"/>
    <w:rsid w:val="7E091B16"/>
    <w:rsid w:val="7E0D117A"/>
    <w:rsid w:val="7F0C76C2"/>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2">
    <w:name w:val="heading 3"/>
    <w:basedOn w:val="1"/>
    <w:next w:val="1"/>
    <w:link w:val="29"/>
    <w:qFormat/>
    <w:uiPriority w:val="99"/>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99"/>
    <w:rPr>
      <w:rFonts w:cs="Times New Roman"/>
    </w:rPr>
  </w:style>
  <w:style w:type="character" w:styleId="26">
    <w:name w:val="Hyperlink"/>
    <w:basedOn w:val="24"/>
    <w:qFormat/>
    <w:uiPriority w:val="99"/>
    <w:rPr>
      <w:rFonts w:cs="Times New Roman"/>
      <w:color w:val="0000FF"/>
      <w:u w:val="single"/>
    </w:rPr>
  </w:style>
  <w:style w:type="character" w:customStyle="1" w:styleId="27">
    <w:name w:val="标题 1 Char"/>
    <w:basedOn w:val="24"/>
    <w:link w:val="3"/>
    <w:qFormat/>
    <w:uiPriority w:val="9"/>
    <w:rPr>
      <w:b/>
      <w:bCs/>
      <w:kern w:val="44"/>
      <w:sz w:val="44"/>
      <w:szCs w:val="44"/>
    </w:rPr>
  </w:style>
  <w:style w:type="character" w:customStyle="1" w:styleId="28">
    <w:name w:val="标题 2 Char"/>
    <w:basedOn w:val="24"/>
    <w:link w:val="4"/>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4"/>
    <w:link w:val="2"/>
    <w:qFormat/>
    <w:uiPriority w:val="99"/>
    <w:rPr>
      <w:rFonts w:eastAsia="仿宋_GB2312"/>
      <w:b/>
      <w:sz w:val="32"/>
    </w:rPr>
  </w:style>
  <w:style w:type="character" w:customStyle="1" w:styleId="30">
    <w:name w:val="标题 4 Char"/>
    <w:basedOn w:val="24"/>
    <w:link w:val="5"/>
    <w:semiHidden/>
    <w:qFormat/>
    <w:uiPriority w:val="9"/>
    <w:rPr>
      <w:rFonts w:asciiTheme="majorHAnsi" w:hAnsiTheme="majorHAnsi" w:eastAsiaTheme="majorEastAsia" w:cstheme="majorBidi"/>
      <w:b/>
      <w:bCs/>
      <w:sz w:val="28"/>
      <w:szCs w:val="28"/>
    </w:rPr>
  </w:style>
  <w:style w:type="character" w:customStyle="1" w:styleId="31">
    <w:name w:val="文档结构图 Char"/>
    <w:basedOn w:val="24"/>
    <w:link w:val="7"/>
    <w:semiHidden/>
    <w:qFormat/>
    <w:uiPriority w:val="99"/>
    <w:rPr>
      <w:sz w:val="0"/>
      <w:szCs w:val="0"/>
    </w:rPr>
  </w:style>
  <w:style w:type="character" w:customStyle="1" w:styleId="32">
    <w:name w:val="称呼 Char"/>
    <w:basedOn w:val="24"/>
    <w:link w:val="8"/>
    <w:semiHidden/>
    <w:qFormat/>
    <w:uiPriority w:val="99"/>
    <w:rPr>
      <w:szCs w:val="24"/>
    </w:rPr>
  </w:style>
  <w:style w:type="character" w:customStyle="1" w:styleId="33">
    <w:name w:val="正文文本 3 Char"/>
    <w:basedOn w:val="24"/>
    <w:link w:val="9"/>
    <w:semiHidden/>
    <w:qFormat/>
    <w:uiPriority w:val="99"/>
    <w:rPr>
      <w:sz w:val="16"/>
      <w:szCs w:val="16"/>
    </w:rPr>
  </w:style>
  <w:style w:type="character" w:customStyle="1" w:styleId="34">
    <w:name w:val="正文文本 Char"/>
    <w:basedOn w:val="24"/>
    <w:link w:val="10"/>
    <w:semiHidden/>
    <w:qFormat/>
    <w:uiPriority w:val="99"/>
    <w:rPr>
      <w:szCs w:val="24"/>
    </w:rPr>
  </w:style>
  <w:style w:type="character" w:customStyle="1" w:styleId="35">
    <w:name w:val="纯文本 Char"/>
    <w:basedOn w:val="24"/>
    <w:link w:val="12"/>
    <w:semiHidden/>
    <w:qFormat/>
    <w:uiPriority w:val="99"/>
    <w:rPr>
      <w:rFonts w:ascii="宋体" w:hAnsi="Courier New" w:cs="Courier New"/>
      <w:szCs w:val="21"/>
    </w:rPr>
  </w:style>
  <w:style w:type="character" w:customStyle="1" w:styleId="36">
    <w:name w:val="日期 Char"/>
    <w:basedOn w:val="24"/>
    <w:link w:val="13"/>
    <w:qFormat/>
    <w:locked/>
    <w:uiPriority w:val="99"/>
    <w:rPr>
      <w:rFonts w:eastAsia="宋体"/>
      <w:kern w:val="2"/>
      <w:sz w:val="24"/>
      <w:lang w:val="en-US" w:eastAsia="zh-CN"/>
    </w:rPr>
  </w:style>
  <w:style w:type="character" w:customStyle="1" w:styleId="37">
    <w:name w:val="正文文本缩进 2 Char"/>
    <w:basedOn w:val="24"/>
    <w:link w:val="14"/>
    <w:semiHidden/>
    <w:qFormat/>
    <w:uiPriority w:val="99"/>
    <w:rPr>
      <w:szCs w:val="24"/>
    </w:rPr>
  </w:style>
  <w:style w:type="character" w:customStyle="1" w:styleId="38">
    <w:name w:val="批注框文本 Char"/>
    <w:basedOn w:val="24"/>
    <w:link w:val="15"/>
    <w:semiHidden/>
    <w:qFormat/>
    <w:uiPriority w:val="99"/>
    <w:rPr>
      <w:sz w:val="0"/>
      <w:szCs w:val="0"/>
    </w:rPr>
  </w:style>
  <w:style w:type="character" w:customStyle="1" w:styleId="39">
    <w:name w:val="页脚 Char"/>
    <w:basedOn w:val="24"/>
    <w:link w:val="16"/>
    <w:qFormat/>
    <w:locked/>
    <w:uiPriority w:val="99"/>
    <w:rPr>
      <w:rFonts w:eastAsia="宋体" w:cs="Times New Roman"/>
      <w:kern w:val="2"/>
      <w:sz w:val="18"/>
      <w:szCs w:val="18"/>
      <w:lang w:val="en-US" w:eastAsia="zh-CN" w:bidi="ar-SA"/>
    </w:rPr>
  </w:style>
  <w:style w:type="character" w:customStyle="1" w:styleId="40">
    <w:name w:val="页眉 Char"/>
    <w:basedOn w:val="24"/>
    <w:link w:val="17"/>
    <w:qFormat/>
    <w:locked/>
    <w:uiPriority w:val="99"/>
    <w:rPr>
      <w:rFonts w:eastAsia="宋体" w:cs="Times New Roman"/>
      <w:kern w:val="2"/>
      <w:sz w:val="18"/>
      <w:szCs w:val="18"/>
      <w:lang w:val="en-US" w:eastAsia="zh-CN" w:bidi="ar-SA"/>
    </w:rPr>
  </w:style>
  <w:style w:type="character" w:customStyle="1" w:styleId="41">
    <w:name w:val="HTML 预设格式 Char"/>
    <w:basedOn w:val="24"/>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4"/>
    <w:link w:val="45"/>
    <w:qFormat/>
    <w:locked/>
    <w:uiPriority w:val="99"/>
    <w:rPr>
      <w:rFonts w:ascii="楷体_GB2312" w:hAnsi="宋体" w:eastAsia="楷体_GB2312" w:cs="Times New Roman"/>
      <w:snapToGrid w:val="0"/>
      <w:sz w:val="24"/>
      <w:lang w:val="en-US" w:eastAsia="zh-CN" w:bidi="ar-SA"/>
    </w:rPr>
  </w:style>
  <w:style w:type="paragraph" w:customStyle="1" w:styleId="45">
    <w:name w:val="5号正文"/>
    <w:link w:val="44"/>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4"/>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qFormat/>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styleId="5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1166</Words>
  <Characters>6648</Characters>
  <Lines>55</Lines>
  <Paragraphs>15</Paragraphs>
  <TotalTime>22</TotalTime>
  <ScaleCrop>false</ScaleCrop>
  <LinksUpToDate>false</LinksUpToDate>
  <CharactersWithSpaces>7799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2020-06-19T07:41:00Z</dcterms:created>
  <dc:creator>User</dc:creator>
  <cp:lastModifiedBy>【某】知名男子(周鹏翥)</cp:lastModifiedBy>
  <cp:lastPrinted>2019-02-26T23:54:00Z</cp:lastPrinted>
  <dcterms:modified xsi:type="dcterms:W3CDTF">2021-07-20T03:40:02Z</dcterms:modified>
  <dc:title>重庆医科大学第二附属医院江南医院工程</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44BAA2B234784A368AA0F0736F9B50D7</vt:lpwstr>
  </property>
</Properties>
</file>