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00" w:lineRule="exact"/>
        <w:rPr>
          <w:rFonts w:ascii="Times New Roman" w:hAnsi="Times New Roman" w:eastAsia="方正黑体_GBK" w:cs="方正小标宋_GBK"/>
          <w:color w:val="000000"/>
          <w:kern w:val="0"/>
          <w:szCs w:val="32"/>
        </w:rPr>
      </w:pPr>
      <w:r>
        <w:rPr>
          <w:rFonts w:hint="eastAsia" w:ascii="Times New Roman" w:hAnsi="Times New Roman" w:eastAsia="方正黑体_GBK" w:cs="方正小标宋_GBK"/>
          <w:color w:val="000000"/>
          <w:kern w:val="0"/>
          <w:szCs w:val="32"/>
        </w:rPr>
        <w:t>附件2</w:t>
      </w:r>
    </w:p>
    <w:p>
      <w:pPr>
        <w:adjustRightInd w:val="0"/>
        <w:spacing w:line="500" w:lineRule="exact"/>
        <w:jc w:val="center"/>
        <w:rPr>
          <w:rFonts w:ascii="方正小标宋_GBK" w:hAnsi="方正小标宋_GBK" w:eastAsia="方正小标宋_GBK" w:cs="方正小标宋_GBK"/>
          <w:color w:val="000000"/>
          <w:kern w:val="0"/>
          <w:sz w:val="36"/>
          <w:szCs w:val="36"/>
        </w:rPr>
      </w:pPr>
      <w:bookmarkStart w:id="0" w:name="_GoBack"/>
      <w:r>
        <w:rPr>
          <w:rFonts w:hint="eastAsia" w:ascii="方正小标宋_GBK" w:hAnsi="方正小标宋_GBK" w:eastAsia="方正小标宋_GBK" w:cs="方正小标宋_GBK"/>
          <w:color w:val="000000"/>
          <w:kern w:val="0"/>
          <w:sz w:val="36"/>
          <w:szCs w:val="36"/>
        </w:rPr>
        <w:t>颅骨修补术等34项医疗服务项目价格表</w:t>
      </w:r>
    </w:p>
    <w:bookmarkEnd w:id="0"/>
    <w:p>
      <w:pPr>
        <w:adjustRightInd w:val="0"/>
        <w:spacing w:line="500" w:lineRule="exact"/>
        <w:jc w:val="center"/>
      </w:pPr>
    </w:p>
    <w:tbl>
      <w:tblPr>
        <w:tblStyle w:val="3"/>
        <w:tblW w:w="14180" w:type="dxa"/>
        <w:jc w:val="center"/>
        <w:tblLayout w:type="fixed"/>
        <w:tblCellMar>
          <w:top w:w="0" w:type="dxa"/>
          <w:left w:w="0" w:type="dxa"/>
          <w:bottom w:w="0" w:type="dxa"/>
          <w:right w:w="0" w:type="dxa"/>
        </w:tblCellMar>
      </w:tblPr>
      <w:tblGrid>
        <w:gridCol w:w="704"/>
        <w:gridCol w:w="1156"/>
        <w:gridCol w:w="1822"/>
        <w:gridCol w:w="1727"/>
        <w:gridCol w:w="1256"/>
        <w:gridCol w:w="1015"/>
        <w:gridCol w:w="1387"/>
        <w:gridCol w:w="1503"/>
        <w:gridCol w:w="1115"/>
        <w:gridCol w:w="1230"/>
        <w:gridCol w:w="1265"/>
      </w:tblGrid>
      <w:tr>
        <w:tblPrEx>
          <w:tblCellMar>
            <w:top w:w="0" w:type="dxa"/>
            <w:left w:w="0" w:type="dxa"/>
            <w:bottom w:w="0" w:type="dxa"/>
            <w:right w:w="0" w:type="dxa"/>
          </w:tblCellMar>
        </w:tblPrEx>
        <w:trPr>
          <w:cantSplit/>
          <w:trHeight w:val="520" w:hRule="atLeast"/>
          <w:tblHeader/>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序号 </w:t>
            </w:r>
          </w:p>
        </w:tc>
        <w:tc>
          <w:tcPr>
            <w:tcW w:w="11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项目编码 </w:t>
            </w:r>
          </w:p>
        </w:tc>
        <w:tc>
          <w:tcPr>
            <w:tcW w:w="1822"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项目名称 </w:t>
            </w:r>
          </w:p>
        </w:tc>
        <w:tc>
          <w:tcPr>
            <w:tcW w:w="172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项目内涵 </w:t>
            </w:r>
          </w:p>
        </w:tc>
        <w:tc>
          <w:tcPr>
            <w:tcW w:w="125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除外内容 </w:t>
            </w:r>
          </w:p>
        </w:tc>
        <w:tc>
          <w:tcPr>
            <w:tcW w:w="101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计价单位 </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政府指导价</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(二级医院)</w:t>
            </w:r>
          </w:p>
        </w:tc>
        <w:tc>
          <w:tcPr>
            <w:tcW w:w="150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 说明 </w:t>
            </w:r>
          </w:p>
        </w:tc>
        <w:tc>
          <w:tcPr>
            <w:tcW w:w="111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医保属性</w:t>
            </w:r>
          </w:p>
        </w:tc>
        <w:tc>
          <w:tcPr>
            <w:tcW w:w="1230"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医保结算标准</w:t>
            </w:r>
          </w:p>
        </w:tc>
        <w:tc>
          <w:tcPr>
            <w:tcW w:w="1265"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备注</w:t>
            </w:r>
          </w:p>
        </w:tc>
      </w:tr>
      <w:tr>
        <w:tblPrEx>
          <w:tblCellMar>
            <w:top w:w="0" w:type="dxa"/>
            <w:left w:w="0" w:type="dxa"/>
            <w:bottom w:w="0" w:type="dxa"/>
            <w:right w:w="0" w:type="dxa"/>
          </w:tblCellMar>
        </w:tblPrEx>
        <w:trPr>
          <w:cantSplit/>
          <w:trHeight w:val="6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330201009</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颅骨修补术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包括假体植入</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修补材料</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1,500.00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330201024</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幕上深部病变切除术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包括脑室内肿瘤、海绵状血管瘤、胼胝体肿瘤、三室前(突入到第三脑室)颅咽管瘤、后部肿瘤、脑脓肿；不含矢状窦旁脑膜瘤</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4,185.00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4,185.00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825"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330201037</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脑干肿瘤切除术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包括中脑、桥脑、延髓、丘脑肿瘤、自发脑干血肿、脑干血管畸形、小脑实性血网</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5,265.00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5,265.00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4</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330201038</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鞍区占位病变切除术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包括垂体瘤、鞍区颅咽管瘤、视神经胶质瘤；不含侵袭性垂体瘤、突入到第三脑室颅咽管瘤、鞍结节脑膜瘤、下丘脑胶质瘤</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4,455.00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5</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330201041</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颅底肿瘤切除术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4,590.00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颅底再造按颅骨修补处理；使用电磁导航系统加收1600元</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4,590.00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颅底再造纳入医保按甲类报销</w:t>
            </w:r>
          </w:p>
        </w:tc>
      </w:tr>
      <w:tr>
        <w:tblPrEx>
          <w:tblCellMar>
            <w:top w:w="0" w:type="dxa"/>
            <w:left w:w="0" w:type="dxa"/>
            <w:bottom w:w="0" w:type="dxa"/>
            <w:right w:w="0" w:type="dxa"/>
          </w:tblCellMar>
        </w:tblPrEx>
        <w:trPr>
          <w:cantSplit/>
          <w:trHeight w:val="945"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330203001</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颅内巨大动脉瘤夹闭切除术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指动脉瘤直径等于或大于2.5cm；包括基底动脉瘤、大脑后动脉瘤；不含血管重建术</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动脉瘤夹</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4,725.00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多夹除一个动脉瘤加收600元</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4,725.00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多夹除一个动脉瘤加收600元纳入医保按甲类报销</w:t>
            </w:r>
          </w:p>
        </w:tc>
      </w:tr>
      <w:tr>
        <w:tblPrEx>
          <w:tblCellMar>
            <w:top w:w="0" w:type="dxa"/>
            <w:left w:w="0" w:type="dxa"/>
            <w:bottom w:w="0" w:type="dxa"/>
            <w:right w:w="0" w:type="dxa"/>
          </w:tblCellMar>
        </w:tblPrEx>
        <w:trPr>
          <w:cantSplit/>
          <w:trHeight w:val="52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7</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330502003</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耳显微镜下鼓膜修补术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包括内植法、夹层法、外贴法</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8</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330502004</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经耳内镜鼓膜修补术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含取筋膜</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5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9</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330604006</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阻生牙拔除术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指低位阻生</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每牙</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完全骨阻生加收40元；多生牙加收20元；使用特殊器械下的微创拨牙加收200元</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1.完全骨阻生加收40元纳入医保按甲类报销；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2.多生牙加收20元纳入医保按甲类报销。</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10</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330701005</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气管切开术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350.00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350.00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11</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330702009</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肺大泡切除修补术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包括结扎、固化</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12</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330702011</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肺修补术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1,823.00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13</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330801018</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室间隔缺损直视修补术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含缝合法</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2,835.00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14</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330804054</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动静脉人工内瘘成形术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包括原部位的动、静脉吻合，动静脉内外瘘栓塞再通术</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850.00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850.00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15</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330900016</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脾部分切除术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1,620.00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16</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330900017</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脾修补术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1,485.00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17</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330900018</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脾切除术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包括副脾切除、胰尾切除术</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1,125.00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78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18</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331003022</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阑尾切除术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指单纯性</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Hem-o-loK结扎夹、生物夹</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化脓性、坏疽性加收100元</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575.00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化脓性、坏疽性加收100元纳入医保按甲类报销</w:t>
            </w:r>
          </w:p>
        </w:tc>
      </w:tr>
      <w:tr>
        <w:tblPrEx>
          <w:tblCellMar>
            <w:top w:w="0" w:type="dxa"/>
            <w:left w:w="0" w:type="dxa"/>
            <w:bottom w:w="0" w:type="dxa"/>
            <w:right w:w="0" w:type="dxa"/>
          </w:tblCellMar>
        </w:tblPrEx>
        <w:trPr>
          <w:cantSplit/>
          <w:trHeight w:val="52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19</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331006002</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胆囊切除术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包括胆囊切开取石术    </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Hem-o-loK结扎夹、生物夹</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1,188.00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04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20</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331007006</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胰十二指肠切除术(Whipple手术)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包括各种胰管空肠吻合、胃空肠吻合术、胆管肠吻合术以及胰体癌或壶腹周围癌根治术；不含脾切除术</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3,375.00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21</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331007011</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胰管空肠吻合术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2,160.00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22</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331008001</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腹股沟疝修补术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包括各种方法修补</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补片</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单侧</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725.00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725.00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23</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331008003</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充填式无张力疝修补术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补片、填充物</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单侧  </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750.00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24</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331008004</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脐疝修补术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补片</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813.00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25</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331008005</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腹壁切口疝修补术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包括腹白线疝或腰疝修补</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补片</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850.00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850.00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26</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331008006</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会阴疝修补术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补片</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850.00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850.00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27</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331303001</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宫颈息肉切除术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包括子宫内膜息肉、宫颈管息肉</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165.00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28</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331303014</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腹式全子宫切除术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包括筋膜内全子宫切除术</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1,250.00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29</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331305005</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外阴良性肿物切除术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包括肿瘤、囊肿、赘生物等</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288.00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15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30</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420000007</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骨折夹板外固定术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含修复固定,包括复查调整、8字绷带外固定术、叠瓦氏外固定术</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外固定材料</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xml:space="preserve">复查调整每次收取10元；指(趾)收取50元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135.00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1.复查调整每次收取10元纳入医保按甲类报销；</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2.指(趾)收取50元纳入医保按甲类报销。</w:t>
            </w:r>
          </w:p>
        </w:tc>
      </w:tr>
      <w:tr>
        <w:tblPrEx>
          <w:tblCellMar>
            <w:top w:w="0" w:type="dxa"/>
            <w:left w:w="0" w:type="dxa"/>
            <w:bottom w:w="0" w:type="dxa"/>
            <w:right w:w="0" w:type="dxa"/>
          </w:tblCellMar>
        </w:tblPrEx>
        <w:trPr>
          <w:cantSplit/>
          <w:trHeight w:val="52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31</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420000011</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关节粘连传统松解术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95.00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大关节加收50元</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95.00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大关节加收50元纳入医保按甲类报销</w:t>
            </w:r>
          </w:p>
        </w:tc>
      </w:tr>
      <w:tr>
        <w:tblPrEx>
          <w:tblCellMar>
            <w:top w:w="0" w:type="dxa"/>
            <w:left w:w="0" w:type="dxa"/>
            <w:bottom w:w="0" w:type="dxa"/>
            <w:right w:w="0" w:type="dxa"/>
          </w:tblCellMar>
        </w:tblPrEx>
        <w:trPr>
          <w:cantSplit/>
          <w:trHeight w:val="52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32</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420000012</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外固定调整术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包括骨折外固定架、外固定夹板调整</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34.00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26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33</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420000013</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中医定向透药疗法</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含仪器使用</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药物</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部位</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乙类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28.00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0" w:type="dxa"/>
            <w:bottom w:w="0" w:type="dxa"/>
            <w:right w:w="0" w:type="dxa"/>
          </w:tblCellMar>
        </w:tblPrEx>
        <w:trPr>
          <w:cantSplit/>
          <w:trHeight w:val="52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34</w:t>
            </w:r>
          </w:p>
        </w:tc>
        <w:tc>
          <w:tcPr>
            <w:tcW w:w="11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420000016</w:t>
            </w:r>
          </w:p>
        </w:tc>
        <w:tc>
          <w:tcPr>
            <w:tcW w:w="1822"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骨折畸形愈合手法折骨术</w:t>
            </w:r>
          </w:p>
        </w:tc>
        <w:tc>
          <w:tcPr>
            <w:tcW w:w="172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含折骨过程、重新整复及固定过程</w:t>
            </w:r>
          </w:p>
        </w:tc>
        <w:tc>
          <w:tcPr>
            <w:tcW w:w="1256"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固定物</w:t>
            </w:r>
          </w:p>
        </w:tc>
        <w:tc>
          <w:tcPr>
            <w:tcW w:w="101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次</w:t>
            </w:r>
          </w:p>
        </w:tc>
        <w:tc>
          <w:tcPr>
            <w:tcW w:w="1387"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406.00</w:t>
            </w:r>
          </w:p>
        </w:tc>
        <w:tc>
          <w:tcPr>
            <w:tcW w:w="1503"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115"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jc w:val="center"/>
              <w:textAlignment w:val="center"/>
              <w:rPr>
                <w:rFonts w:ascii="宋体" w:hAnsi="宋体" w:eastAsia="宋体" w:cs="宋体"/>
                <w:color w:val="000000"/>
                <w:kern w:val="0"/>
                <w:sz w:val="20"/>
              </w:rPr>
            </w:pPr>
            <w:r>
              <w:rPr>
                <w:rFonts w:hint="eastAsia" w:ascii="宋体" w:hAnsi="宋体" w:eastAsia="宋体" w:cs="宋体"/>
                <w:color w:val="000000"/>
                <w:kern w:val="0"/>
                <w:sz w:val="20"/>
              </w:rPr>
              <w:t>甲类</w:t>
            </w:r>
          </w:p>
        </w:tc>
        <w:tc>
          <w:tcPr>
            <w:tcW w:w="1230" w:type="dxa"/>
            <w:tcBorders>
              <w:top w:val="nil"/>
              <w:left w:val="nil"/>
              <w:bottom w:val="single" w:color="auto" w:sz="4" w:space="0"/>
              <w:right w:val="single" w:color="auto" w:sz="4" w:space="0"/>
            </w:tcBorders>
            <w:shd w:val="clear" w:color="auto" w:fill="auto"/>
            <w:noWrap/>
            <w:vAlign w:val="center"/>
          </w:tcPr>
          <w:p>
            <w:pPr>
              <w:widowControl/>
              <w:adjustRightInd w:val="0"/>
              <w:snapToGrid w:val="0"/>
              <w:spacing w:line="280" w:lineRule="exact"/>
              <w:ind w:right="160" w:rightChars="50"/>
              <w:jc w:val="right"/>
              <w:textAlignment w:val="center"/>
              <w:rPr>
                <w:rFonts w:ascii="宋体" w:hAnsi="宋体" w:eastAsia="宋体" w:cs="宋体"/>
                <w:color w:val="000000"/>
                <w:kern w:val="0"/>
                <w:sz w:val="20"/>
              </w:rPr>
            </w:pPr>
            <w:r>
              <w:rPr>
                <w:rFonts w:hint="eastAsia" w:ascii="宋体" w:hAnsi="宋体" w:eastAsia="宋体" w:cs="宋体"/>
                <w:color w:val="000000"/>
                <w:kern w:val="0"/>
                <w:sz w:val="20"/>
              </w:rPr>
              <w:t>406.00</w:t>
            </w:r>
          </w:p>
        </w:tc>
        <w:tc>
          <w:tcPr>
            <w:tcW w:w="126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80" w:lineRule="exact"/>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　</w:t>
            </w:r>
          </w:p>
        </w:tc>
      </w:tr>
    </w:tbl>
    <w:p>
      <w:pPr>
        <w:snapToGrid w:val="0"/>
        <w:spacing w:line="280" w:lineRule="exact"/>
      </w:pPr>
    </w:p>
    <w:p>
      <w:pPr>
        <w:snapToGrid w:val="0"/>
        <w:spacing w:line="280" w:lineRule="exact"/>
        <w:rPr>
          <w:rFonts w:ascii="Times New Roman" w:hAnsi="Times New Roman"/>
          <w:sz w:val="24"/>
          <w:szCs w:val="24"/>
        </w:rPr>
      </w:pPr>
      <w:r>
        <w:rPr>
          <w:rFonts w:hint="eastAsia" w:ascii="Times New Roman" w:hAnsi="Times New Roman"/>
          <w:sz w:val="24"/>
          <w:szCs w:val="24"/>
        </w:rPr>
        <w:t xml:space="preserve">说明：此表项目价格表仅限《重庆市医药卫生体制综合改革试点领导小组办公室关于最终确定参与全市公立医院综合改革 </w:t>
      </w:r>
    </w:p>
    <w:p>
      <w:pPr>
        <w:snapToGrid w:val="0"/>
        <w:spacing w:line="280" w:lineRule="exact"/>
        <w:ind w:left="720" w:leftChars="225" w:firstLine="0" w:firstLineChars="0"/>
      </w:pPr>
      <w:r>
        <w:rPr>
          <w:rFonts w:hint="eastAsia" w:ascii="Times New Roman" w:hAnsi="Times New Roman"/>
          <w:sz w:val="24"/>
          <w:szCs w:val="24"/>
        </w:rPr>
        <w:t>医院名单的通知》</w:t>
      </w:r>
      <w:r>
        <w:rPr>
          <w:rFonts w:hint="eastAsia" w:ascii="Times New Roman" w:hAnsi="Times New Roman"/>
          <w:sz w:val="24"/>
          <w:szCs w:val="24"/>
          <w:lang w:eastAsia="zh-CN"/>
        </w:rPr>
        <w:t>（</w:t>
      </w:r>
      <w:r>
        <w:rPr>
          <w:rFonts w:ascii="Times New Roman" w:hAnsi="Times New Roman"/>
          <w:sz w:val="24"/>
          <w:szCs w:val="24"/>
        </w:rPr>
        <w:t>2018年8月28日印发</w:t>
      </w:r>
      <w:r>
        <w:rPr>
          <w:rFonts w:hint="eastAsia" w:ascii="Times New Roman" w:hAnsi="Times New Roman"/>
          <w:sz w:val="24"/>
          <w:szCs w:val="24"/>
          <w:lang w:eastAsia="zh-CN"/>
        </w:rPr>
        <w:t>）</w:t>
      </w:r>
      <w:r>
        <w:rPr>
          <w:rFonts w:ascii="Times New Roman" w:hAnsi="Times New Roman"/>
          <w:sz w:val="24"/>
          <w:szCs w:val="24"/>
        </w:rPr>
        <w:t>确认的名单之外的公立医疗机构执行，即未执行渝价规〔2017〕4号文件的基层公立医疗机构执行此表中的医疗服务项目价格。</w:t>
      </w:r>
    </w:p>
    <w:p/>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D56BC"/>
    <w:rsid w:val="591D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方正仿宋_GBK" w:cstheme="minorBidi"/>
      <w:kern w:val="2"/>
      <w:sz w:val="3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2021-12-06T01:51:00Z</dcterms:created>
  <dc:creator>瑞秀中国</dc:creator>
  <cp:lastModifiedBy>瑞秀中国</cp:lastModifiedBy>
  <dcterms:modified xsi:type="dcterms:W3CDTF">2021-12-06T01:53:24Z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