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6505">
      <w:pPr>
        <w:spacing w:line="276" w:lineRule="auto"/>
        <w:rPr>
          <w:rFonts w:hint="eastAsia" w:ascii="宋体"/>
          <w:b/>
          <w:bCs/>
          <w:color w:val="auto"/>
          <w:sz w:val="22"/>
          <w:highlight w:val="none"/>
        </w:rPr>
      </w:pPr>
    </w:p>
    <w:p w14:paraId="298B28FB">
      <w:pPr>
        <w:spacing w:line="276" w:lineRule="auto"/>
        <w:rPr>
          <w:rFonts w:ascii="宋体"/>
          <w:b/>
          <w:bCs/>
          <w:color w:val="auto"/>
          <w:sz w:val="22"/>
          <w:highlight w:val="none"/>
        </w:rPr>
      </w:pPr>
      <w:r>
        <w:rPr>
          <w:rFonts w:hint="eastAsia" w:ascii="宋体"/>
          <w:b/>
          <w:bCs/>
          <w:color w:val="auto"/>
          <w:sz w:val="22"/>
          <w:highlight w:val="none"/>
        </w:rPr>
        <w:t>项目编号：CH2025017</w:t>
      </w:r>
    </w:p>
    <w:p w14:paraId="52A0714A">
      <w:pPr>
        <w:spacing w:line="276" w:lineRule="auto"/>
        <w:jc w:val="right"/>
        <w:rPr>
          <w:rFonts w:ascii="宋体"/>
          <w:color w:val="auto"/>
          <w:sz w:val="22"/>
          <w:highlight w:val="none"/>
          <w:u w:val="single"/>
        </w:rPr>
      </w:pPr>
    </w:p>
    <w:p w14:paraId="4610A40B">
      <w:pPr>
        <w:spacing w:line="276" w:lineRule="auto"/>
        <w:jc w:val="center"/>
        <w:rPr>
          <w:rFonts w:ascii="宋体" w:hAnsi="宋体"/>
          <w:color w:val="auto"/>
          <w:sz w:val="44"/>
          <w:szCs w:val="44"/>
          <w:highlight w:val="none"/>
        </w:rPr>
      </w:pPr>
    </w:p>
    <w:p w14:paraId="74AF9D01">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54440949">
      <w:pPr>
        <w:wordWrap w:val="0"/>
        <w:autoSpaceDE w:val="0"/>
        <w:autoSpaceDN w:val="0"/>
        <w:adjustRightInd w:val="0"/>
        <w:spacing w:before="120" w:after="120" w:line="276"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金属类办公家具零星采购</w:t>
      </w:r>
    </w:p>
    <w:p w14:paraId="129DE5A8">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3C94420B">
      <w:pPr>
        <w:wordWrap w:val="0"/>
        <w:autoSpaceDE w:val="0"/>
        <w:autoSpaceDN w:val="0"/>
        <w:adjustRightInd w:val="0"/>
        <w:spacing w:line="276" w:lineRule="auto"/>
        <w:jc w:val="center"/>
        <w:rPr>
          <w:rFonts w:eastAsia="彩虹小标宋"/>
          <w:b/>
          <w:snapToGrid w:val="0"/>
          <w:color w:val="auto"/>
          <w:sz w:val="36"/>
          <w:szCs w:val="48"/>
          <w:highlight w:val="none"/>
        </w:rPr>
      </w:pPr>
    </w:p>
    <w:p w14:paraId="308E7AF7">
      <w:pPr>
        <w:wordWrap w:val="0"/>
        <w:autoSpaceDE w:val="0"/>
        <w:autoSpaceDN w:val="0"/>
        <w:adjustRightInd w:val="0"/>
        <w:spacing w:line="276" w:lineRule="auto"/>
        <w:ind w:firstLine="624"/>
        <w:jc w:val="left"/>
        <w:rPr>
          <w:snapToGrid w:val="0"/>
          <w:color w:val="auto"/>
          <w:sz w:val="32"/>
          <w:highlight w:val="none"/>
        </w:rPr>
      </w:pPr>
    </w:p>
    <w:p w14:paraId="5CE9AD28">
      <w:pPr>
        <w:pStyle w:val="2"/>
        <w:spacing w:line="276" w:lineRule="auto"/>
        <w:rPr>
          <w:color w:val="auto"/>
          <w:highlight w:val="none"/>
        </w:rPr>
      </w:pPr>
    </w:p>
    <w:p w14:paraId="3DAB496A">
      <w:pPr>
        <w:adjustRightInd w:val="0"/>
        <w:spacing w:line="276" w:lineRule="auto"/>
        <w:ind w:firstLine="624"/>
        <w:jc w:val="center"/>
        <w:rPr>
          <w:snapToGrid w:val="0"/>
          <w:color w:val="auto"/>
          <w:sz w:val="44"/>
          <w:highlight w:val="none"/>
        </w:rPr>
      </w:pPr>
    </w:p>
    <w:p w14:paraId="1B2F50B8">
      <w:pPr>
        <w:adjustRightInd w:val="0"/>
        <w:spacing w:line="276" w:lineRule="auto"/>
        <w:ind w:firstLine="624"/>
        <w:jc w:val="center"/>
        <w:rPr>
          <w:snapToGrid w:val="0"/>
          <w:color w:val="auto"/>
          <w:sz w:val="44"/>
          <w:highlight w:val="none"/>
        </w:rPr>
      </w:pPr>
    </w:p>
    <w:p w14:paraId="48CE1B47">
      <w:pPr>
        <w:adjustRightInd w:val="0"/>
        <w:spacing w:line="276" w:lineRule="auto"/>
        <w:ind w:firstLine="624"/>
        <w:jc w:val="center"/>
        <w:rPr>
          <w:snapToGrid w:val="0"/>
          <w:color w:val="auto"/>
          <w:sz w:val="44"/>
          <w:highlight w:val="none"/>
        </w:rPr>
      </w:pPr>
    </w:p>
    <w:p w14:paraId="437706EC">
      <w:pPr>
        <w:pStyle w:val="2"/>
        <w:rPr>
          <w:color w:val="auto"/>
          <w:highlight w:val="none"/>
        </w:rPr>
      </w:pPr>
    </w:p>
    <w:p w14:paraId="2D8413BB">
      <w:pPr>
        <w:rPr>
          <w:color w:val="auto"/>
          <w:highlight w:val="none"/>
        </w:rPr>
      </w:pPr>
    </w:p>
    <w:p w14:paraId="0326A5C8">
      <w:pPr>
        <w:pStyle w:val="2"/>
        <w:rPr>
          <w:color w:val="auto"/>
          <w:highlight w:val="none"/>
        </w:rPr>
      </w:pPr>
    </w:p>
    <w:p w14:paraId="340DB47C">
      <w:pPr>
        <w:rPr>
          <w:color w:val="auto"/>
          <w:highlight w:val="none"/>
        </w:rPr>
      </w:pPr>
    </w:p>
    <w:p w14:paraId="12ED27CE">
      <w:pPr>
        <w:pStyle w:val="2"/>
        <w:rPr>
          <w:color w:val="auto"/>
          <w:highlight w:val="none"/>
        </w:rPr>
      </w:pPr>
    </w:p>
    <w:p w14:paraId="7B83F554">
      <w:pPr>
        <w:rPr>
          <w:color w:val="auto"/>
          <w:highlight w:val="none"/>
        </w:rPr>
      </w:pPr>
    </w:p>
    <w:p w14:paraId="37679C9A">
      <w:pPr>
        <w:pStyle w:val="2"/>
        <w:rPr>
          <w:color w:val="auto"/>
          <w:highlight w:val="none"/>
        </w:rPr>
      </w:pPr>
    </w:p>
    <w:p w14:paraId="412B3E5A">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39AE2742">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六</w:t>
      </w:r>
      <w:r>
        <w:rPr>
          <w:rFonts w:hint="eastAsia"/>
          <w:snapToGrid w:val="0"/>
          <w:color w:val="auto"/>
          <w:sz w:val="36"/>
          <w:szCs w:val="36"/>
          <w:highlight w:val="none"/>
        </w:rPr>
        <w:t>月</w:t>
      </w:r>
    </w:p>
    <w:p w14:paraId="1FB7708E">
      <w:pPr>
        <w:spacing w:line="276" w:lineRule="auto"/>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722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1EC6A141">
            <w:pPr>
              <w:pStyle w:val="34"/>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013DF76B">
            <w:pPr>
              <w:pStyle w:val="34"/>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4B157590">
            <w:pPr>
              <w:pStyle w:val="34"/>
              <w:spacing w:line="276" w:lineRule="auto"/>
              <w:ind w:firstLine="0"/>
              <w:jc w:val="center"/>
              <w:rPr>
                <w:color w:val="auto"/>
                <w:szCs w:val="24"/>
                <w:highlight w:val="none"/>
              </w:rPr>
            </w:pPr>
            <w:r>
              <w:rPr>
                <w:rFonts w:hint="eastAsia"/>
                <w:color w:val="auto"/>
                <w:szCs w:val="24"/>
                <w:highlight w:val="none"/>
              </w:rPr>
              <w:t>说明与要求</w:t>
            </w:r>
          </w:p>
        </w:tc>
      </w:tr>
      <w:tr w14:paraId="032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630B1759">
            <w:pPr>
              <w:pStyle w:val="13"/>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2E3D0061">
            <w:pPr>
              <w:pStyle w:val="13"/>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4B4C89F0">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eastAsia="仿宋_GB2312"/>
                <w:color w:val="auto"/>
                <w:sz w:val="24"/>
                <w:highlight w:val="none"/>
              </w:rPr>
              <w:t>金属类办公家具零星采购</w:t>
            </w:r>
          </w:p>
        </w:tc>
      </w:tr>
      <w:tr w14:paraId="42EF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43A903CF">
            <w:pPr>
              <w:pStyle w:val="34"/>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0E831B08">
            <w:pPr>
              <w:pStyle w:val="34"/>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6CC5D616">
            <w:pPr>
              <w:rPr>
                <w:rFonts w:ascii="仿宋_GB2312" w:eastAsia="仿宋_GB2312"/>
                <w:color w:val="auto"/>
                <w:sz w:val="24"/>
                <w:highlight w:val="none"/>
              </w:rPr>
            </w:pPr>
            <w:r>
              <w:rPr>
                <w:rFonts w:hint="eastAsia" w:ascii="仿宋_GB2312" w:eastAsia="仿宋_GB2312"/>
                <w:color w:val="auto"/>
                <w:sz w:val="24"/>
                <w:highlight w:val="none"/>
              </w:rPr>
              <w:t>1.项目地点：渝中院区（渝中区临江路74号）、江南院区（南岸区天文大道288号）。</w:t>
            </w:r>
          </w:p>
          <w:p w14:paraId="7234998A">
            <w:pPr>
              <w:rPr>
                <w:rFonts w:hint="eastAsia" w:eastAsia="仿宋_GB2312"/>
                <w:color w:val="auto"/>
                <w:highlight w:val="none"/>
                <w:lang w:val="en-US" w:eastAsia="zh-CN"/>
              </w:rPr>
            </w:pPr>
            <w:r>
              <w:rPr>
                <w:rFonts w:hint="eastAsia" w:ascii="仿宋_GB2312" w:eastAsia="仿宋_GB2312"/>
                <w:color w:val="auto"/>
                <w:sz w:val="24"/>
                <w:highlight w:val="none"/>
              </w:rPr>
              <w:t>2.采购内容：零星金属类办公家具设计制作、供货安装，详见附件2金属类办公家具技术参数及限价</w:t>
            </w:r>
            <w:r>
              <w:rPr>
                <w:rFonts w:hint="eastAsia" w:ascii="仿宋_GB2312" w:eastAsia="仿宋_GB2312"/>
                <w:color w:val="auto"/>
                <w:sz w:val="24"/>
                <w:highlight w:val="none"/>
                <w:lang w:val="en-US" w:eastAsia="zh-CN"/>
              </w:rPr>
              <w:t>清单。</w:t>
            </w:r>
          </w:p>
          <w:p w14:paraId="7BC33019">
            <w:pPr>
              <w:rPr>
                <w:rFonts w:ascii="仿宋_GB2312" w:eastAsia="仿宋_GB2312"/>
                <w:color w:val="auto"/>
                <w:sz w:val="24"/>
                <w:highlight w:val="none"/>
              </w:rPr>
            </w:pPr>
            <w:r>
              <w:rPr>
                <w:rFonts w:hint="eastAsia" w:ascii="仿宋_GB2312" w:eastAsia="仿宋_GB2312"/>
                <w:color w:val="auto"/>
                <w:sz w:val="24"/>
                <w:highlight w:val="none"/>
              </w:rPr>
              <w:t>3.质保期（验收合格之日起）：5年</w:t>
            </w:r>
          </w:p>
          <w:p w14:paraId="46D6CC69">
            <w:pPr>
              <w:spacing w:line="276" w:lineRule="auto"/>
              <w:rPr>
                <w:rFonts w:ascii="仿宋_GB2312" w:eastAsia="仿宋_GB2312"/>
                <w:color w:val="auto"/>
                <w:sz w:val="24"/>
                <w:highlight w:val="none"/>
              </w:rPr>
            </w:pPr>
            <w:r>
              <w:rPr>
                <w:rFonts w:hint="eastAsia" w:ascii="仿宋_GB2312" w:eastAsia="仿宋_GB2312"/>
                <w:color w:val="auto"/>
                <w:sz w:val="24"/>
                <w:highlight w:val="none"/>
              </w:rPr>
              <w:t>4.合作期：</w:t>
            </w:r>
            <w:r>
              <w:rPr>
                <w:rFonts w:hint="eastAsia" w:ascii="仿宋_GB2312" w:eastAsia="仿宋_GB2312"/>
                <w:color w:val="auto"/>
                <w:sz w:val="24"/>
                <w:highlight w:val="none"/>
                <w:lang w:val="en-US" w:eastAsia="zh-CN"/>
              </w:rPr>
              <w:t>合同签订生效之日起</w:t>
            </w:r>
            <w:r>
              <w:rPr>
                <w:rFonts w:hint="eastAsia" w:ascii="仿宋_GB2312" w:eastAsia="仿宋_GB2312"/>
                <w:color w:val="auto"/>
                <w:sz w:val="24"/>
                <w:highlight w:val="none"/>
              </w:rPr>
              <w:t>1年或结算累计至本项目预算金额（不超过</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0万元）</w:t>
            </w:r>
          </w:p>
        </w:tc>
      </w:tr>
      <w:tr w14:paraId="6C4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74B826C5">
            <w:pPr>
              <w:pStyle w:val="34"/>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13460BC2">
            <w:pPr>
              <w:pStyle w:val="34"/>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03079F3D">
            <w:pPr>
              <w:numPr>
                <w:ilvl w:val="0"/>
                <w:numId w:val="3"/>
              </w:numPr>
              <w:rPr>
                <w:rFonts w:ascii="仿宋_GB2312" w:eastAsia="仿宋_GB2312"/>
                <w:b/>
                <w:color w:val="auto"/>
                <w:sz w:val="24"/>
                <w:highlight w:val="none"/>
              </w:rPr>
            </w:pPr>
            <w:r>
              <w:rPr>
                <w:rFonts w:hint="eastAsia" w:ascii="仿宋_GB2312" w:eastAsia="仿宋_GB2312"/>
                <w:b/>
                <w:color w:val="auto"/>
                <w:sz w:val="24"/>
                <w:highlight w:val="none"/>
              </w:rPr>
              <w:t>产品要求：</w:t>
            </w:r>
          </w:p>
          <w:p w14:paraId="56748D13">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1．1质量必须符合国家相关标准、行业标准、地方标准或者其他标准、规范。包括但不限于《金属家具通用技术条件》GB/T3325-2017、《国家纺织产品基本安全技术规范》GB18401-2010。</w:t>
            </w:r>
          </w:p>
          <w:p w14:paraId="5054E84C">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1.2产品类别及技术参数详见附件2：金属类办公家具技术参数及限价清单</w:t>
            </w:r>
          </w:p>
          <w:p w14:paraId="244BA667">
            <w:pPr>
              <w:tabs>
                <w:tab w:val="left" w:pos="312"/>
              </w:tabs>
              <w:rPr>
                <w:rFonts w:hint="eastAsia" w:ascii="仿宋_GB2312" w:eastAsia="仿宋_GB2312"/>
                <w:b/>
                <w:color w:val="auto"/>
                <w:sz w:val="24"/>
                <w:highlight w:val="none"/>
              </w:rPr>
            </w:pPr>
            <w:r>
              <w:rPr>
                <w:rFonts w:hint="eastAsia" w:ascii="仿宋_GB2312" w:eastAsia="仿宋_GB2312"/>
                <w:b/>
                <w:color w:val="auto"/>
                <w:sz w:val="24"/>
                <w:highlight w:val="none"/>
              </w:rPr>
              <w:t>1.3以下产品须提供202</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年1月1日以来符合采购清单中技术参数的原材料检测报告：不锈钢、冷轧钢板。</w:t>
            </w:r>
          </w:p>
          <w:p w14:paraId="1323FD1F">
            <w:pPr>
              <w:pStyle w:val="2"/>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 xml:space="preserve">1.4 </w:t>
            </w:r>
            <w:r>
              <w:rPr>
                <w:rFonts w:hint="eastAsia" w:eastAsia="仿宋_GB2312"/>
                <w:b/>
                <w:bCs/>
                <w:color w:val="auto"/>
                <w:sz w:val="24"/>
                <w:szCs w:val="24"/>
                <w:highlight w:val="none"/>
                <w:lang w:val="en-US" w:eastAsia="zh-CN"/>
              </w:rPr>
              <w:t>以下产品须</w:t>
            </w:r>
            <w:r>
              <w:rPr>
                <w:rFonts w:hint="eastAsia" w:ascii="仿宋_GB2312" w:eastAsia="仿宋_GB2312"/>
                <w:b/>
                <w:color w:val="auto"/>
                <w:sz w:val="24"/>
                <w:highlight w:val="none"/>
              </w:rPr>
              <w:t>提供202</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年1月1日以来第三方质量检测机构（检测报告须具有CMA或CNAS标志）出具的检测报告，委托单位须为</w:t>
            </w:r>
            <w:r>
              <w:rPr>
                <w:rFonts w:hint="eastAsia" w:ascii="仿宋_GB2312" w:eastAsia="仿宋_GB2312"/>
                <w:b/>
                <w:color w:val="auto"/>
                <w:sz w:val="24"/>
                <w:highlight w:val="none"/>
                <w:lang w:eastAsia="zh-CN"/>
              </w:rPr>
              <w:t>竞选单位</w:t>
            </w:r>
            <w:r>
              <w:rPr>
                <w:rFonts w:hint="eastAsia" w:ascii="仿宋_GB2312" w:eastAsia="仿宋_GB2312"/>
                <w:b/>
                <w:color w:val="auto"/>
                <w:sz w:val="24"/>
                <w:highlight w:val="none"/>
              </w:rPr>
              <w:t>或</w:t>
            </w:r>
            <w:r>
              <w:rPr>
                <w:rFonts w:hint="eastAsia" w:ascii="仿宋_GB2312" w:eastAsia="仿宋_GB2312"/>
                <w:b/>
                <w:color w:val="auto"/>
                <w:sz w:val="24"/>
                <w:highlight w:val="none"/>
                <w:lang w:eastAsia="zh-CN"/>
              </w:rPr>
              <w:t>产品</w:t>
            </w:r>
            <w:r>
              <w:rPr>
                <w:rFonts w:hint="eastAsia" w:ascii="仿宋_GB2312" w:eastAsia="仿宋_GB2312"/>
                <w:b/>
                <w:color w:val="auto"/>
                <w:sz w:val="24"/>
                <w:highlight w:val="none"/>
              </w:rPr>
              <w:t>供应商</w:t>
            </w:r>
            <w:r>
              <w:rPr>
                <w:rFonts w:hint="eastAsia" w:ascii="仿宋_GB2312" w:eastAsia="仿宋_GB2312"/>
                <w:b/>
                <w:color w:val="auto"/>
                <w:sz w:val="24"/>
                <w:highlight w:val="none"/>
                <w:lang w:eastAsia="zh-CN"/>
              </w:rPr>
              <w:t>：文件柜、货架、等候椅、双层铁床</w:t>
            </w:r>
            <w:r>
              <w:rPr>
                <w:rFonts w:hint="eastAsia" w:ascii="仿宋_GB2312" w:eastAsia="仿宋_GB2312"/>
                <w:b/>
                <w:color w:val="auto"/>
                <w:sz w:val="24"/>
                <w:highlight w:val="none"/>
              </w:rPr>
              <w:t>。</w:t>
            </w:r>
          </w:p>
          <w:p w14:paraId="0A279675">
            <w:pPr>
              <w:rPr>
                <w:rFonts w:hint="default"/>
                <w:color w:val="auto"/>
                <w:highlight w:val="none"/>
                <w:lang w:val="en-US" w:eastAsia="zh-CN"/>
              </w:rPr>
            </w:pPr>
          </w:p>
          <w:p w14:paraId="1C56D96B">
            <w:pPr>
              <w:numPr>
                <w:ilvl w:val="0"/>
                <w:numId w:val="3"/>
              </w:numPr>
              <w:rPr>
                <w:rFonts w:ascii="仿宋_GB2312" w:eastAsia="仿宋_GB2312"/>
                <w:color w:val="auto"/>
                <w:sz w:val="24"/>
                <w:highlight w:val="none"/>
              </w:rPr>
            </w:pPr>
            <w:r>
              <w:rPr>
                <w:rFonts w:hint="eastAsia" w:ascii="仿宋_GB2312" w:eastAsia="仿宋_GB2312"/>
                <w:color w:val="auto"/>
                <w:sz w:val="24"/>
                <w:highlight w:val="none"/>
              </w:rPr>
              <w:t>供货、安装、调试时间</w:t>
            </w:r>
          </w:p>
          <w:p w14:paraId="4ADFB217">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2.1 标准产品在收到医院通知后10</w:t>
            </w:r>
            <w:r>
              <w:rPr>
                <w:rFonts w:hint="eastAsia" w:ascii="仿宋_GB2312" w:eastAsia="仿宋_GB2312"/>
                <w:color w:val="auto"/>
                <w:sz w:val="24"/>
                <w:highlight w:val="none"/>
                <w:lang w:val="en-US" w:eastAsia="zh-CN"/>
              </w:rPr>
              <w:t>个日历日</w:t>
            </w:r>
            <w:r>
              <w:rPr>
                <w:rFonts w:hint="eastAsia" w:ascii="仿宋_GB2312" w:eastAsia="仿宋_GB2312"/>
                <w:color w:val="auto"/>
                <w:sz w:val="24"/>
                <w:highlight w:val="none"/>
              </w:rPr>
              <w:t>内（含通知当日）完成供货、安装、调试；紧急情况下在收到医院通知后</w:t>
            </w:r>
            <w:r>
              <w:rPr>
                <w:rFonts w:hint="eastAsia" w:ascii="仿宋_GB2312" w:eastAsia="仿宋_GB2312"/>
                <w:color w:val="auto"/>
                <w:sz w:val="24"/>
                <w:highlight w:val="none"/>
                <w:lang w:val="en-US" w:eastAsia="zh-CN"/>
              </w:rPr>
              <w:t>5个日历日</w:t>
            </w:r>
            <w:r>
              <w:rPr>
                <w:rFonts w:hint="eastAsia" w:ascii="仿宋_GB2312" w:eastAsia="仿宋_GB2312"/>
                <w:color w:val="auto"/>
                <w:sz w:val="24"/>
                <w:highlight w:val="none"/>
              </w:rPr>
              <w:t>日内（含通知当日）完成供货、安装、调试；</w:t>
            </w:r>
          </w:p>
          <w:p w14:paraId="02BFFC7E">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2.2 非标产品在收到医院通知后</w:t>
            </w:r>
            <w:r>
              <w:rPr>
                <w:rFonts w:hint="eastAsia" w:ascii="仿宋_GB2312" w:eastAsia="仿宋_GB2312"/>
                <w:color w:val="auto"/>
                <w:sz w:val="24"/>
                <w:highlight w:val="none"/>
                <w:lang w:val="en-US" w:eastAsia="zh-CN"/>
              </w:rPr>
              <w:t>15个日历日</w:t>
            </w:r>
            <w:r>
              <w:rPr>
                <w:rFonts w:hint="eastAsia" w:ascii="仿宋_GB2312" w:eastAsia="仿宋_GB2312"/>
                <w:color w:val="auto"/>
                <w:sz w:val="24"/>
                <w:highlight w:val="none"/>
              </w:rPr>
              <w:t>内（含通知当日）完成供货、安装、调试。</w:t>
            </w:r>
          </w:p>
          <w:p w14:paraId="1A4622FA">
            <w:pPr>
              <w:pStyle w:val="2"/>
              <w:rPr>
                <w:color w:val="auto"/>
                <w:highlight w:val="none"/>
              </w:rPr>
            </w:pPr>
          </w:p>
          <w:p w14:paraId="0FB882F4">
            <w:pPr>
              <w:numPr>
                <w:ilvl w:val="0"/>
                <w:numId w:val="3"/>
              </w:numPr>
              <w:rPr>
                <w:rFonts w:ascii="仿宋_GB2312" w:eastAsia="仿宋_GB2312"/>
                <w:color w:val="auto"/>
                <w:sz w:val="24"/>
                <w:highlight w:val="none"/>
              </w:rPr>
            </w:pPr>
            <w:r>
              <w:rPr>
                <w:rFonts w:hint="eastAsia" w:ascii="仿宋_GB2312" w:eastAsia="仿宋_GB2312"/>
                <w:color w:val="auto"/>
                <w:sz w:val="24"/>
                <w:highlight w:val="none"/>
              </w:rPr>
              <w:t>售后服务：</w:t>
            </w:r>
          </w:p>
          <w:p w14:paraId="3484829D">
            <w:pPr>
              <w:tabs>
                <w:tab w:val="left" w:pos="312"/>
              </w:tabs>
              <w:rPr>
                <w:rFonts w:ascii="仿宋_GB2312" w:eastAsia="仿宋_GB2312"/>
                <w:color w:val="auto"/>
                <w:sz w:val="24"/>
                <w:highlight w:val="none"/>
              </w:rPr>
            </w:pPr>
            <w:r>
              <w:rPr>
                <w:rFonts w:hint="eastAsia" w:ascii="仿宋_GB2312" w:eastAsia="仿宋_GB2312"/>
                <w:color w:val="auto"/>
                <w:sz w:val="24"/>
                <w:highlight w:val="none"/>
              </w:rPr>
              <w:t>3.1在接到通知后4小时响应到场，24小时完成维修或更换，并</w:t>
            </w:r>
            <w:r>
              <w:rPr>
                <w:rFonts w:hint="eastAsia" w:ascii="仿宋_GB2312" w:eastAsia="仿宋_GB2312"/>
                <w:color w:val="auto"/>
                <w:sz w:val="24"/>
                <w:highlight w:val="none"/>
                <w:lang w:val="en-US" w:eastAsia="zh-CN"/>
              </w:rPr>
              <w:t>由供应商</w:t>
            </w:r>
            <w:r>
              <w:rPr>
                <w:rFonts w:hint="eastAsia" w:ascii="仿宋_GB2312" w:eastAsia="仿宋_GB2312"/>
                <w:color w:val="auto"/>
                <w:sz w:val="24"/>
                <w:highlight w:val="none"/>
              </w:rPr>
              <w:t>承担修理调换的费用。</w:t>
            </w:r>
          </w:p>
          <w:p w14:paraId="69858AED">
            <w:pPr>
              <w:tabs>
                <w:tab w:val="left" w:pos="312"/>
              </w:tabs>
              <w:spacing w:line="276" w:lineRule="auto"/>
              <w:rPr>
                <w:color w:val="auto"/>
                <w:highlight w:val="none"/>
              </w:rPr>
            </w:pPr>
            <w:r>
              <w:rPr>
                <w:rFonts w:hint="eastAsia" w:ascii="仿宋_GB2312" w:eastAsia="仿宋_GB2312"/>
                <w:color w:val="auto"/>
                <w:sz w:val="24"/>
                <w:highlight w:val="none"/>
              </w:rPr>
              <w:t>3.2货物送到指定地点安装并调试后 3 个工作日内，</w:t>
            </w:r>
            <w:r>
              <w:rPr>
                <w:rFonts w:hint="eastAsia" w:ascii="仿宋_GB2312" w:eastAsia="仿宋_GB2312"/>
                <w:color w:val="auto"/>
                <w:sz w:val="24"/>
                <w:highlight w:val="none"/>
                <w:lang w:val="en-US" w:eastAsia="zh-CN"/>
              </w:rPr>
              <w:t>供应商</w:t>
            </w:r>
            <w:r>
              <w:rPr>
                <w:rFonts w:hint="eastAsia" w:ascii="仿宋_GB2312" w:eastAsia="仿宋_GB2312"/>
                <w:color w:val="auto"/>
                <w:sz w:val="24"/>
                <w:highlight w:val="none"/>
              </w:rPr>
              <w:t>须通知并且组织招标人共同对货物之数量、质量、外观、包装、品种、配套附件等进行验收。安装、调试后发现其提供的产品不符合质量或技术标准的，</w:t>
            </w:r>
            <w:r>
              <w:rPr>
                <w:rFonts w:hint="eastAsia" w:ascii="仿宋_GB2312" w:eastAsia="仿宋_GB2312"/>
                <w:color w:val="auto"/>
                <w:sz w:val="24"/>
                <w:highlight w:val="none"/>
                <w:lang w:val="en-US" w:eastAsia="zh-CN"/>
              </w:rPr>
              <w:t>供应商</w:t>
            </w:r>
            <w:r>
              <w:rPr>
                <w:rFonts w:hint="eastAsia" w:ascii="仿宋_GB2312" w:eastAsia="仿宋_GB2312"/>
                <w:color w:val="auto"/>
                <w:sz w:val="24"/>
                <w:highlight w:val="none"/>
              </w:rPr>
              <w:t>应立即采取补救措施直至产品符合质量或技术标准。</w:t>
            </w:r>
          </w:p>
        </w:tc>
      </w:tr>
      <w:tr w14:paraId="77E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A41E5E9">
            <w:pPr>
              <w:pStyle w:val="34"/>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51BF6010">
            <w:pPr>
              <w:pStyle w:val="34"/>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33939B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6940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1408035">
            <w:pPr>
              <w:pStyle w:val="34"/>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5920CE32">
            <w:pPr>
              <w:pStyle w:val="34"/>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7FEB94C3">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w:t>
            </w:r>
            <w:r>
              <w:rPr>
                <w:rFonts w:hint="eastAsia" w:ascii="仿宋_GB2312" w:eastAsia="仿宋_GB2312"/>
                <w:color w:val="auto"/>
                <w:sz w:val="24"/>
                <w:highlight w:val="none"/>
                <w:lang w:eastAsia="zh-CN"/>
              </w:rPr>
              <w:t>最低价</w:t>
            </w:r>
            <w:r>
              <w:rPr>
                <w:rFonts w:ascii="仿宋_GB2312" w:eastAsia="仿宋_GB2312"/>
                <w:color w:val="auto"/>
                <w:sz w:val="24"/>
                <w:highlight w:val="none"/>
              </w:rPr>
              <w:t>评</w:t>
            </w:r>
            <w:r>
              <w:rPr>
                <w:rFonts w:hint="eastAsia" w:ascii="仿宋_GB2312" w:eastAsia="仿宋_GB2312"/>
                <w:color w:val="auto"/>
                <w:sz w:val="24"/>
                <w:highlight w:val="none"/>
              </w:rPr>
              <w:t>分</w:t>
            </w:r>
            <w:r>
              <w:rPr>
                <w:rFonts w:ascii="仿宋_GB2312" w:eastAsia="仿宋_GB2312"/>
                <w:color w:val="auto"/>
                <w:sz w:val="24"/>
                <w:highlight w:val="none"/>
              </w:rPr>
              <w:t>法</w:t>
            </w:r>
          </w:p>
          <w:p w14:paraId="77DC35E1">
            <w:pPr>
              <w:pStyle w:val="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21F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438EEEE7">
            <w:pPr>
              <w:pStyle w:val="34"/>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7FDDCE92">
            <w:pPr>
              <w:pStyle w:val="34"/>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07B11CA6">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37E20AC0">
            <w:pPr>
              <w:spacing w:line="276" w:lineRule="auto"/>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10766D07">
            <w:pPr>
              <w:spacing w:line="276" w:lineRule="auto"/>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2.法定代表人身份证明【格式3，自然人无需提供】</w:t>
            </w:r>
          </w:p>
          <w:p w14:paraId="416E84AD">
            <w:pPr>
              <w:spacing w:line="276" w:lineRule="auto"/>
              <w:rPr>
                <w:rFonts w:ascii="仿宋_GB2312" w:eastAsia="仿宋_GB2312"/>
                <w:color w:val="auto"/>
                <w:sz w:val="24"/>
                <w:highlight w:val="none"/>
              </w:rPr>
            </w:pPr>
            <w:r>
              <w:rPr>
                <w:rFonts w:hint="eastAsia" w:ascii="仿宋_GB2312" w:eastAsia="仿宋_GB2312"/>
                <w:color w:val="auto"/>
                <w:sz w:val="24"/>
                <w:highlight w:val="none"/>
              </w:rPr>
              <w:t>3.法定代表人授权委托书【格式4，自然人、法人本人到场的无需提供】</w:t>
            </w:r>
          </w:p>
          <w:p w14:paraId="1A4B4066">
            <w:pPr>
              <w:spacing w:line="276" w:lineRule="auto"/>
              <w:rPr>
                <w:rFonts w:ascii="仿宋_GB2312" w:eastAsia="仿宋_GB2312"/>
                <w:color w:val="auto"/>
                <w:sz w:val="24"/>
                <w:highlight w:val="none"/>
              </w:rPr>
            </w:pPr>
          </w:p>
          <w:p w14:paraId="14012179">
            <w:pPr>
              <w:rPr>
                <w:rFonts w:ascii="仿宋_GB2312" w:eastAsia="仿宋_GB2312"/>
                <w:color w:val="auto"/>
                <w:sz w:val="24"/>
                <w:highlight w:val="none"/>
              </w:rPr>
            </w:pPr>
            <w:r>
              <w:rPr>
                <w:rFonts w:hint="eastAsia" w:ascii="仿宋_GB2312" w:eastAsia="仿宋_GB2312"/>
                <w:color w:val="auto"/>
                <w:sz w:val="24"/>
                <w:highlight w:val="none"/>
              </w:rPr>
              <w:t>（二）特定资格条件：</w:t>
            </w:r>
          </w:p>
          <w:p w14:paraId="66A3A5E8">
            <w:pPr>
              <w:spacing w:line="276" w:lineRule="auto"/>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.竞选</w:t>
            </w:r>
            <w:r>
              <w:rPr>
                <w:rFonts w:hint="eastAsia" w:ascii="仿宋_GB2312" w:eastAsia="仿宋_GB2312"/>
                <w:color w:val="auto"/>
                <w:sz w:val="24"/>
                <w:highlight w:val="none"/>
                <w:lang w:val="en-US" w:eastAsia="zh-CN"/>
              </w:rPr>
              <w:t>单位</w:t>
            </w:r>
            <w:r>
              <w:rPr>
                <w:rFonts w:hint="eastAsia" w:ascii="仿宋_GB2312" w:eastAsia="仿宋_GB2312"/>
                <w:color w:val="auto"/>
                <w:sz w:val="24"/>
                <w:highlight w:val="none"/>
              </w:rPr>
              <w:t>须提供202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年1月1日至竞选截止日止1个类似业绩合同，单个合同总价（或单个合同年度总货款）不低于</w:t>
            </w:r>
            <w:r>
              <w:rPr>
                <w:rFonts w:hint="eastAsia" w:ascii="仿宋_GB2312" w:eastAsia="仿宋_GB2312"/>
                <w:color w:val="auto"/>
                <w:sz w:val="24"/>
                <w:highlight w:val="none"/>
                <w:lang w:val="en-US" w:eastAsia="zh-CN"/>
              </w:rPr>
              <w:t>21</w:t>
            </w:r>
            <w:r>
              <w:rPr>
                <w:rFonts w:hint="eastAsia" w:ascii="仿宋_GB2312" w:eastAsia="仿宋_GB2312"/>
                <w:color w:val="auto"/>
                <w:sz w:val="24"/>
                <w:highlight w:val="none"/>
              </w:rPr>
              <w:t>万元【提供合同关键页复印件，关键页包括体现产品品牌及型号、合同金额、合同时间、签字盖章页，骑缝章】</w:t>
            </w:r>
            <w:r>
              <w:rPr>
                <w:rFonts w:hint="eastAsia" w:ascii="仿宋_GB2312" w:eastAsia="仿宋_GB2312"/>
                <w:color w:val="auto"/>
                <w:sz w:val="24"/>
                <w:highlight w:val="none"/>
                <w:lang w:eastAsia="zh-CN"/>
              </w:rPr>
              <w:t>。</w:t>
            </w:r>
          </w:p>
          <w:p w14:paraId="6719BE5E">
            <w:pPr>
              <w:tabs>
                <w:tab w:val="left" w:pos="312"/>
              </w:tabs>
              <w:rPr>
                <w:rFonts w:hint="eastAsia" w:ascii="仿宋_GB2312" w:eastAsia="仿宋_GB2312"/>
                <w:b/>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b/>
                <w:color w:val="auto"/>
                <w:sz w:val="24"/>
                <w:highlight w:val="none"/>
              </w:rPr>
              <w:t>以下产品须提供符合采购清单中技术参数的原材料检测报告：不锈钢、冷轧钢板、实木、皮革、导轨、门铰。</w:t>
            </w:r>
          </w:p>
          <w:p w14:paraId="2DA87EFE">
            <w:pPr>
              <w:pStyle w:val="2"/>
              <w:rPr>
                <w:rFonts w:hint="default" w:eastAsia="仿宋_GB2312"/>
                <w:color w:val="auto"/>
                <w:highlight w:val="none"/>
                <w:lang w:val="en-US" w:eastAsia="zh-CN"/>
              </w:rPr>
            </w:pPr>
            <w:r>
              <w:rPr>
                <w:rFonts w:hint="eastAsia" w:eastAsia="仿宋_GB2312"/>
                <w:color w:val="auto"/>
                <w:highlight w:val="none"/>
                <w:lang w:val="en-US" w:eastAsia="zh-CN"/>
              </w:rPr>
              <w:t xml:space="preserve">3. </w:t>
            </w:r>
            <w:r>
              <w:rPr>
                <w:rFonts w:hint="eastAsia" w:eastAsia="仿宋_GB2312"/>
                <w:b/>
                <w:bCs/>
                <w:color w:val="auto"/>
                <w:sz w:val="24"/>
                <w:szCs w:val="24"/>
                <w:highlight w:val="none"/>
                <w:lang w:val="en-US" w:eastAsia="zh-CN"/>
              </w:rPr>
              <w:t>以下产品须</w:t>
            </w:r>
            <w:r>
              <w:rPr>
                <w:rFonts w:hint="eastAsia" w:ascii="仿宋_GB2312" w:eastAsia="仿宋_GB2312"/>
                <w:b/>
                <w:color w:val="auto"/>
                <w:sz w:val="24"/>
                <w:highlight w:val="none"/>
              </w:rPr>
              <w:t>提供202</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年1月1日以来第三方质量检测机构（检测报告须具有CMA或CNAS标志）出具的检测报告，委托单位须为</w:t>
            </w:r>
            <w:r>
              <w:rPr>
                <w:rFonts w:hint="eastAsia" w:ascii="仿宋_GB2312" w:eastAsia="仿宋_GB2312"/>
                <w:b/>
                <w:color w:val="auto"/>
                <w:sz w:val="24"/>
                <w:highlight w:val="none"/>
                <w:lang w:eastAsia="zh-CN"/>
              </w:rPr>
              <w:t>竞选单位</w:t>
            </w:r>
            <w:r>
              <w:rPr>
                <w:rFonts w:hint="eastAsia" w:ascii="仿宋_GB2312" w:eastAsia="仿宋_GB2312"/>
                <w:b/>
                <w:color w:val="auto"/>
                <w:sz w:val="24"/>
                <w:highlight w:val="none"/>
              </w:rPr>
              <w:t>或</w:t>
            </w:r>
            <w:r>
              <w:rPr>
                <w:rFonts w:hint="eastAsia" w:ascii="仿宋_GB2312" w:eastAsia="仿宋_GB2312"/>
                <w:b/>
                <w:color w:val="auto"/>
                <w:sz w:val="24"/>
                <w:highlight w:val="none"/>
                <w:lang w:eastAsia="zh-CN"/>
              </w:rPr>
              <w:t>产品</w:t>
            </w:r>
            <w:r>
              <w:rPr>
                <w:rFonts w:hint="eastAsia" w:ascii="仿宋_GB2312" w:eastAsia="仿宋_GB2312"/>
                <w:b/>
                <w:color w:val="auto"/>
                <w:sz w:val="24"/>
                <w:highlight w:val="none"/>
              </w:rPr>
              <w:t>供应商</w:t>
            </w:r>
            <w:r>
              <w:rPr>
                <w:rFonts w:hint="eastAsia" w:ascii="仿宋_GB2312" w:eastAsia="仿宋_GB2312"/>
                <w:b/>
                <w:color w:val="auto"/>
                <w:sz w:val="24"/>
                <w:highlight w:val="none"/>
                <w:lang w:eastAsia="zh-CN"/>
              </w:rPr>
              <w:t>：文件柜、货架、等候椅、双层铁床</w:t>
            </w:r>
            <w:r>
              <w:rPr>
                <w:rFonts w:hint="eastAsia" w:ascii="仿宋_GB2312" w:eastAsia="仿宋_GB2312"/>
                <w:b/>
                <w:color w:val="auto"/>
                <w:sz w:val="24"/>
                <w:highlight w:val="none"/>
              </w:rPr>
              <w:t>。</w:t>
            </w:r>
          </w:p>
        </w:tc>
      </w:tr>
      <w:tr w14:paraId="5600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286C749F">
            <w:pPr>
              <w:pStyle w:val="34"/>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21A5BBDC">
            <w:pPr>
              <w:pStyle w:val="34"/>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8FE1323">
            <w:pPr>
              <w:pStyle w:val="34"/>
              <w:tabs>
                <w:tab w:val="left" w:pos="423"/>
                <w:tab w:val="clear" w:pos="900"/>
              </w:tabs>
              <w:spacing w:line="276" w:lineRule="auto"/>
              <w:ind w:firstLine="0"/>
              <w:rPr>
                <w:color w:val="auto"/>
                <w:highlight w:val="none"/>
              </w:rPr>
            </w:pPr>
            <w:r>
              <w:rPr>
                <w:rFonts w:hint="eastAsia"/>
                <w:color w:val="auto"/>
                <w:highlight w:val="none"/>
              </w:rPr>
              <w:t>详见附件2：金属类办公家具技术参数及限价清单</w:t>
            </w:r>
          </w:p>
        </w:tc>
      </w:tr>
      <w:tr w14:paraId="4AC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4EF019E">
            <w:pPr>
              <w:pStyle w:val="34"/>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3B6821ED">
            <w:pPr>
              <w:pStyle w:val="34"/>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70A553D6">
            <w:pPr>
              <w:pStyle w:val="34"/>
              <w:tabs>
                <w:tab w:val="left" w:pos="423"/>
                <w:tab w:val="clear" w:pos="900"/>
              </w:tabs>
              <w:spacing w:line="276" w:lineRule="auto"/>
              <w:ind w:firstLine="480" w:firstLineChars="200"/>
              <w:rPr>
                <w:rFonts w:hint="eastAsia"/>
                <w:color w:val="auto"/>
                <w:highlight w:val="none"/>
              </w:rPr>
            </w:pPr>
            <w:r>
              <w:rPr>
                <w:rFonts w:hint="eastAsia"/>
                <w:color w:val="auto"/>
                <w:highlight w:val="none"/>
              </w:rPr>
              <w:t>1.本项目采用固定单价的计价，根据供货数量据实结算，包含但不限于以下内容：家具及其设计、包装、运输、转运、吊装和装卸至甲方指定地点、安装、管理费、利润、保险（交货验收前）、各种规费税费、约定的检测费用、风险费、专用工具等所有费用。由各竞选单位自行根据自身实力进行报价，报价中选后不得调整。</w:t>
            </w:r>
          </w:p>
          <w:p w14:paraId="75C98E85">
            <w:pPr>
              <w:pStyle w:val="34"/>
              <w:tabs>
                <w:tab w:val="left" w:pos="423"/>
                <w:tab w:val="clear" w:pos="900"/>
              </w:tabs>
              <w:spacing w:line="276" w:lineRule="auto"/>
              <w:ind w:firstLine="482" w:firstLineChars="200"/>
              <w:rPr>
                <w:rFonts w:hint="eastAsia"/>
                <w:b/>
                <w:bCs/>
                <w:color w:val="auto"/>
                <w:highlight w:val="none"/>
              </w:rPr>
            </w:pPr>
            <w:r>
              <w:rPr>
                <w:rFonts w:hint="eastAsia"/>
                <w:b/>
                <w:bCs/>
                <w:color w:val="auto"/>
                <w:highlight w:val="none"/>
              </w:rPr>
              <w:t>2.竞选单位报价不得超过总限价，同时各分项不得超过《附件2：金属类办公家具技术参数及单项限价清单》中的综合单价限价，否则将做否决竞选处理。</w:t>
            </w:r>
          </w:p>
          <w:p w14:paraId="35593069">
            <w:pPr>
              <w:pStyle w:val="34"/>
              <w:tabs>
                <w:tab w:val="left" w:pos="423"/>
                <w:tab w:val="clear" w:pos="900"/>
              </w:tabs>
              <w:spacing w:line="276" w:lineRule="auto"/>
              <w:ind w:firstLine="480" w:firstLineChars="200"/>
              <w:rPr>
                <w:color w:val="auto"/>
                <w:highlight w:val="none"/>
              </w:rPr>
            </w:pPr>
            <w:r>
              <w:rPr>
                <w:rFonts w:hint="eastAsia"/>
                <w:color w:val="auto"/>
                <w:highlight w:val="none"/>
              </w:rPr>
              <w:t>3.竞选单位应自行踏勘现场及周围环境，以便获取竞选单位须自己负责的有关编制竞选文件报价清单和签署合同所需的所有资料。</w:t>
            </w:r>
          </w:p>
        </w:tc>
      </w:tr>
      <w:tr w14:paraId="73AF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92FA39">
            <w:pPr>
              <w:pStyle w:val="34"/>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0C258F3F">
            <w:pPr>
              <w:pStyle w:val="34"/>
              <w:spacing w:line="276" w:lineRule="auto"/>
              <w:ind w:firstLine="0"/>
              <w:jc w:val="left"/>
              <w:rPr>
                <w:color w:val="auto"/>
                <w:szCs w:val="24"/>
                <w:highlight w:val="none"/>
              </w:rPr>
            </w:pPr>
            <w:r>
              <w:rPr>
                <w:rFonts w:hint="eastAsia"/>
                <w:color w:val="auto"/>
                <w:szCs w:val="24"/>
                <w:highlight w:val="none"/>
              </w:rPr>
              <w:t>费用支付</w:t>
            </w:r>
          </w:p>
          <w:p w14:paraId="4D8F254B">
            <w:pPr>
              <w:pStyle w:val="34"/>
              <w:spacing w:line="276" w:lineRule="auto"/>
              <w:ind w:firstLine="0"/>
              <w:jc w:val="left"/>
              <w:rPr>
                <w:color w:val="auto"/>
                <w:szCs w:val="24"/>
                <w:highlight w:val="none"/>
              </w:rPr>
            </w:pPr>
          </w:p>
        </w:tc>
        <w:tc>
          <w:tcPr>
            <w:tcW w:w="6948" w:type="dxa"/>
            <w:vAlign w:val="center"/>
          </w:tcPr>
          <w:p w14:paraId="3E15694B">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本项目无预付款，医院确认货物安装调试完毕并验收合格，在收到</w:t>
            </w:r>
            <w:r>
              <w:rPr>
                <w:rFonts w:hint="eastAsia" w:ascii="仿宋_GB2312" w:hAnsi="宋体" w:eastAsia="仿宋_GB2312"/>
                <w:color w:val="auto"/>
                <w:kern w:val="0"/>
                <w:sz w:val="24"/>
                <w:highlight w:val="none"/>
                <w:lang w:val="en-US" w:eastAsia="zh-CN"/>
              </w:rPr>
              <w:t>供应商</w:t>
            </w:r>
            <w:r>
              <w:rPr>
                <w:rFonts w:hint="eastAsia" w:ascii="仿宋_GB2312" w:hAnsi="宋体" w:eastAsia="仿宋_GB2312"/>
                <w:color w:val="auto"/>
                <w:kern w:val="0"/>
                <w:sz w:val="24"/>
                <w:highlight w:val="none"/>
              </w:rPr>
              <w:t>出具的发票和凭证资料之后40个工作日内支付该次货款</w:t>
            </w:r>
          </w:p>
        </w:tc>
      </w:tr>
      <w:tr w14:paraId="4F1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0C7B8859">
            <w:pPr>
              <w:pStyle w:val="34"/>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3303B315">
            <w:pPr>
              <w:pStyle w:val="34"/>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1823EABB">
            <w:pPr>
              <w:pStyle w:val="34"/>
              <w:spacing w:line="240" w:lineRule="auto"/>
              <w:ind w:firstLine="0"/>
              <w:jc w:val="left"/>
              <w:rPr>
                <w:b/>
                <w:color w:val="auto"/>
                <w:szCs w:val="24"/>
                <w:highlight w:val="none"/>
              </w:rPr>
            </w:pPr>
            <w:r>
              <w:rPr>
                <w:rFonts w:hint="eastAsia"/>
                <w:b/>
                <w:color w:val="auto"/>
                <w:szCs w:val="24"/>
                <w:highlight w:val="none"/>
              </w:rPr>
              <w:t>（一）手持资料（1份，无需密封）</w:t>
            </w:r>
          </w:p>
          <w:p w14:paraId="7D5EB923">
            <w:pPr>
              <w:pStyle w:val="34"/>
              <w:ind w:firstLine="0"/>
              <w:jc w:val="left"/>
              <w:rPr>
                <w:color w:val="auto"/>
                <w:szCs w:val="24"/>
                <w:highlight w:val="none"/>
              </w:rPr>
            </w:pPr>
            <w:r>
              <w:rPr>
                <w:rFonts w:hint="eastAsia"/>
                <w:color w:val="auto"/>
                <w:szCs w:val="24"/>
                <w:highlight w:val="none"/>
              </w:rPr>
              <w:t>1．营业执照【提供复印件并加盖鲜章】</w:t>
            </w:r>
          </w:p>
          <w:p w14:paraId="3829EC45">
            <w:pPr>
              <w:pStyle w:val="34"/>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32CD65DE">
            <w:pPr>
              <w:pStyle w:val="34"/>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1E716C54">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273D51E4">
            <w:pPr>
              <w:pStyle w:val="34"/>
              <w:spacing w:line="240" w:lineRule="auto"/>
              <w:ind w:firstLine="0"/>
              <w:jc w:val="left"/>
              <w:rPr>
                <w:b/>
                <w:color w:val="auto"/>
                <w:szCs w:val="24"/>
                <w:highlight w:val="none"/>
              </w:rPr>
            </w:pPr>
          </w:p>
          <w:p w14:paraId="4898EFA1">
            <w:pPr>
              <w:pStyle w:val="34"/>
              <w:spacing w:line="240" w:lineRule="auto"/>
              <w:ind w:firstLine="0"/>
              <w:jc w:val="left"/>
              <w:rPr>
                <w:b/>
                <w:color w:val="auto"/>
                <w:szCs w:val="24"/>
                <w:highlight w:val="none"/>
              </w:rPr>
            </w:pPr>
            <w:r>
              <w:rPr>
                <w:rFonts w:hint="eastAsia"/>
                <w:b/>
                <w:color w:val="auto"/>
                <w:szCs w:val="24"/>
                <w:highlight w:val="none"/>
              </w:rPr>
              <w:t>（二）竞选文件（1正2副，需密封）</w:t>
            </w:r>
          </w:p>
          <w:p w14:paraId="36DD4C52">
            <w:pPr>
              <w:pStyle w:val="34"/>
              <w:spacing w:line="276" w:lineRule="auto"/>
              <w:ind w:firstLine="0"/>
              <w:jc w:val="left"/>
              <w:rPr>
                <w:color w:val="auto"/>
                <w:szCs w:val="24"/>
                <w:highlight w:val="none"/>
              </w:rPr>
            </w:pPr>
            <w:r>
              <w:rPr>
                <w:rFonts w:hint="eastAsia"/>
                <w:color w:val="auto"/>
                <w:szCs w:val="24"/>
                <w:highlight w:val="none"/>
              </w:rPr>
              <w:t>1.评审条款差异表（格式1）</w:t>
            </w:r>
          </w:p>
          <w:p w14:paraId="0E5F2845">
            <w:pPr>
              <w:pStyle w:val="34"/>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12C06B25">
            <w:pPr>
              <w:pStyle w:val="34"/>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3976C66E">
            <w:pPr>
              <w:pStyle w:val="34"/>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3F2AC58B">
            <w:pPr>
              <w:pStyle w:val="34"/>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70157AB8">
            <w:pPr>
              <w:pStyle w:val="34"/>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0CFDDF7B">
            <w:pPr>
              <w:pStyle w:val="34"/>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1E6E2E69">
            <w:pPr>
              <w:pStyle w:val="34"/>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512398DF">
            <w:pPr>
              <w:pStyle w:val="34"/>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17C6F8E9">
            <w:pPr>
              <w:pStyle w:val="34"/>
              <w:spacing w:line="276"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419D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DEAF900">
            <w:pPr>
              <w:pStyle w:val="34"/>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448ED74F">
            <w:pPr>
              <w:pStyle w:val="34"/>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19306B1A">
            <w:pPr>
              <w:pStyle w:val="34"/>
              <w:spacing w:line="276" w:lineRule="auto"/>
              <w:ind w:firstLine="0"/>
              <w:jc w:val="left"/>
              <w:rPr>
                <w:color w:val="auto"/>
                <w:szCs w:val="24"/>
                <w:highlight w:val="none"/>
              </w:rPr>
            </w:pPr>
            <w:r>
              <w:rPr>
                <w:rFonts w:hint="eastAsia"/>
                <w:color w:val="auto"/>
                <w:szCs w:val="24"/>
                <w:highlight w:val="none"/>
              </w:rPr>
              <w:t>1.签字盖章要求</w:t>
            </w:r>
          </w:p>
          <w:p w14:paraId="0713D311">
            <w:pPr>
              <w:pStyle w:val="34"/>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A2256BC">
            <w:pPr>
              <w:pStyle w:val="34"/>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70A336F7">
            <w:pPr>
              <w:pStyle w:val="34"/>
              <w:spacing w:line="276" w:lineRule="auto"/>
              <w:ind w:firstLine="0"/>
              <w:jc w:val="left"/>
              <w:rPr>
                <w:color w:val="auto"/>
                <w:szCs w:val="24"/>
                <w:highlight w:val="none"/>
              </w:rPr>
            </w:pPr>
            <w:r>
              <w:rPr>
                <w:rFonts w:hint="eastAsia"/>
                <w:color w:val="auto"/>
                <w:szCs w:val="24"/>
                <w:highlight w:val="none"/>
              </w:rPr>
              <w:t>2.装订要求</w:t>
            </w:r>
          </w:p>
          <w:p w14:paraId="0765ED3E">
            <w:pPr>
              <w:pStyle w:val="34"/>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65126127">
            <w:pPr>
              <w:pStyle w:val="34"/>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5C843046">
            <w:pPr>
              <w:pStyle w:val="34"/>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474A24FA">
            <w:pPr>
              <w:pStyle w:val="34"/>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75ADA1B8">
            <w:pPr>
              <w:pStyle w:val="34"/>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237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47E1E1C7">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845" w:type="dxa"/>
            <w:gridSpan w:val="2"/>
            <w:vAlign w:val="center"/>
          </w:tcPr>
          <w:p w14:paraId="2420ED4E">
            <w:pPr>
              <w:pStyle w:val="34"/>
              <w:spacing w:line="276" w:lineRule="auto"/>
              <w:ind w:firstLine="0"/>
              <w:jc w:val="left"/>
              <w:rPr>
                <w:color w:val="auto"/>
                <w:szCs w:val="24"/>
                <w:highlight w:val="none"/>
              </w:rPr>
            </w:pPr>
            <w:r>
              <w:rPr>
                <w:rFonts w:hint="eastAsia"/>
                <w:color w:val="auto"/>
                <w:szCs w:val="24"/>
                <w:highlight w:val="none"/>
              </w:rPr>
              <w:t>采购程序</w:t>
            </w:r>
          </w:p>
        </w:tc>
        <w:tc>
          <w:tcPr>
            <w:tcW w:w="6948" w:type="dxa"/>
            <w:vAlign w:val="center"/>
          </w:tcPr>
          <w:p w14:paraId="3290233B">
            <w:pPr>
              <w:pStyle w:val="34"/>
              <w:spacing w:line="276" w:lineRule="auto"/>
              <w:jc w:val="left"/>
              <w:rPr>
                <w:color w:val="auto"/>
                <w:szCs w:val="24"/>
                <w:highlight w:val="none"/>
              </w:rPr>
            </w:pPr>
            <w:r>
              <w:rPr>
                <w:rFonts w:hint="eastAsia"/>
                <w:color w:val="auto"/>
                <w:szCs w:val="24"/>
                <w:highlight w:val="none"/>
              </w:rPr>
              <w:t>按下列程序进行：</w:t>
            </w:r>
          </w:p>
          <w:p w14:paraId="65FC026A">
            <w:pPr>
              <w:pStyle w:val="34"/>
              <w:spacing w:line="276" w:lineRule="auto"/>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4F06AE72">
            <w:pPr>
              <w:pStyle w:val="34"/>
              <w:spacing w:line="276" w:lineRule="auto"/>
              <w:jc w:val="left"/>
              <w:rPr>
                <w:color w:val="auto"/>
                <w:szCs w:val="24"/>
                <w:highlight w:val="none"/>
              </w:rPr>
            </w:pPr>
            <w:r>
              <w:rPr>
                <w:rFonts w:hint="eastAsia"/>
                <w:color w:val="auto"/>
                <w:szCs w:val="24"/>
                <w:highlight w:val="none"/>
              </w:rPr>
              <w:t>2.竞选单位在规定的时间内递交竞选文件并在竞选文件递交表上签到；</w:t>
            </w:r>
          </w:p>
          <w:p w14:paraId="139DB78A">
            <w:pPr>
              <w:pStyle w:val="34"/>
              <w:spacing w:line="276" w:lineRule="auto"/>
              <w:jc w:val="left"/>
              <w:rPr>
                <w:color w:val="auto"/>
                <w:szCs w:val="24"/>
                <w:highlight w:val="none"/>
              </w:rPr>
            </w:pPr>
            <w:r>
              <w:rPr>
                <w:rFonts w:hint="eastAsia"/>
                <w:color w:val="auto"/>
                <w:szCs w:val="24"/>
                <w:highlight w:val="none"/>
              </w:rPr>
              <w:t>3.宣布比选会议开始；</w:t>
            </w:r>
          </w:p>
          <w:p w14:paraId="5CABFBB8">
            <w:pPr>
              <w:pStyle w:val="34"/>
              <w:spacing w:line="276" w:lineRule="auto"/>
              <w:jc w:val="left"/>
              <w:rPr>
                <w:color w:val="auto"/>
                <w:szCs w:val="24"/>
                <w:highlight w:val="none"/>
              </w:rPr>
            </w:pPr>
            <w:r>
              <w:rPr>
                <w:rFonts w:hint="eastAsia"/>
                <w:color w:val="auto"/>
                <w:szCs w:val="24"/>
                <w:highlight w:val="none"/>
              </w:rPr>
              <w:t xml:space="preserve">4.按照竞选文件递交顺序依次点名； </w:t>
            </w:r>
          </w:p>
          <w:p w14:paraId="276862F3">
            <w:pPr>
              <w:pStyle w:val="34"/>
              <w:spacing w:line="276" w:lineRule="auto"/>
              <w:jc w:val="left"/>
              <w:rPr>
                <w:color w:val="auto"/>
                <w:szCs w:val="24"/>
                <w:highlight w:val="none"/>
              </w:rPr>
            </w:pPr>
            <w:r>
              <w:rPr>
                <w:rFonts w:hint="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0AA9CD79">
            <w:pPr>
              <w:pStyle w:val="34"/>
              <w:spacing w:line="276" w:lineRule="auto"/>
              <w:jc w:val="left"/>
              <w:rPr>
                <w:color w:val="auto"/>
                <w:szCs w:val="24"/>
                <w:highlight w:val="none"/>
              </w:rPr>
            </w:pPr>
            <w:r>
              <w:rPr>
                <w:rFonts w:hint="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4376FAE2">
            <w:pPr>
              <w:pStyle w:val="34"/>
              <w:spacing w:line="276" w:lineRule="auto"/>
              <w:jc w:val="left"/>
              <w:rPr>
                <w:color w:val="auto"/>
                <w:szCs w:val="24"/>
                <w:highlight w:val="none"/>
              </w:rPr>
            </w:pPr>
            <w:r>
              <w:rPr>
                <w:rFonts w:hint="eastAsia"/>
                <w:color w:val="auto"/>
                <w:szCs w:val="24"/>
                <w:highlight w:val="none"/>
              </w:rPr>
              <w:t>7.开启顺序：随机开启、检查文件份数；</w:t>
            </w:r>
          </w:p>
          <w:p w14:paraId="5D35B43C">
            <w:pPr>
              <w:pStyle w:val="34"/>
              <w:spacing w:line="276" w:lineRule="auto"/>
              <w:jc w:val="left"/>
              <w:rPr>
                <w:color w:val="auto"/>
                <w:szCs w:val="24"/>
                <w:highlight w:val="none"/>
              </w:rPr>
            </w:pPr>
            <w:r>
              <w:rPr>
                <w:rFonts w:hint="eastAsia"/>
                <w:color w:val="auto"/>
                <w:szCs w:val="24"/>
                <w:highlight w:val="none"/>
              </w:rPr>
              <w:t xml:space="preserve">8.当众公布竞选单位名称、竞选报价、质量要求、工期及其他内容并记录在案； </w:t>
            </w:r>
          </w:p>
          <w:p w14:paraId="0AE9BAE3">
            <w:pPr>
              <w:pStyle w:val="34"/>
              <w:spacing w:line="276" w:lineRule="auto"/>
              <w:jc w:val="left"/>
              <w:rPr>
                <w:color w:val="auto"/>
                <w:szCs w:val="24"/>
                <w:highlight w:val="none"/>
              </w:rPr>
            </w:pPr>
            <w:r>
              <w:rPr>
                <w:rFonts w:hint="eastAsia"/>
                <w:color w:val="auto"/>
                <w:szCs w:val="24"/>
                <w:highlight w:val="none"/>
              </w:rPr>
              <w:t>9.竞选单位代表、比选人代表、监督人人等有关人员在比选记录上签字确认；</w:t>
            </w:r>
          </w:p>
          <w:p w14:paraId="71C70024">
            <w:pPr>
              <w:pStyle w:val="34"/>
              <w:spacing w:line="276" w:lineRule="auto"/>
              <w:jc w:val="left"/>
              <w:rPr>
                <w:color w:val="auto"/>
                <w:szCs w:val="24"/>
                <w:highlight w:val="none"/>
              </w:rPr>
            </w:pPr>
            <w:r>
              <w:rPr>
                <w:rFonts w:hint="eastAsia"/>
                <w:color w:val="auto"/>
                <w:szCs w:val="24"/>
                <w:highlight w:val="none"/>
              </w:rPr>
              <w:t>10.竞选单位代表离场，保持联系方式畅通；</w:t>
            </w:r>
          </w:p>
          <w:p w14:paraId="1C049EB9">
            <w:pPr>
              <w:pStyle w:val="34"/>
              <w:spacing w:line="276" w:lineRule="auto"/>
              <w:jc w:val="left"/>
              <w:rPr>
                <w:color w:val="auto"/>
                <w:szCs w:val="24"/>
                <w:highlight w:val="none"/>
              </w:rPr>
            </w:pPr>
            <w:r>
              <w:rPr>
                <w:rFonts w:hint="eastAsia"/>
                <w:color w:val="auto"/>
                <w:szCs w:val="24"/>
                <w:highlight w:val="none"/>
              </w:rPr>
              <w:t>11.专家入场，先进行初步评审，初步评审未通过作否决竞选处理。初步评审通过的竞选单位进入详细评审，得到竞选得分排名；</w:t>
            </w:r>
          </w:p>
          <w:p w14:paraId="5AA2FDC1">
            <w:pPr>
              <w:pStyle w:val="34"/>
              <w:spacing w:line="276" w:lineRule="auto"/>
              <w:jc w:val="left"/>
              <w:rPr>
                <w:color w:val="auto"/>
                <w:szCs w:val="24"/>
                <w:highlight w:val="none"/>
              </w:rPr>
            </w:pPr>
            <w:r>
              <w:rPr>
                <w:rFonts w:hint="eastAsia"/>
                <w:color w:val="auto"/>
                <w:szCs w:val="24"/>
                <w:highlight w:val="none"/>
              </w:rPr>
              <w:t>12.公示拟中选候选人；</w:t>
            </w:r>
          </w:p>
          <w:p w14:paraId="2FDA2C1E">
            <w:pPr>
              <w:pStyle w:val="34"/>
              <w:spacing w:line="276" w:lineRule="auto"/>
              <w:jc w:val="left"/>
              <w:rPr>
                <w:color w:val="auto"/>
                <w:szCs w:val="24"/>
                <w:highlight w:val="none"/>
              </w:rPr>
            </w:pPr>
            <w:r>
              <w:rPr>
                <w:rFonts w:hint="eastAsia"/>
                <w:color w:val="auto"/>
                <w:szCs w:val="24"/>
                <w:highlight w:val="none"/>
              </w:rPr>
              <w:t>13.发放中选通知书、签订合同。</w:t>
            </w:r>
          </w:p>
        </w:tc>
      </w:tr>
      <w:tr w14:paraId="29D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71E22765">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922" w:type="dxa"/>
            <w:vMerge w:val="restart"/>
            <w:vAlign w:val="center"/>
          </w:tcPr>
          <w:p w14:paraId="618F21D3">
            <w:pPr>
              <w:pStyle w:val="34"/>
              <w:spacing w:line="276" w:lineRule="auto"/>
              <w:ind w:firstLine="0"/>
              <w:jc w:val="left"/>
              <w:rPr>
                <w:color w:val="auto"/>
                <w:szCs w:val="24"/>
                <w:highlight w:val="none"/>
              </w:rPr>
            </w:pPr>
            <w:r>
              <w:rPr>
                <w:rFonts w:hint="eastAsia"/>
                <w:color w:val="auto"/>
                <w:szCs w:val="24"/>
                <w:highlight w:val="none"/>
              </w:rPr>
              <w:t>评分办法</w:t>
            </w:r>
          </w:p>
        </w:tc>
        <w:tc>
          <w:tcPr>
            <w:tcW w:w="923" w:type="dxa"/>
            <w:vAlign w:val="center"/>
          </w:tcPr>
          <w:p w14:paraId="1F3C5849">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6948" w:type="dxa"/>
            <w:vAlign w:val="center"/>
          </w:tcPr>
          <w:p w14:paraId="2B85B16E">
            <w:pPr>
              <w:pStyle w:val="34"/>
              <w:spacing w:line="276" w:lineRule="auto"/>
              <w:ind w:firstLine="0"/>
              <w:jc w:val="left"/>
              <w:rPr>
                <w:color w:val="auto"/>
                <w:szCs w:val="24"/>
                <w:highlight w:val="none"/>
              </w:rPr>
            </w:pPr>
            <w:r>
              <w:rPr>
                <w:rFonts w:hint="eastAsia"/>
                <w:color w:val="auto"/>
                <w:szCs w:val="24"/>
                <w:highlight w:val="none"/>
              </w:rPr>
              <w:t>初步评审</w:t>
            </w:r>
          </w:p>
          <w:p w14:paraId="24C8C1A1">
            <w:pPr>
              <w:pStyle w:val="34"/>
              <w:spacing w:line="276" w:lineRule="auto"/>
              <w:ind w:firstLine="0"/>
              <w:jc w:val="left"/>
              <w:rPr>
                <w:b/>
                <w:color w:val="auto"/>
                <w:szCs w:val="24"/>
                <w:highlight w:val="none"/>
              </w:rPr>
            </w:pPr>
            <w:r>
              <w:rPr>
                <w:rFonts w:hint="eastAsia"/>
                <w:color w:val="auto"/>
                <w:szCs w:val="24"/>
                <w:highlight w:val="none"/>
              </w:rPr>
              <w:t>1.满足</w:t>
            </w:r>
            <w:r>
              <w:rPr>
                <w:rFonts w:hint="eastAsia"/>
                <w:b/>
                <w:color w:val="auto"/>
                <w:szCs w:val="24"/>
                <w:highlight w:val="none"/>
              </w:rPr>
              <w:t>采购文件第3条货物、产品或设备要求，第6条竞选单位条件、第8条费用报价方式的视为通过初步评审。未通过初步评审的作否决竞选处理，不进入评分环节，不参与排名。</w:t>
            </w:r>
          </w:p>
          <w:p w14:paraId="55954352">
            <w:pPr>
              <w:pStyle w:val="34"/>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457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1A2CEE02">
            <w:pPr>
              <w:pStyle w:val="34"/>
              <w:spacing w:line="276" w:lineRule="auto"/>
              <w:ind w:firstLine="0"/>
              <w:jc w:val="left"/>
              <w:rPr>
                <w:color w:val="auto"/>
                <w:highlight w:val="none"/>
              </w:rPr>
            </w:pPr>
          </w:p>
        </w:tc>
        <w:tc>
          <w:tcPr>
            <w:tcW w:w="922" w:type="dxa"/>
            <w:vMerge w:val="continue"/>
            <w:vAlign w:val="center"/>
          </w:tcPr>
          <w:p w14:paraId="21FE33E2">
            <w:pPr>
              <w:pStyle w:val="34"/>
              <w:spacing w:line="276" w:lineRule="auto"/>
              <w:ind w:firstLine="0"/>
              <w:jc w:val="left"/>
              <w:rPr>
                <w:color w:val="auto"/>
                <w:highlight w:val="none"/>
              </w:rPr>
            </w:pPr>
          </w:p>
        </w:tc>
        <w:tc>
          <w:tcPr>
            <w:tcW w:w="923" w:type="dxa"/>
            <w:vAlign w:val="center"/>
          </w:tcPr>
          <w:p w14:paraId="2B4D7648">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6948" w:type="dxa"/>
            <w:vAlign w:val="center"/>
          </w:tcPr>
          <w:p w14:paraId="79379D63">
            <w:pPr>
              <w:pStyle w:val="34"/>
              <w:keepNext w:val="0"/>
              <w:keepLines w:val="0"/>
              <w:suppressLineNumbers w:val="0"/>
              <w:spacing w:before="0" w:beforeAutospacing="0" w:after="0" w:afterAutospacing="0" w:line="240" w:lineRule="auto"/>
              <w:ind w:left="0" w:right="0" w:firstLine="0"/>
              <w:jc w:val="left"/>
              <w:rPr>
                <w:rFonts w:hint="eastAsia"/>
                <w:color w:val="auto"/>
                <w:szCs w:val="24"/>
                <w:highlight w:val="none"/>
              </w:rPr>
            </w:pPr>
            <w:r>
              <w:rPr>
                <w:rFonts w:hint="eastAsia"/>
                <w:color w:val="auto"/>
                <w:szCs w:val="24"/>
                <w:highlight w:val="none"/>
              </w:rPr>
              <w:t>最低价中选：通过初步评审的竞选单位中竞选总报价最低的单位为第一中选候选人，以此类推。</w:t>
            </w:r>
          </w:p>
          <w:p w14:paraId="3BA37704">
            <w:pPr>
              <w:pStyle w:val="34"/>
              <w:keepNext w:val="0"/>
              <w:keepLines w:val="0"/>
              <w:suppressLineNumbers w:val="0"/>
              <w:spacing w:before="0" w:beforeAutospacing="0" w:after="0" w:afterAutospacing="0" w:line="240" w:lineRule="auto"/>
              <w:ind w:left="0" w:right="0" w:firstLine="0"/>
              <w:jc w:val="left"/>
              <w:rPr>
                <w:rFonts w:hint="default" w:eastAsia="仿宋_GB2312"/>
                <w:color w:val="auto"/>
                <w:szCs w:val="24"/>
                <w:highlight w:val="none"/>
                <w:lang w:val="en-US" w:eastAsia="zh-CN"/>
              </w:rPr>
            </w:pPr>
            <w:r>
              <w:rPr>
                <w:rFonts w:hint="eastAsia"/>
                <w:color w:val="auto"/>
                <w:szCs w:val="24"/>
                <w:highlight w:val="none"/>
              </w:rPr>
              <w:t>【若有两家及以上竞选单位竞选总报价相同且均为最低价，则按照6竞选单位资格条件中提供的业绩金额大的优先原则进行排序】</w:t>
            </w:r>
          </w:p>
        </w:tc>
      </w:tr>
      <w:tr w14:paraId="4FB5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766A33">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52C85054">
            <w:pPr>
              <w:pStyle w:val="34"/>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45B73B2D">
            <w:pPr>
              <w:pStyle w:val="34"/>
              <w:spacing w:line="276" w:lineRule="auto"/>
              <w:ind w:firstLine="0"/>
              <w:jc w:val="left"/>
              <w:rPr>
                <w:rFonts w:hint="eastAsia" w:eastAsia="仿宋_GB2312"/>
                <w:color w:val="auto"/>
                <w:szCs w:val="24"/>
                <w:highlight w:val="none"/>
                <w:lang w:val="en-US" w:eastAsia="zh-CN"/>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16</w:t>
            </w:r>
            <w:r>
              <w:rPr>
                <w:rFonts w:hint="eastAsia"/>
                <w:color w:val="auto"/>
                <w:szCs w:val="24"/>
                <w:highlight w:val="none"/>
              </w:rPr>
              <w:t>日下午1</w:t>
            </w:r>
            <w:r>
              <w:rPr>
                <w:rFonts w:hint="eastAsia"/>
                <w:color w:val="auto"/>
                <w:szCs w:val="24"/>
                <w:highlight w:val="none"/>
                <w:lang w:val="en-US" w:eastAsia="zh-CN"/>
              </w:rPr>
              <w:t>7</w:t>
            </w:r>
            <w:r>
              <w:rPr>
                <w:rFonts w:hint="eastAsia"/>
                <w:color w:val="auto"/>
                <w:szCs w:val="24"/>
                <w:highlight w:val="none"/>
              </w:rPr>
              <w:t>:00前将“营业执照、法定代表人授权书（如有）”电子扫描件打包发送至邮箱：cyfeyhqc@163.com，邮件命名方式“</w:t>
            </w:r>
            <w:r>
              <w:rPr>
                <w:rFonts w:hint="eastAsia"/>
                <w:color w:val="auto"/>
                <w:szCs w:val="24"/>
                <w:highlight w:val="none"/>
                <w:lang w:val="en-US" w:eastAsia="zh-CN"/>
              </w:rPr>
              <w:t>金属类办公家具零星采购</w:t>
            </w:r>
            <w:r>
              <w:rPr>
                <w:rFonts w:hint="eastAsia"/>
                <w:color w:val="auto"/>
                <w:szCs w:val="24"/>
                <w:highlight w:val="none"/>
              </w:rPr>
              <w:t>项目竞选+单位名称+联系人+联系电话”。</w:t>
            </w:r>
            <w:r>
              <w:rPr>
                <w:rFonts w:hint="eastAsia"/>
                <w:b/>
                <w:bCs/>
                <w:color w:val="auto"/>
                <w:szCs w:val="24"/>
                <w:highlight w:val="none"/>
              </w:rPr>
              <w:t>同时须于202</w:t>
            </w:r>
            <w:r>
              <w:rPr>
                <w:rFonts w:hint="eastAsia"/>
                <w:b/>
                <w:bCs/>
                <w:color w:val="auto"/>
                <w:szCs w:val="24"/>
                <w:highlight w:val="none"/>
                <w:lang w:val="en-US" w:eastAsia="zh-CN"/>
              </w:rPr>
              <w:t>5</w:t>
            </w:r>
            <w:r>
              <w:rPr>
                <w:rFonts w:hint="eastAsia"/>
                <w:b/>
                <w:bCs/>
                <w:color w:val="auto"/>
                <w:szCs w:val="24"/>
                <w:highlight w:val="none"/>
              </w:rPr>
              <w:t>年</w:t>
            </w:r>
            <w:r>
              <w:rPr>
                <w:rFonts w:hint="eastAsia"/>
                <w:b/>
                <w:bCs/>
                <w:color w:val="auto"/>
                <w:szCs w:val="24"/>
                <w:highlight w:val="none"/>
                <w:lang w:val="en-US" w:eastAsia="zh-CN"/>
              </w:rPr>
              <w:t>6</w:t>
            </w:r>
            <w:r>
              <w:rPr>
                <w:rFonts w:hint="eastAsia"/>
                <w:b/>
                <w:bCs/>
                <w:color w:val="auto"/>
                <w:szCs w:val="24"/>
                <w:highlight w:val="none"/>
              </w:rPr>
              <w:t>月</w:t>
            </w:r>
            <w:r>
              <w:rPr>
                <w:rFonts w:hint="eastAsia"/>
                <w:b/>
                <w:bCs/>
                <w:color w:val="auto"/>
                <w:szCs w:val="24"/>
                <w:highlight w:val="none"/>
                <w:lang w:val="en-US" w:eastAsia="zh-CN"/>
              </w:rPr>
              <w:t>16</w:t>
            </w:r>
            <w:r>
              <w:rPr>
                <w:rFonts w:hint="eastAsia"/>
                <w:b/>
                <w:bCs/>
                <w:color w:val="auto"/>
                <w:szCs w:val="24"/>
                <w:highlight w:val="none"/>
              </w:rPr>
              <w:t>日17:00前在医采平台完成报名，具体操作方法详见附件</w:t>
            </w:r>
            <w:r>
              <w:rPr>
                <w:rFonts w:hint="eastAsia"/>
                <w:b/>
                <w:bCs/>
                <w:color w:val="auto"/>
                <w:szCs w:val="24"/>
                <w:highlight w:val="none"/>
                <w:lang w:val="en-US" w:eastAsia="zh-CN"/>
              </w:rPr>
              <w:t>3</w:t>
            </w:r>
            <w:r>
              <w:rPr>
                <w:rFonts w:hint="eastAsia"/>
                <w:b/>
                <w:bCs/>
                <w:color w:val="auto"/>
                <w:szCs w:val="24"/>
                <w:highlight w:val="none"/>
              </w:rPr>
              <w:t>,只有两种方式同时报名，才视为有效</w:t>
            </w:r>
            <w:r>
              <w:rPr>
                <w:rFonts w:hint="eastAsia"/>
                <w:b/>
                <w:bCs/>
                <w:color w:val="auto"/>
                <w:szCs w:val="24"/>
                <w:highlight w:val="none"/>
                <w:lang w:eastAsia="zh-CN"/>
              </w:rPr>
              <w:t>。</w:t>
            </w:r>
          </w:p>
          <w:p w14:paraId="6356762A">
            <w:pPr>
              <w:pStyle w:val="34"/>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355CE9DC">
            <w:pPr>
              <w:pStyle w:val="34"/>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13</w:t>
            </w:r>
            <w:r>
              <w:rPr>
                <w:rFonts w:hint="eastAsia"/>
                <w:color w:val="auto"/>
                <w:szCs w:val="24"/>
                <w:highlight w:val="none"/>
              </w:rPr>
              <w:t>日17：00前向采购人提出，超过此时间规定，采购人不再受理竞选疑问。</w:t>
            </w:r>
          </w:p>
          <w:p w14:paraId="458E2B52">
            <w:pPr>
              <w:pStyle w:val="34"/>
              <w:spacing w:line="276" w:lineRule="auto"/>
              <w:ind w:firstLine="0"/>
              <w:jc w:val="left"/>
              <w:rPr>
                <w:color w:val="auto"/>
                <w:szCs w:val="24"/>
                <w:highlight w:val="none"/>
              </w:rPr>
            </w:pPr>
            <w:r>
              <w:rPr>
                <w:rFonts w:hint="eastAsia"/>
                <w:color w:val="auto"/>
                <w:szCs w:val="24"/>
                <w:highlight w:val="none"/>
              </w:rPr>
              <w:t xml:space="preserve">报名联系人：龙老师    </w:t>
            </w:r>
            <w:r>
              <w:rPr>
                <w:rFonts w:hint="eastAsia"/>
                <w:color w:val="auto"/>
                <w:szCs w:val="24"/>
                <w:highlight w:val="none"/>
                <w:lang w:val="en-US" w:eastAsia="zh-CN"/>
              </w:rPr>
              <w:t xml:space="preserve">      </w:t>
            </w:r>
            <w:r>
              <w:rPr>
                <w:rFonts w:hint="eastAsia"/>
                <w:color w:val="auto"/>
                <w:szCs w:val="24"/>
                <w:highlight w:val="none"/>
              </w:rPr>
              <w:t xml:space="preserve"> 联系电话：023-63693920</w:t>
            </w:r>
          </w:p>
          <w:p w14:paraId="65541EB4">
            <w:pPr>
              <w:pStyle w:val="34"/>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现场踏勘联系人：</w:t>
            </w:r>
            <w:r>
              <w:rPr>
                <w:rFonts w:hint="eastAsia"/>
                <w:color w:val="auto"/>
                <w:szCs w:val="24"/>
                <w:highlight w:val="none"/>
                <w:lang w:val="en-US" w:eastAsia="zh-CN"/>
              </w:rPr>
              <w:t>徐</w:t>
            </w:r>
            <w:r>
              <w:rPr>
                <w:rFonts w:hint="eastAsia"/>
                <w:color w:val="auto"/>
                <w:szCs w:val="24"/>
                <w:highlight w:val="none"/>
              </w:rPr>
              <w:t>老师       联系电话：</w:t>
            </w:r>
            <w:r>
              <w:rPr>
                <w:rFonts w:hint="eastAsia"/>
                <w:color w:val="auto"/>
                <w:szCs w:val="24"/>
                <w:highlight w:val="none"/>
                <w:lang w:val="en-US" w:eastAsia="zh-CN"/>
              </w:rPr>
              <w:t>13983788029</w:t>
            </w:r>
          </w:p>
          <w:p w14:paraId="7D2F351B">
            <w:pPr>
              <w:pStyle w:val="34"/>
              <w:spacing w:line="276" w:lineRule="auto"/>
              <w:ind w:firstLine="0"/>
              <w:jc w:val="left"/>
              <w:rPr>
                <w:b/>
                <w:bCs/>
                <w:color w:val="auto"/>
                <w:szCs w:val="24"/>
                <w:highlight w:val="none"/>
              </w:rPr>
            </w:pPr>
            <w:r>
              <w:rPr>
                <w:rFonts w:hint="eastAsia"/>
                <w:b/>
                <w:bCs/>
                <w:color w:val="auto"/>
                <w:szCs w:val="24"/>
                <w:highlight w:val="none"/>
              </w:rPr>
              <w:t>特别说明：</w:t>
            </w:r>
          </w:p>
          <w:p w14:paraId="2DB597E0">
            <w:pPr>
              <w:pStyle w:val="34"/>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6D78EAA">
            <w:pPr>
              <w:pStyle w:val="34"/>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w:t>
            </w:r>
            <w:r>
              <w:rPr>
                <w:rFonts w:hint="eastAsia" w:cs="宋体" w:asciiTheme="minorEastAsia" w:hAnsiTheme="minorEastAsia"/>
                <w:b/>
                <w:bCs/>
                <w:sz w:val="24"/>
                <w:szCs w:val="24"/>
              </w:rPr>
              <w:t>若已邮件报名中途放弃参加，请在竞选截止时间提前至少2天发送邮件说明放弃理由</w:t>
            </w:r>
            <w:r>
              <w:rPr>
                <w:rFonts w:hint="eastAsia" w:cs="宋体" w:asciiTheme="minorEastAsia" w:hAnsiTheme="minorEastAsia"/>
                <w:b/>
                <w:bCs/>
                <w:sz w:val="24"/>
                <w:szCs w:val="24"/>
                <w:lang w:eastAsia="zh-CN"/>
              </w:rPr>
              <w:t>。</w:t>
            </w:r>
            <w:r>
              <w:rPr>
                <w:rFonts w:hint="eastAsia"/>
                <w:b/>
                <w:bCs/>
                <w:color w:val="auto"/>
                <w:szCs w:val="24"/>
                <w:highlight w:val="none"/>
              </w:rPr>
              <w:t>竞选当天无故未准时到场的，将按照《重庆医科大学附属第二医院供应商诚信管理规定》进行处理。</w:t>
            </w:r>
          </w:p>
        </w:tc>
      </w:tr>
      <w:tr w14:paraId="471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C5B86EA">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845" w:type="dxa"/>
            <w:gridSpan w:val="2"/>
            <w:vAlign w:val="center"/>
          </w:tcPr>
          <w:p w14:paraId="6290733D">
            <w:pPr>
              <w:pStyle w:val="34"/>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6FFE4869">
            <w:pPr>
              <w:pStyle w:val="34"/>
              <w:numPr>
                <w:ilvl w:val="0"/>
                <w:numId w:val="0"/>
              </w:numPr>
              <w:spacing w:line="276" w:lineRule="auto"/>
              <w:jc w:val="left"/>
              <w:rPr>
                <w:rFonts w:hint="default"/>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rPr>
              <w:t>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18</w:t>
            </w:r>
            <w:bookmarkStart w:id="25" w:name="_GoBack"/>
            <w:bookmarkEnd w:id="25"/>
            <w:r>
              <w:rPr>
                <w:rFonts w:hint="eastAsia"/>
                <w:color w:val="auto"/>
                <w:szCs w:val="24"/>
                <w:highlight w:val="none"/>
              </w:rPr>
              <w:t>日</w:t>
            </w:r>
            <w:r>
              <w:rPr>
                <w:rFonts w:hint="eastAsia"/>
                <w:color w:val="auto"/>
                <w:szCs w:val="24"/>
                <w:highlight w:val="none"/>
                <w:lang w:val="en-US" w:eastAsia="zh-CN"/>
              </w:rPr>
              <w:t xml:space="preserve"> 9:00</w:t>
            </w:r>
          </w:p>
          <w:p w14:paraId="002CE019">
            <w:pPr>
              <w:pStyle w:val="34"/>
              <w:numPr>
                <w:ilvl w:val="0"/>
                <w:numId w:val="0"/>
              </w:numPr>
              <w:spacing w:line="276" w:lineRule="auto"/>
              <w:jc w:val="left"/>
              <w:rPr>
                <w:color w:val="auto"/>
                <w:szCs w:val="24"/>
                <w:highlight w:val="none"/>
              </w:rPr>
            </w:pPr>
            <w:r>
              <w:rPr>
                <w:rFonts w:hint="eastAsia"/>
                <w:color w:val="auto"/>
                <w:szCs w:val="24"/>
                <w:highlight w:val="none"/>
              </w:rPr>
              <w:t>2.竞选地点：渝中区戴家巷2号都市方舟5楼采购管理处</w:t>
            </w:r>
          </w:p>
          <w:p w14:paraId="20F9A68F">
            <w:pPr>
              <w:pStyle w:val="34"/>
              <w:spacing w:line="276" w:lineRule="auto"/>
              <w:ind w:firstLine="0"/>
              <w:jc w:val="left"/>
              <w:rPr>
                <w:color w:val="auto"/>
                <w:szCs w:val="24"/>
                <w:highlight w:val="none"/>
              </w:rPr>
            </w:pPr>
            <w:r>
              <w:rPr>
                <w:rFonts w:hint="eastAsia"/>
                <w:color w:val="auto"/>
                <w:szCs w:val="24"/>
                <w:highlight w:val="none"/>
              </w:rPr>
              <w:t>3.竞选文件递交：竞选截止时间前半小时内（8:</w:t>
            </w:r>
            <w:r>
              <w:rPr>
                <w:rFonts w:hint="eastAsia"/>
                <w:color w:val="auto"/>
                <w:szCs w:val="24"/>
                <w:highlight w:val="none"/>
                <w:lang w:val="en-US" w:eastAsia="zh-CN"/>
              </w:rPr>
              <w:t>3</w:t>
            </w:r>
            <w:r>
              <w:rPr>
                <w:rFonts w:hint="eastAsia"/>
                <w:color w:val="auto"/>
                <w:szCs w:val="24"/>
                <w:highlight w:val="none"/>
              </w:rPr>
              <w:t>0</w:t>
            </w:r>
            <w:r>
              <w:rPr>
                <w:color w:val="auto"/>
                <w:szCs w:val="24"/>
                <w:highlight w:val="none"/>
              </w:rPr>
              <w:t>-</w:t>
            </w:r>
            <w:r>
              <w:rPr>
                <w:rFonts w:hint="eastAsia"/>
                <w:color w:val="auto"/>
                <w:szCs w:val="24"/>
                <w:highlight w:val="none"/>
                <w:lang w:val="en-US" w:eastAsia="zh-CN"/>
              </w:rPr>
              <w:t>9</w:t>
            </w:r>
            <w:r>
              <w:rPr>
                <w:rFonts w:hint="eastAsia"/>
                <w:color w:val="auto"/>
                <w:szCs w:val="24"/>
                <w:highlight w:val="none"/>
              </w:rPr>
              <w:t>:</w:t>
            </w:r>
            <w:r>
              <w:rPr>
                <w:rFonts w:hint="eastAsia"/>
                <w:color w:val="auto"/>
                <w:szCs w:val="24"/>
                <w:highlight w:val="none"/>
                <w:lang w:val="en-US" w:eastAsia="zh-CN"/>
              </w:rPr>
              <w:t>0</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2B60E7B2">
      <w:pPr>
        <w:spacing w:line="276" w:lineRule="auto"/>
        <w:rPr>
          <w:rFonts w:ascii="黑体" w:eastAsia="黑体"/>
          <w:color w:val="auto"/>
          <w:sz w:val="44"/>
          <w:szCs w:val="44"/>
          <w:highlight w:val="none"/>
        </w:rPr>
      </w:pPr>
    </w:p>
    <w:p w14:paraId="330B6547">
      <w:pPr>
        <w:spacing w:line="276" w:lineRule="auto"/>
        <w:rPr>
          <w:rFonts w:ascii="黑体" w:eastAsia="黑体"/>
          <w:color w:val="auto"/>
          <w:sz w:val="44"/>
          <w:szCs w:val="44"/>
          <w:highlight w:val="none"/>
        </w:rPr>
      </w:pPr>
    </w:p>
    <w:p w14:paraId="02DCCFE1">
      <w:pPr>
        <w:spacing w:line="276" w:lineRule="auto"/>
        <w:rPr>
          <w:rFonts w:ascii="黑体" w:eastAsia="黑体"/>
          <w:color w:val="auto"/>
          <w:sz w:val="44"/>
          <w:szCs w:val="44"/>
          <w:highlight w:val="none"/>
        </w:rPr>
      </w:pPr>
    </w:p>
    <w:p w14:paraId="679BDF8C">
      <w:pPr>
        <w:spacing w:line="276" w:lineRule="auto"/>
        <w:rPr>
          <w:rFonts w:ascii="黑体" w:eastAsia="黑体"/>
          <w:color w:val="auto"/>
          <w:sz w:val="44"/>
          <w:szCs w:val="44"/>
          <w:highlight w:val="none"/>
        </w:rPr>
      </w:pPr>
    </w:p>
    <w:p w14:paraId="1D6B487E">
      <w:pPr>
        <w:pStyle w:val="2"/>
        <w:rPr>
          <w:rFonts w:ascii="黑体" w:eastAsia="黑体"/>
          <w:color w:val="auto"/>
          <w:sz w:val="44"/>
          <w:szCs w:val="44"/>
          <w:highlight w:val="none"/>
        </w:rPr>
      </w:pPr>
    </w:p>
    <w:p w14:paraId="455C0963">
      <w:pPr>
        <w:rPr>
          <w:rFonts w:ascii="黑体" w:eastAsia="黑体"/>
          <w:color w:val="auto"/>
          <w:sz w:val="44"/>
          <w:szCs w:val="44"/>
          <w:highlight w:val="none"/>
        </w:rPr>
      </w:pPr>
    </w:p>
    <w:p w14:paraId="1F69416F">
      <w:pPr>
        <w:pStyle w:val="2"/>
        <w:rPr>
          <w:rFonts w:ascii="黑体" w:eastAsia="黑体"/>
          <w:color w:val="auto"/>
          <w:sz w:val="44"/>
          <w:szCs w:val="44"/>
          <w:highlight w:val="none"/>
        </w:rPr>
      </w:pPr>
    </w:p>
    <w:p w14:paraId="3495D75B">
      <w:pPr>
        <w:rPr>
          <w:rFonts w:ascii="黑体" w:eastAsia="黑体"/>
          <w:color w:val="auto"/>
          <w:sz w:val="44"/>
          <w:szCs w:val="44"/>
          <w:highlight w:val="none"/>
        </w:rPr>
      </w:pPr>
    </w:p>
    <w:p w14:paraId="612F3817">
      <w:pPr>
        <w:pStyle w:val="2"/>
        <w:rPr>
          <w:rFonts w:ascii="黑体" w:eastAsia="黑体"/>
          <w:color w:val="auto"/>
          <w:sz w:val="44"/>
          <w:szCs w:val="44"/>
          <w:highlight w:val="none"/>
        </w:rPr>
      </w:pPr>
    </w:p>
    <w:p w14:paraId="0C70035C">
      <w:pPr>
        <w:rPr>
          <w:rFonts w:ascii="黑体" w:eastAsia="黑体"/>
          <w:color w:val="auto"/>
          <w:sz w:val="44"/>
          <w:szCs w:val="44"/>
          <w:highlight w:val="none"/>
        </w:rPr>
      </w:pPr>
    </w:p>
    <w:p w14:paraId="116BA1EA">
      <w:pPr>
        <w:pStyle w:val="2"/>
        <w:rPr>
          <w:rFonts w:ascii="黑体" w:eastAsia="黑体"/>
          <w:color w:val="auto"/>
          <w:sz w:val="44"/>
          <w:szCs w:val="44"/>
          <w:highlight w:val="none"/>
        </w:rPr>
      </w:pPr>
    </w:p>
    <w:p w14:paraId="57F42E6F">
      <w:pPr>
        <w:pStyle w:val="2"/>
        <w:rPr>
          <w:rFonts w:ascii="黑体" w:eastAsia="黑体"/>
          <w:color w:val="auto"/>
          <w:sz w:val="44"/>
          <w:szCs w:val="44"/>
          <w:highlight w:val="none"/>
        </w:rPr>
      </w:pPr>
    </w:p>
    <w:p w14:paraId="136FF39E">
      <w:pPr>
        <w:rPr>
          <w:rFonts w:ascii="黑体" w:eastAsia="黑体"/>
          <w:color w:val="auto"/>
          <w:sz w:val="44"/>
          <w:szCs w:val="44"/>
          <w:highlight w:val="none"/>
        </w:rPr>
      </w:pPr>
    </w:p>
    <w:p w14:paraId="2DA5EEFD">
      <w:pPr>
        <w:pStyle w:val="2"/>
        <w:rPr>
          <w:color w:val="auto"/>
          <w:highlight w:val="none"/>
        </w:rPr>
      </w:pPr>
    </w:p>
    <w:p w14:paraId="36DF86C5">
      <w:pPr>
        <w:spacing w:line="276" w:lineRule="auto"/>
        <w:rPr>
          <w:color w:val="auto"/>
          <w:highlight w:val="none"/>
        </w:rPr>
      </w:pPr>
    </w:p>
    <w:p w14:paraId="7D3BE7FF">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77075B48">
      <w:pPr>
        <w:spacing w:line="276" w:lineRule="auto"/>
        <w:jc w:val="center"/>
        <w:rPr>
          <w:rFonts w:ascii="宋体"/>
          <w:b/>
          <w:color w:val="auto"/>
          <w:sz w:val="28"/>
          <w:szCs w:val="28"/>
          <w:highlight w:val="none"/>
        </w:rPr>
      </w:pPr>
    </w:p>
    <w:p w14:paraId="1513460B">
      <w:pPr>
        <w:spacing w:line="276" w:lineRule="auto"/>
        <w:jc w:val="center"/>
        <w:rPr>
          <w:rFonts w:ascii="宋体"/>
          <w:b/>
          <w:color w:val="auto"/>
          <w:sz w:val="28"/>
          <w:szCs w:val="28"/>
          <w:highlight w:val="none"/>
        </w:rPr>
      </w:pPr>
    </w:p>
    <w:p w14:paraId="47E596F6">
      <w:pPr>
        <w:spacing w:line="276" w:lineRule="auto"/>
        <w:jc w:val="center"/>
        <w:rPr>
          <w:rFonts w:ascii="宋体"/>
          <w:b/>
          <w:color w:val="auto"/>
          <w:sz w:val="28"/>
          <w:szCs w:val="28"/>
          <w:highlight w:val="none"/>
        </w:rPr>
      </w:pPr>
    </w:p>
    <w:p w14:paraId="6912B799">
      <w:pPr>
        <w:spacing w:line="276" w:lineRule="auto"/>
        <w:jc w:val="center"/>
        <w:rPr>
          <w:rFonts w:ascii="宋体"/>
          <w:b/>
          <w:color w:val="auto"/>
          <w:sz w:val="28"/>
          <w:szCs w:val="28"/>
          <w:highlight w:val="none"/>
        </w:rPr>
      </w:pPr>
    </w:p>
    <w:p w14:paraId="56675A54">
      <w:pPr>
        <w:spacing w:line="276" w:lineRule="auto"/>
        <w:jc w:val="center"/>
        <w:rPr>
          <w:rFonts w:ascii="宋体"/>
          <w:b/>
          <w:color w:val="auto"/>
          <w:sz w:val="20"/>
          <w:szCs w:val="20"/>
          <w:highlight w:val="none"/>
        </w:rPr>
      </w:pPr>
    </w:p>
    <w:p w14:paraId="5AAC0F1F">
      <w:pPr>
        <w:spacing w:line="276" w:lineRule="auto"/>
        <w:rPr>
          <w:rFonts w:ascii="宋体"/>
          <w:b/>
          <w:color w:val="auto"/>
          <w:sz w:val="20"/>
          <w:szCs w:val="20"/>
          <w:highlight w:val="none"/>
        </w:rPr>
      </w:pPr>
    </w:p>
    <w:p w14:paraId="6A498718">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353756D9">
      <w:pPr>
        <w:spacing w:line="276" w:lineRule="auto"/>
        <w:rPr>
          <w:rFonts w:ascii="宋体"/>
          <w:color w:val="auto"/>
          <w:sz w:val="28"/>
          <w:szCs w:val="28"/>
          <w:highlight w:val="none"/>
        </w:rPr>
      </w:pPr>
    </w:p>
    <w:p w14:paraId="478F783A">
      <w:pPr>
        <w:spacing w:line="276" w:lineRule="auto"/>
        <w:rPr>
          <w:rFonts w:ascii="宋体"/>
          <w:color w:val="auto"/>
          <w:sz w:val="28"/>
          <w:szCs w:val="28"/>
          <w:highlight w:val="none"/>
        </w:rPr>
      </w:pPr>
    </w:p>
    <w:p w14:paraId="02BD2C5F">
      <w:pPr>
        <w:spacing w:line="276" w:lineRule="auto"/>
        <w:rPr>
          <w:rFonts w:ascii="宋体"/>
          <w:color w:val="auto"/>
          <w:sz w:val="28"/>
          <w:szCs w:val="28"/>
          <w:highlight w:val="none"/>
        </w:rPr>
      </w:pPr>
    </w:p>
    <w:p w14:paraId="2FB481D7">
      <w:pPr>
        <w:spacing w:line="276" w:lineRule="auto"/>
        <w:rPr>
          <w:rFonts w:ascii="宋体"/>
          <w:color w:val="auto"/>
          <w:sz w:val="28"/>
          <w:szCs w:val="28"/>
          <w:highlight w:val="none"/>
        </w:rPr>
      </w:pPr>
    </w:p>
    <w:p w14:paraId="5C8A7064">
      <w:pPr>
        <w:spacing w:line="276" w:lineRule="auto"/>
        <w:rPr>
          <w:rFonts w:ascii="宋体"/>
          <w:color w:val="auto"/>
          <w:sz w:val="28"/>
          <w:szCs w:val="28"/>
          <w:highlight w:val="none"/>
        </w:rPr>
      </w:pPr>
    </w:p>
    <w:p w14:paraId="16FED8EB">
      <w:pPr>
        <w:spacing w:line="276" w:lineRule="auto"/>
        <w:rPr>
          <w:rFonts w:ascii="宋体"/>
          <w:color w:val="auto"/>
          <w:sz w:val="28"/>
          <w:szCs w:val="28"/>
          <w:highlight w:val="none"/>
        </w:rPr>
      </w:pPr>
    </w:p>
    <w:p w14:paraId="6BF83B8F">
      <w:pPr>
        <w:spacing w:line="276" w:lineRule="auto"/>
        <w:rPr>
          <w:rFonts w:ascii="宋体"/>
          <w:color w:val="auto"/>
          <w:sz w:val="28"/>
          <w:szCs w:val="28"/>
          <w:highlight w:val="none"/>
        </w:rPr>
      </w:pPr>
    </w:p>
    <w:p w14:paraId="6B642DB2">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2D2BFF7D">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7007107F">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5A4F1B7E">
      <w:pPr>
        <w:pStyle w:val="2"/>
        <w:spacing w:line="276" w:lineRule="auto"/>
        <w:rPr>
          <w:color w:val="auto"/>
          <w:highlight w:val="none"/>
        </w:rPr>
      </w:pPr>
    </w:p>
    <w:p w14:paraId="193293D2">
      <w:pPr>
        <w:spacing w:line="276" w:lineRule="auto"/>
        <w:rPr>
          <w:color w:val="auto"/>
          <w:highlight w:val="none"/>
        </w:rPr>
      </w:pPr>
    </w:p>
    <w:p w14:paraId="75553DA7">
      <w:pPr>
        <w:spacing w:line="276" w:lineRule="auto"/>
        <w:rPr>
          <w:color w:val="auto"/>
          <w:highlight w:val="none"/>
        </w:rPr>
      </w:pPr>
      <w:r>
        <w:rPr>
          <w:color w:val="auto"/>
          <w:highlight w:val="none"/>
        </w:rPr>
        <w:br w:type="page"/>
      </w:r>
    </w:p>
    <w:p w14:paraId="4C10C802">
      <w:pPr>
        <w:spacing w:line="276" w:lineRule="auto"/>
        <w:jc w:val="center"/>
        <w:rPr>
          <w:rFonts w:ascii="宋体" w:hAnsi="宋体"/>
          <w:b/>
          <w:color w:val="auto"/>
          <w:sz w:val="24"/>
          <w:szCs w:val="28"/>
          <w:highlight w:val="none"/>
        </w:rPr>
      </w:pPr>
      <w:bookmarkStart w:id="0" w:name="_Toc17153"/>
      <w:bookmarkStart w:id="1" w:name="_Toc416769002"/>
      <w:bookmarkStart w:id="2" w:name="_Toc152045787"/>
      <w:bookmarkStart w:id="3" w:name="_Toc144974856"/>
      <w:bookmarkStart w:id="4" w:name="_Toc375734923"/>
      <w:bookmarkStart w:id="5" w:name="_Toc426025453"/>
      <w:bookmarkStart w:id="6" w:name="_Toc18403"/>
      <w:bookmarkStart w:id="7" w:name="_Toc6104"/>
      <w:bookmarkStart w:id="8" w:name="_Toc238552299"/>
      <w:bookmarkStart w:id="9" w:name="_Toc69073471"/>
      <w:bookmarkStart w:id="10" w:name="_Toc719"/>
      <w:bookmarkStart w:id="11" w:name="_Toc238797661"/>
      <w:bookmarkStart w:id="12" w:name="_Toc405994632"/>
      <w:bookmarkStart w:id="13" w:name="_Toc152042576"/>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4D200E9F">
      <w:pPr>
        <w:spacing w:line="276" w:lineRule="auto"/>
        <w:rPr>
          <w:rFonts w:asciiTheme="minorEastAsia" w:hAnsiTheme="minorEastAsia" w:eastAsiaTheme="minorEastAsia"/>
          <w:color w:val="auto"/>
          <w:kern w:val="0"/>
          <w:sz w:val="24"/>
          <w:highlight w:val="none"/>
        </w:rPr>
      </w:pPr>
    </w:p>
    <w:p w14:paraId="0A389C53">
      <w:pPr>
        <w:spacing w:line="276" w:lineRule="auto"/>
        <w:rPr>
          <w:rFonts w:asciiTheme="minorEastAsia" w:hAnsiTheme="minorEastAsia" w:eastAsiaTheme="minorEastAsia"/>
          <w:color w:val="auto"/>
          <w:kern w:val="0"/>
          <w:sz w:val="24"/>
          <w:highlight w:val="none"/>
        </w:rPr>
      </w:pPr>
      <w:bookmarkStart w:id="14" w:name="_Toc1303"/>
      <w:bookmarkStart w:id="15" w:name="_Toc405994633"/>
      <w:bookmarkStart w:id="16" w:name="_Toc238797662"/>
      <w:bookmarkStart w:id="17" w:name="_Toc152045788"/>
      <w:bookmarkStart w:id="18" w:name="_Toc152042577"/>
      <w:bookmarkStart w:id="19" w:name="_Toc426025454"/>
      <w:bookmarkStart w:id="20" w:name="_Toc375734924"/>
      <w:bookmarkStart w:id="21" w:name="_Toc416769003"/>
      <w:bookmarkStart w:id="22" w:name="_Toc238552300"/>
      <w:bookmarkStart w:id="23" w:name="_Toc1313"/>
      <w:bookmarkStart w:id="24" w:name="_Toc144974857"/>
      <w:r>
        <w:rPr>
          <w:rFonts w:hint="eastAsia" w:asciiTheme="minorEastAsia" w:hAnsiTheme="minorEastAsia" w:eastAsiaTheme="minorEastAsia"/>
          <w:color w:val="auto"/>
          <w:kern w:val="0"/>
          <w:sz w:val="24"/>
          <w:highlight w:val="none"/>
        </w:rPr>
        <w:t>1.评审条款差异表（格式1）</w:t>
      </w:r>
    </w:p>
    <w:p w14:paraId="26B6552B">
      <w:pPr>
        <w:spacing w:line="276" w:lineRule="auto"/>
        <w:rPr>
          <w:rFonts w:hint="eastAsia"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rPr>
        <w:t>2.竞选函（格式2</w:t>
      </w:r>
      <w:r>
        <w:rPr>
          <w:rFonts w:hint="eastAsia" w:asciiTheme="minorEastAsia" w:hAnsiTheme="minorEastAsia" w:eastAsiaTheme="minorEastAsia"/>
          <w:color w:val="auto"/>
          <w:kern w:val="0"/>
          <w:sz w:val="24"/>
          <w:highlight w:val="none"/>
          <w:lang w:eastAsia="zh-CN"/>
        </w:rPr>
        <w:t>）</w:t>
      </w:r>
      <w:r>
        <w:rPr>
          <w:rFonts w:hint="eastAsia" w:asciiTheme="minorEastAsia" w:hAnsiTheme="minorEastAsia" w:eastAsiaTheme="minorEastAsia"/>
          <w:color w:val="auto"/>
          <w:kern w:val="0"/>
          <w:sz w:val="24"/>
          <w:highlight w:val="none"/>
          <w:lang w:val="en-US" w:eastAsia="zh-CN"/>
        </w:rPr>
        <w:t>请将附件2金属类办公家具技术参数及限价清单附在竞选函后面</w:t>
      </w:r>
      <w:r>
        <w:rPr>
          <w:rFonts w:hint="eastAsia" w:asciiTheme="minorEastAsia" w:hAnsiTheme="minorEastAsia" w:eastAsiaTheme="minorEastAsia"/>
          <w:color w:val="auto"/>
          <w:kern w:val="0"/>
          <w:sz w:val="24"/>
          <w:highlight w:val="none"/>
          <w:lang w:eastAsia="zh-CN"/>
        </w:rPr>
        <w:t>）</w:t>
      </w:r>
    </w:p>
    <w:p w14:paraId="3E0971E8">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65D1846A">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17F19F6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4EA950B6">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1C41360F">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012A848D">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393E1D59">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2E28D87F">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14:paraId="031429FD">
      <w:pPr>
        <w:spacing w:line="276" w:lineRule="auto"/>
        <w:rPr>
          <w:rFonts w:ascii="宋体" w:hAnsi="宋体"/>
          <w:b/>
          <w:color w:val="auto"/>
          <w:sz w:val="28"/>
          <w:szCs w:val="40"/>
          <w:highlight w:val="none"/>
        </w:rPr>
      </w:pPr>
    </w:p>
    <w:p w14:paraId="2AD11D81">
      <w:pPr>
        <w:spacing w:line="276" w:lineRule="auto"/>
        <w:rPr>
          <w:rFonts w:ascii="宋体" w:hAnsi="宋体"/>
          <w:b/>
          <w:color w:val="auto"/>
          <w:sz w:val="28"/>
          <w:szCs w:val="40"/>
          <w:highlight w:val="none"/>
        </w:rPr>
      </w:pPr>
    </w:p>
    <w:p w14:paraId="1DDE1538">
      <w:pPr>
        <w:spacing w:line="276" w:lineRule="auto"/>
        <w:rPr>
          <w:rFonts w:ascii="宋体" w:hAnsi="宋体"/>
          <w:b/>
          <w:color w:val="auto"/>
          <w:sz w:val="28"/>
          <w:szCs w:val="40"/>
          <w:highlight w:val="none"/>
        </w:rPr>
      </w:pPr>
    </w:p>
    <w:p w14:paraId="058F1D75">
      <w:pPr>
        <w:spacing w:line="276" w:lineRule="auto"/>
        <w:rPr>
          <w:rFonts w:ascii="宋体" w:hAnsi="宋体"/>
          <w:b/>
          <w:color w:val="auto"/>
          <w:sz w:val="28"/>
          <w:szCs w:val="40"/>
          <w:highlight w:val="none"/>
        </w:rPr>
      </w:pPr>
    </w:p>
    <w:p w14:paraId="20937863">
      <w:pPr>
        <w:spacing w:line="276" w:lineRule="auto"/>
        <w:rPr>
          <w:rFonts w:ascii="宋体" w:hAnsi="宋体"/>
          <w:b/>
          <w:color w:val="auto"/>
          <w:sz w:val="28"/>
          <w:szCs w:val="40"/>
          <w:highlight w:val="none"/>
        </w:rPr>
      </w:pPr>
    </w:p>
    <w:p w14:paraId="6F8A022D">
      <w:pPr>
        <w:spacing w:line="276" w:lineRule="auto"/>
        <w:rPr>
          <w:rFonts w:ascii="宋体" w:hAnsi="宋体"/>
          <w:b/>
          <w:color w:val="auto"/>
          <w:sz w:val="28"/>
          <w:szCs w:val="40"/>
          <w:highlight w:val="none"/>
        </w:rPr>
      </w:pPr>
    </w:p>
    <w:p w14:paraId="1F5BC541">
      <w:pPr>
        <w:spacing w:line="276" w:lineRule="auto"/>
        <w:rPr>
          <w:rFonts w:ascii="宋体" w:hAnsi="宋体"/>
          <w:b/>
          <w:color w:val="auto"/>
          <w:sz w:val="28"/>
          <w:szCs w:val="40"/>
          <w:highlight w:val="none"/>
        </w:rPr>
      </w:pPr>
    </w:p>
    <w:p w14:paraId="1DA56356">
      <w:pPr>
        <w:spacing w:line="276" w:lineRule="auto"/>
        <w:rPr>
          <w:rFonts w:ascii="宋体" w:hAnsi="宋体"/>
          <w:b/>
          <w:color w:val="auto"/>
          <w:sz w:val="28"/>
          <w:szCs w:val="40"/>
          <w:highlight w:val="none"/>
        </w:rPr>
      </w:pPr>
    </w:p>
    <w:p w14:paraId="7762CCC4">
      <w:pPr>
        <w:spacing w:line="276" w:lineRule="auto"/>
        <w:rPr>
          <w:rFonts w:ascii="宋体" w:hAnsi="宋体"/>
          <w:b/>
          <w:color w:val="auto"/>
          <w:sz w:val="28"/>
          <w:szCs w:val="40"/>
          <w:highlight w:val="none"/>
        </w:rPr>
      </w:pPr>
    </w:p>
    <w:p w14:paraId="51F053B8">
      <w:pPr>
        <w:spacing w:line="276" w:lineRule="auto"/>
        <w:rPr>
          <w:rFonts w:ascii="宋体" w:hAnsi="宋体"/>
          <w:b/>
          <w:color w:val="auto"/>
          <w:sz w:val="28"/>
          <w:szCs w:val="40"/>
          <w:highlight w:val="none"/>
        </w:rPr>
      </w:pPr>
    </w:p>
    <w:p w14:paraId="46208717">
      <w:pPr>
        <w:spacing w:line="276" w:lineRule="auto"/>
        <w:rPr>
          <w:rFonts w:ascii="宋体" w:hAnsi="宋体"/>
          <w:b/>
          <w:color w:val="auto"/>
          <w:sz w:val="28"/>
          <w:szCs w:val="40"/>
          <w:highlight w:val="none"/>
        </w:rPr>
      </w:pPr>
    </w:p>
    <w:p w14:paraId="46D03CAE">
      <w:pPr>
        <w:spacing w:line="276" w:lineRule="auto"/>
        <w:rPr>
          <w:rFonts w:ascii="宋体" w:hAnsi="宋体"/>
          <w:b/>
          <w:color w:val="auto"/>
          <w:sz w:val="28"/>
          <w:szCs w:val="40"/>
          <w:highlight w:val="none"/>
        </w:rPr>
      </w:pPr>
    </w:p>
    <w:p w14:paraId="42DA80B7">
      <w:pPr>
        <w:spacing w:line="276" w:lineRule="auto"/>
        <w:rPr>
          <w:rFonts w:ascii="宋体" w:hAnsi="宋体"/>
          <w:b/>
          <w:color w:val="auto"/>
          <w:sz w:val="28"/>
          <w:szCs w:val="40"/>
          <w:highlight w:val="none"/>
        </w:rPr>
      </w:pPr>
    </w:p>
    <w:p w14:paraId="067B268D">
      <w:pPr>
        <w:pStyle w:val="2"/>
        <w:spacing w:line="276" w:lineRule="auto"/>
        <w:rPr>
          <w:color w:val="auto"/>
          <w:highlight w:val="none"/>
        </w:rPr>
      </w:pPr>
    </w:p>
    <w:p w14:paraId="68AEDEB7">
      <w:pPr>
        <w:rPr>
          <w:color w:val="auto"/>
          <w:highlight w:val="none"/>
        </w:rPr>
      </w:pPr>
    </w:p>
    <w:p w14:paraId="78E058D6">
      <w:pPr>
        <w:pStyle w:val="2"/>
        <w:spacing w:line="276" w:lineRule="auto"/>
        <w:rPr>
          <w:color w:val="auto"/>
          <w:highlight w:val="none"/>
        </w:rPr>
      </w:pPr>
    </w:p>
    <w:p w14:paraId="1D60A64E">
      <w:pPr>
        <w:rPr>
          <w:color w:val="auto"/>
          <w:highlight w:val="none"/>
        </w:rPr>
      </w:pPr>
    </w:p>
    <w:p w14:paraId="3E8460A6">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2A94797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36F7CD9B">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625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24C18CA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9634157">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49B98ED1">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69245C9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4C6CF049">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6B4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0890AB9">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50CE319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06E8DC3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7C6C1B6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2A57962A">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86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930FB2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F7B0EEA">
            <w:pPr>
              <w:spacing w:line="276" w:lineRule="auto"/>
              <w:jc w:val="left"/>
              <w:rPr>
                <w:i/>
                <w:color w:val="auto"/>
                <w:highlight w:val="none"/>
              </w:rPr>
            </w:pPr>
            <w:r>
              <w:rPr>
                <w:rFonts w:hint="eastAsia"/>
                <w:i/>
                <w:color w:val="auto"/>
                <w:highlight w:val="none"/>
              </w:rPr>
              <w:t>基本资格条件1、营业执照</w:t>
            </w:r>
          </w:p>
        </w:tc>
        <w:tc>
          <w:tcPr>
            <w:tcW w:w="3038" w:type="dxa"/>
          </w:tcPr>
          <w:p w14:paraId="3C9C4A29">
            <w:pPr>
              <w:spacing w:line="276" w:lineRule="auto"/>
              <w:jc w:val="left"/>
              <w:rPr>
                <w:i/>
                <w:color w:val="auto"/>
                <w:highlight w:val="none"/>
              </w:rPr>
            </w:pPr>
            <w:r>
              <w:rPr>
                <w:rFonts w:hint="eastAsia"/>
                <w:i/>
                <w:color w:val="auto"/>
                <w:highlight w:val="none"/>
              </w:rPr>
              <w:t>满足采购文件要求</w:t>
            </w:r>
          </w:p>
        </w:tc>
        <w:tc>
          <w:tcPr>
            <w:tcW w:w="1467" w:type="dxa"/>
          </w:tcPr>
          <w:p w14:paraId="522554A8">
            <w:pPr>
              <w:spacing w:line="276" w:lineRule="auto"/>
              <w:jc w:val="left"/>
              <w:rPr>
                <w:i/>
                <w:color w:val="auto"/>
                <w:highlight w:val="none"/>
              </w:rPr>
            </w:pPr>
            <w:r>
              <w:rPr>
                <w:rFonts w:hint="eastAsia"/>
                <w:i/>
                <w:color w:val="auto"/>
                <w:highlight w:val="none"/>
              </w:rPr>
              <w:t>无偏离</w:t>
            </w:r>
          </w:p>
        </w:tc>
        <w:tc>
          <w:tcPr>
            <w:tcW w:w="1646" w:type="dxa"/>
          </w:tcPr>
          <w:p w14:paraId="21315250">
            <w:pPr>
              <w:spacing w:line="276" w:lineRule="auto"/>
              <w:jc w:val="left"/>
              <w:rPr>
                <w:i/>
                <w:color w:val="auto"/>
                <w:highlight w:val="none"/>
              </w:rPr>
            </w:pPr>
            <w:r>
              <w:rPr>
                <w:rFonts w:hint="eastAsia"/>
                <w:i/>
                <w:color w:val="auto"/>
                <w:highlight w:val="none"/>
              </w:rPr>
              <w:t>7页</w:t>
            </w:r>
          </w:p>
        </w:tc>
      </w:tr>
      <w:tr w14:paraId="73D4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EE5917">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03AED373">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74BD93A8">
            <w:pPr>
              <w:spacing w:line="276" w:lineRule="auto"/>
              <w:jc w:val="left"/>
              <w:rPr>
                <w:i/>
                <w:color w:val="auto"/>
                <w:highlight w:val="none"/>
              </w:rPr>
            </w:pPr>
            <w:r>
              <w:rPr>
                <w:rFonts w:hint="eastAsia"/>
                <w:i/>
                <w:color w:val="auto"/>
                <w:highlight w:val="none"/>
              </w:rPr>
              <w:t>满足采购文件要求</w:t>
            </w:r>
          </w:p>
        </w:tc>
        <w:tc>
          <w:tcPr>
            <w:tcW w:w="1467" w:type="dxa"/>
          </w:tcPr>
          <w:p w14:paraId="477DC135">
            <w:pPr>
              <w:spacing w:line="276" w:lineRule="auto"/>
              <w:jc w:val="left"/>
              <w:rPr>
                <w:i/>
                <w:color w:val="auto"/>
                <w:highlight w:val="none"/>
              </w:rPr>
            </w:pPr>
            <w:r>
              <w:rPr>
                <w:rFonts w:hint="eastAsia"/>
                <w:i/>
                <w:color w:val="auto"/>
                <w:highlight w:val="none"/>
              </w:rPr>
              <w:t>无偏离</w:t>
            </w:r>
          </w:p>
        </w:tc>
        <w:tc>
          <w:tcPr>
            <w:tcW w:w="1646" w:type="dxa"/>
          </w:tcPr>
          <w:p w14:paraId="3FBA23BD">
            <w:pPr>
              <w:spacing w:line="276" w:lineRule="auto"/>
              <w:jc w:val="left"/>
              <w:rPr>
                <w:i/>
                <w:color w:val="auto"/>
                <w:highlight w:val="none"/>
              </w:rPr>
            </w:pPr>
            <w:r>
              <w:rPr>
                <w:rFonts w:hint="eastAsia"/>
                <w:i/>
                <w:color w:val="auto"/>
                <w:highlight w:val="none"/>
              </w:rPr>
              <w:t>8页</w:t>
            </w:r>
          </w:p>
        </w:tc>
      </w:tr>
      <w:tr w14:paraId="476E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88619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34A6C0D7">
            <w:pPr>
              <w:spacing w:line="276" w:lineRule="auto"/>
              <w:jc w:val="left"/>
              <w:rPr>
                <w:i/>
                <w:color w:val="auto"/>
                <w:highlight w:val="none"/>
              </w:rPr>
            </w:pPr>
            <w:r>
              <w:rPr>
                <w:rFonts w:hint="eastAsia"/>
                <w:i/>
                <w:color w:val="auto"/>
                <w:highlight w:val="none"/>
              </w:rPr>
              <w:t>特定资格条件1、具有..资质</w:t>
            </w:r>
          </w:p>
        </w:tc>
        <w:tc>
          <w:tcPr>
            <w:tcW w:w="3038" w:type="dxa"/>
          </w:tcPr>
          <w:p w14:paraId="17CC3C7E">
            <w:pPr>
              <w:spacing w:line="276" w:lineRule="auto"/>
              <w:jc w:val="left"/>
              <w:rPr>
                <w:i/>
                <w:color w:val="auto"/>
                <w:highlight w:val="none"/>
              </w:rPr>
            </w:pPr>
            <w:r>
              <w:rPr>
                <w:rFonts w:hint="eastAsia"/>
                <w:i/>
                <w:color w:val="auto"/>
                <w:highlight w:val="none"/>
              </w:rPr>
              <w:t>满足采购文件要求</w:t>
            </w:r>
          </w:p>
        </w:tc>
        <w:tc>
          <w:tcPr>
            <w:tcW w:w="1467" w:type="dxa"/>
          </w:tcPr>
          <w:p w14:paraId="411F022A">
            <w:pPr>
              <w:spacing w:line="276" w:lineRule="auto"/>
              <w:jc w:val="left"/>
              <w:rPr>
                <w:i/>
                <w:color w:val="auto"/>
                <w:highlight w:val="none"/>
              </w:rPr>
            </w:pPr>
            <w:r>
              <w:rPr>
                <w:rFonts w:hint="eastAsia"/>
                <w:i/>
                <w:color w:val="auto"/>
                <w:highlight w:val="none"/>
              </w:rPr>
              <w:t>无偏离</w:t>
            </w:r>
          </w:p>
        </w:tc>
        <w:tc>
          <w:tcPr>
            <w:tcW w:w="1646" w:type="dxa"/>
          </w:tcPr>
          <w:p w14:paraId="51BB670A">
            <w:pPr>
              <w:spacing w:line="276" w:lineRule="auto"/>
              <w:jc w:val="left"/>
              <w:rPr>
                <w:i/>
                <w:color w:val="auto"/>
                <w:highlight w:val="none"/>
              </w:rPr>
            </w:pPr>
            <w:r>
              <w:rPr>
                <w:rFonts w:hint="eastAsia"/>
                <w:i/>
                <w:color w:val="auto"/>
                <w:highlight w:val="none"/>
              </w:rPr>
              <w:t>10-11页</w:t>
            </w:r>
          </w:p>
        </w:tc>
      </w:tr>
      <w:tr w14:paraId="51C1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A0FE6C1">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310329D5">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3CFAB1C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0F1F0E09">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C1EC071">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60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C09255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74DF54B3">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36217E92">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53F8AC2E">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0D10624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17F2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FEAB3C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A176C5B">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A26606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F685C5">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4DC5CA4">
            <w:pPr>
              <w:tabs>
                <w:tab w:val="left" w:pos="6300"/>
              </w:tabs>
              <w:snapToGrid w:val="0"/>
              <w:spacing w:line="276" w:lineRule="auto"/>
              <w:jc w:val="center"/>
              <w:rPr>
                <w:rFonts w:ascii="宋体" w:hAnsi="宋体" w:cs="宋体"/>
                <w:color w:val="auto"/>
                <w:szCs w:val="21"/>
                <w:highlight w:val="none"/>
              </w:rPr>
            </w:pPr>
          </w:p>
        </w:tc>
      </w:tr>
      <w:tr w14:paraId="00B4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FD901E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FB0321A">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500557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33B08EEA">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D805C79">
            <w:pPr>
              <w:tabs>
                <w:tab w:val="left" w:pos="6300"/>
              </w:tabs>
              <w:snapToGrid w:val="0"/>
              <w:spacing w:line="276" w:lineRule="auto"/>
              <w:jc w:val="center"/>
              <w:rPr>
                <w:rFonts w:ascii="宋体" w:hAnsi="宋体" w:cs="宋体"/>
                <w:color w:val="auto"/>
                <w:szCs w:val="21"/>
                <w:highlight w:val="none"/>
              </w:rPr>
            </w:pPr>
          </w:p>
        </w:tc>
      </w:tr>
      <w:tr w14:paraId="4895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BA7194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5FECD8E">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9EFDE89">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A1B12A0">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3A081ADD">
            <w:pPr>
              <w:tabs>
                <w:tab w:val="left" w:pos="6300"/>
              </w:tabs>
              <w:snapToGrid w:val="0"/>
              <w:spacing w:line="276" w:lineRule="auto"/>
              <w:jc w:val="center"/>
              <w:rPr>
                <w:rFonts w:ascii="宋体" w:hAnsi="宋体" w:cs="宋体"/>
                <w:color w:val="auto"/>
                <w:szCs w:val="21"/>
                <w:highlight w:val="none"/>
              </w:rPr>
            </w:pPr>
          </w:p>
        </w:tc>
      </w:tr>
      <w:tr w14:paraId="7C8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73C9C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5DB6678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001CF91C">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813339D">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5CAC2E1C">
            <w:pPr>
              <w:tabs>
                <w:tab w:val="left" w:pos="6300"/>
              </w:tabs>
              <w:snapToGrid w:val="0"/>
              <w:spacing w:line="276" w:lineRule="auto"/>
              <w:jc w:val="center"/>
              <w:rPr>
                <w:rFonts w:ascii="宋体" w:hAnsi="宋体" w:cs="宋体"/>
                <w:color w:val="auto"/>
                <w:szCs w:val="21"/>
                <w:highlight w:val="none"/>
              </w:rPr>
            </w:pPr>
          </w:p>
        </w:tc>
      </w:tr>
      <w:tr w14:paraId="1276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7B702D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692A51C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BEB64B2">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FF643B6">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7C806FA">
            <w:pPr>
              <w:tabs>
                <w:tab w:val="left" w:pos="6300"/>
              </w:tabs>
              <w:snapToGrid w:val="0"/>
              <w:spacing w:line="276" w:lineRule="auto"/>
              <w:jc w:val="center"/>
              <w:rPr>
                <w:rFonts w:ascii="宋体" w:hAnsi="宋体" w:cs="宋体"/>
                <w:color w:val="auto"/>
                <w:szCs w:val="21"/>
                <w:highlight w:val="none"/>
              </w:rPr>
            </w:pPr>
          </w:p>
        </w:tc>
      </w:tr>
    </w:tbl>
    <w:p w14:paraId="68DB9E74">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92CAB3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条评分办法”中所列条款进行比较和响应。（请按照评分办法依次罗列，将影响到各竞选单位得分，请尽量详尽）</w:t>
      </w:r>
    </w:p>
    <w:p w14:paraId="73398BEF">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DA212F0">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7A48F941">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13AA7791">
      <w:pPr>
        <w:tabs>
          <w:tab w:val="left" w:pos="6300"/>
        </w:tabs>
        <w:snapToGrid w:val="0"/>
        <w:spacing w:line="276" w:lineRule="auto"/>
        <w:ind w:firstLine="570"/>
        <w:jc w:val="left"/>
        <w:rPr>
          <w:rFonts w:ascii="宋体" w:hAnsi="宋体" w:cs="宋体"/>
          <w:color w:val="auto"/>
          <w:sz w:val="24"/>
          <w:szCs w:val="20"/>
          <w:highlight w:val="none"/>
        </w:rPr>
      </w:pPr>
    </w:p>
    <w:p w14:paraId="3979CFDB">
      <w:pPr>
        <w:spacing w:line="276" w:lineRule="auto"/>
        <w:rPr>
          <w:rFonts w:ascii="黑体" w:eastAsia="黑体"/>
          <w:color w:val="auto"/>
          <w:sz w:val="24"/>
          <w:highlight w:val="none"/>
        </w:rPr>
      </w:pPr>
    </w:p>
    <w:p w14:paraId="7E4625E5">
      <w:pPr>
        <w:spacing w:line="276" w:lineRule="auto"/>
        <w:rPr>
          <w:rFonts w:ascii="黑体" w:eastAsia="黑体"/>
          <w:color w:val="auto"/>
          <w:sz w:val="24"/>
          <w:highlight w:val="none"/>
        </w:rPr>
      </w:pPr>
    </w:p>
    <w:p w14:paraId="7DDFCF9D">
      <w:pPr>
        <w:pStyle w:val="2"/>
        <w:spacing w:line="276" w:lineRule="auto"/>
        <w:rPr>
          <w:color w:val="auto"/>
          <w:highlight w:val="none"/>
        </w:rPr>
      </w:pPr>
    </w:p>
    <w:p w14:paraId="327DB9C8">
      <w:pPr>
        <w:pStyle w:val="2"/>
        <w:spacing w:line="276" w:lineRule="auto"/>
        <w:rPr>
          <w:color w:val="auto"/>
          <w:highlight w:val="none"/>
        </w:rPr>
      </w:pPr>
      <w:r>
        <w:rPr>
          <w:color w:val="auto"/>
          <w:highlight w:val="none"/>
        </w:rPr>
        <w:br w:type="page"/>
      </w:r>
    </w:p>
    <w:p w14:paraId="404C0F1B">
      <w:pPr>
        <w:pStyle w:val="2"/>
        <w:spacing w:line="276" w:lineRule="auto"/>
        <w:rPr>
          <w:color w:val="auto"/>
          <w:highlight w:val="none"/>
        </w:rPr>
      </w:pPr>
    </w:p>
    <w:p w14:paraId="020D1806">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0CF71C31">
      <w:pPr>
        <w:spacing w:line="276" w:lineRule="auto"/>
        <w:rPr>
          <w:rFonts w:ascii="黑体" w:eastAsia="黑体"/>
          <w:color w:val="auto"/>
          <w:sz w:val="24"/>
          <w:highlight w:val="none"/>
        </w:rPr>
      </w:pPr>
    </w:p>
    <w:p w14:paraId="7402CFBE">
      <w:pPr>
        <w:spacing w:line="276" w:lineRule="auto"/>
        <w:jc w:val="center"/>
        <w:rPr>
          <w:rFonts w:ascii="黑体" w:hAnsi="黑体" w:eastAsia="黑体" w:cs="黑体"/>
          <w:color w:val="auto"/>
          <w:sz w:val="44"/>
          <w:szCs w:val="44"/>
          <w:highlight w:val="none"/>
        </w:rPr>
      </w:pPr>
    </w:p>
    <w:p w14:paraId="454DCEBC">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78285E58">
      <w:pPr>
        <w:spacing w:line="276" w:lineRule="auto"/>
        <w:rPr>
          <w:rFonts w:ascii="宋体" w:hAnsi="宋体"/>
          <w:color w:val="auto"/>
          <w:sz w:val="28"/>
          <w:highlight w:val="none"/>
        </w:rPr>
      </w:pPr>
    </w:p>
    <w:p w14:paraId="3DA03FF6">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160BCC80">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247807A8">
      <w:pPr>
        <w:spacing w:line="276" w:lineRule="auto"/>
        <w:rPr>
          <w:rFonts w:ascii="宋体" w:hAnsi="宋体"/>
          <w:color w:val="auto"/>
          <w:sz w:val="28"/>
          <w:highlight w:val="none"/>
        </w:rPr>
      </w:pPr>
      <w:r>
        <w:rPr>
          <w:rFonts w:hint="eastAsia" w:ascii="宋体" w:hAnsi="宋体"/>
          <w:color w:val="auto"/>
          <w:sz w:val="28"/>
          <w:highlight w:val="none"/>
        </w:rPr>
        <w:t>重庆医科大学附属第二医院          项目竞选报价为：             元；</w:t>
      </w:r>
    </w:p>
    <w:p w14:paraId="37F7963D">
      <w:pPr>
        <w:spacing w:line="276" w:lineRule="auto"/>
        <w:rPr>
          <w:rFonts w:ascii="宋体" w:hAnsi="宋体"/>
          <w:color w:val="auto"/>
          <w:sz w:val="28"/>
          <w:highlight w:val="none"/>
        </w:rPr>
      </w:pPr>
      <w:r>
        <w:rPr>
          <w:rFonts w:hint="eastAsia" w:ascii="宋体" w:hAnsi="宋体"/>
          <w:color w:val="auto"/>
          <w:sz w:val="28"/>
          <w:highlight w:val="none"/>
        </w:rPr>
        <w:t>供货安装时间</w:t>
      </w:r>
      <w:r>
        <w:rPr>
          <w:rFonts w:hint="eastAsia" w:ascii="宋体" w:hAnsi="宋体"/>
          <w:color w:val="auto"/>
          <w:sz w:val="28"/>
          <w:highlight w:val="none"/>
          <w:u w:val="single"/>
        </w:rPr>
        <w:t>标准产品在收到医院通知后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内（含通知当日）完成供货、安装、调试；紧急情况下在收到医院通知后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内（含通知当日）完成供货、安装、调试；非标产品在收到医院通知后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年</w:t>
      </w:r>
      <w:r>
        <w:rPr>
          <w:rFonts w:hint="eastAsia" w:ascii="宋体" w:hAnsi="宋体"/>
          <w:color w:val="auto"/>
          <w:sz w:val="28"/>
          <w:highlight w:val="none"/>
        </w:rPr>
        <w:t>。</w:t>
      </w:r>
    </w:p>
    <w:p w14:paraId="3CA6534A">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403CD0E">
      <w:pPr>
        <w:spacing w:line="276" w:lineRule="auto"/>
        <w:rPr>
          <w:rFonts w:ascii="宋体" w:hAnsi="宋体"/>
          <w:color w:val="auto"/>
          <w:sz w:val="28"/>
          <w:highlight w:val="none"/>
        </w:rPr>
      </w:pPr>
    </w:p>
    <w:p w14:paraId="73062211">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20548FB6">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3835EA18">
      <w:pPr>
        <w:spacing w:line="276" w:lineRule="auto"/>
        <w:rPr>
          <w:rFonts w:ascii="宋体" w:hAnsi="宋体"/>
          <w:color w:val="auto"/>
          <w:sz w:val="28"/>
          <w:highlight w:val="none"/>
        </w:rPr>
      </w:pPr>
      <w:r>
        <w:rPr>
          <w:rFonts w:hint="eastAsia" w:ascii="宋体" w:hAnsi="宋体"/>
          <w:color w:val="auto"/>
          <w:sz w:val="28"/>
          <w:highlight w:val="none"/>
        </w:rPr>
        <w:t>时间：</w:t>
      </w:r>
    </w:p>
    <w:p w14:paraId="0A3A4080">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1F3228F6">
      <w:pPr>
        <w:spacing w:line="276" w:lineRule="auto"/>
        <w:rPr>
          <w:rFonts w:ascii="黑体" w:hAnsi="黑体" w:eastAsia="黑体" w:cs="黑体"/>
          <w:color w:val="auto"/>
          <w:sz w:val="24"/>
          <w:highlight w:val="none"/>
        </w:rPr>
      </w:pPr>
    </w:p>
    <w:p w14:paraId="3646B652">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4E1491B">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1464321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E0F53A5">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079441E3">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33EA1EC">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E1833F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6BBB27D">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846A3B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9FF7705">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6D9732A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CDF788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CA1A6BC">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B338E52">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7D9A15F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6AA7E7B8">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96D603D">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048E091">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49E85194">
      <w:pPr>
        <w:autoSpaceDE w:val="0"/>
        <w:autoSpaceDN w:val="0"/>
        <w:adjustRightInd w:val="0"/>
        <w:snapToGrid w:val="0"/>
        <w:spacing w:line="276" w:lineRule="auto"/>
        <w:jc w:val="left"/>
        <w:rPr>
          <w:rFonts w:ascii="宋体" w:cs="Arial"/>
          <w:color w:val="auto"/>
          <w:kern w:val="0"/>
          <w:szCs w:val="21"/>
          <w:highlight w:val="none"/>
        </w:rPr>
      </w:pPr>
    </w:p>
    <w:p w14:paraId="26F17D3F">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0E4CBACF">
      <w:pPr>
        <w:autoSpaceDE w:val="0"/>
        <w:autoSpaceDN w:val="0"/>
        <w:adjustRightInd w:val="0"/>
        <w:snapToGrid w:val="0"/>
        <w:spacing w:line="276" w:lineRule="auto"/>
        <w:jc w:val="left"/>
        <w:rPr>
          <w:rFonts w:ascii="宋体" w:cs="Arial"/>
          <w:color w:val="auto"/>
          <w:kern w:val="0"/>
          <w:szCs w:val="21"/>
          <w:highlight w:val="none"/>
        </w:rPr>
      </w:pPr>
    </w:p>
    <w:p w14:paraId="785F0241">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1155AAF9">
      <w:pPr>
        <w:autoSpaceDE w:val="0"/>
        <w:autoSpaceDN w:val="0"/>
        <w:adjustRightInd w:val="0"/>
        <w:snapToGrid w:val="0"/>
        <w:spacing w:line="276" w:lineRule="auto"/>
        <w:jc w:val="left"/>
        <w:rPr>
          <w:rFonts w:ascii="宋体" w:cs="Arial"/>
          <w:color w:val="auto"/>
          <w:kern w:val="0"/>
          <w:szCs w:val="21"/>
          <w:highlight w:val="none"/>
        </w:rPr>
      </w:pPr>
    </w:p>
    <w:p w14:paraId="62AD1FA3">
      <w:pPr>
        <w:autoSpaceDE w:val="0"/>
        <w:autoSpaceDN w:val="0"/>
        <w:adjustRightInd w:val="0"/>
        <w:snapToGrid w:val="0"/>
        <w:spacing w:line="276" w:lineRule="auto"/>
        <w:jc w:val="left"/>
        <w:rPr>
          <w:rFonts w:ascii="宋体" w:cs="Arial"/>
          <w:color w:val="auto"/>
          <w:kern w:val="0"/>
          <w:szCs w:val="21"/>
          <w:highlight w:val="none"/>
        </w:rPr>
      </w:pPr>
    </w:p>
    <w:p w14:paraId="219CF19B">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677F4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4092D29">
            <w:pPr>
              <w:spacing w:line="276" w:lineRule="auto"/>
              <w:rPr>
                <w:rFonts w:ascii="宋体"/>
                <w:b/>
                <w:color w:val="auto"/>
                <w:szCs w:val="21"/>
                <w:highlight w:val="none"/>
              </w:rPr>
            </w:pPr>
          </w:p>
          <w:p w14:paraId="79DD921C">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52A83459">
            <w:pPr>
              <w:spacing w:line="276" w:lineRule="auto"/>
              <w:rPr>
                <w:rFonts w:ascii="宋体"/>
                <w:b/>
                <w:color w:val="auto"/>
                <w:szCs w:val="21"/>
                <w:highlight w:val="none"/>
              </w:rPr>
            </w:pPr>
          </w:p>
        </w:tc>
      </w:tr>
    </w:tbl>
    <w:p w14:paraId="0FBACDAE">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DD599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BD55517">
            <w:pPr>
              <w:spacing w:line="276" w:lineRule="auto"/>
              <w:rPr>
                <w:rFonts w:ascii="宋体"/>
                <w:b/>
                <w:color w:val="auto"/>
                <w:szCs w:val="21"/>
                <w:highlight w:val="none"/>
              </w:rPr>
            </w:pPr>
          </w:p>
          <w:p w14:paraId="253EF284">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7E8F050C">
      <w:pPr>
        <w:spacing w:line="276" w:lineRule="auto"/>
        <w:rPr>
          <w:rFonts w:ascii="宋体" w:cs="Calibri"/>
          <w:smallCaps/>
          <w:vanish/>
          <w:color w:val="auto"/>
          <w:szCs w:val="21"/>
          <w:highlight w:val="none"/>
        </w:rPr>
      </w:pPr>
    </w:p>
    <w:p w14:paraId="7C2FEF8F">
      <w:pPr>
        <w:spacing w:line="276" w:lineRule="auto"/>
        <w:rPr>
          <w:rFonts w:ascii="宋体" w:cs="Calibri"/>
          <w:smallCaps/>
          <w:vanish/>
          <w:color w:val="auto"/>
          <w:szCs w:val="21"/>
          <w:highlight w:val="none"/>
        </w:rPr>
      </w:pPr>
    </w:p>
    <w:p w14:paraId="3BE9829A">
      <w:pPr>
        <w:spacing w:line="276" w:lineRule="auto"/>
        <w:rPr>
          <w:rFonts w:ascii="宋体" w:cs="Arial"/>
          <w:color w:val="auto"/>
          <w:szCs w:val="21"/>
          <w:highlight w:val="none"/>
        </w:rPr>
      </w:pPr>
    </w:p>
    <w:p w14:paraId="2A7F4C5C">
      <w:pPr>
        <w:spacing w:line="276" w:lineRule="auto"/>
        <w:ind w:left="720"/>
        <w:rPr>
          <w:rFonts w:ascii="宋体" w:cs="Arial"/>
          <w:color w:val="auto"/>
          <w:szCs w:val="21"/>
          <w:highlight w:val="none"/>
        </w:rPr>
      </w:pPr>
    </w:p>
    <w:p w14:paraId="1D8C7DA2">
      <w:pPr>
        <w:spacing w:line="276" w:lineRule="auto"/>
        <w:ind w:left="720"/>
        <w:rPr>
          <w:rFonts w:ascii="宋体" w:cs="Arial"/>
          <w:color w:val="auto"/>
          <w:szCs w:val="21"/>
          <w:highlight w:val="none"/>
        </w:rPr>
      </w:pPr>
    </w:p>
    <w:p w14:paraId="721C4195">
      <w:pPr>
        <w:spacing w:line="276" w:lineRule="auto"/>
        <w:ind w:left="720"/>
        <w:rPr>
          <w:rFonts w:ascii="宋体" w:cs="Arial"/>
          <w:color w:val="auto"/>
          <w:szCs w:val="21"/>
          <w:highlight w:val="none"/>
        </w:rPr>
      </w:pPr>
    </w:p>
    <w:p w14:paraId="0FBF9D2C">
      <w:pPr>
        <w:spacing w:line="276" w:lineRule="auto"/>
        <w:ind w:left="720"/>
        <w:rPr>
          <w:rFonts w:ascii="宋体" w:cs="Arial"/>
          <w:color w:val="auto"/>
          <w:szCs w:val="21"/>
          <w:highlight w:val="none"/>
        </w:rPr>
      </w:pPr>
    </w:p>
    <w:p w14:paraId="5226E1F5">
      <w:pPr>
        <w:pStyle w:val="2"/>
        <w:spacing w:line="276" w:lineRule="auto"/>
        <w:rPr>
          <w:color w:val="auto"/>
          <w:highlight w:val="none"/>
        </w:rPr>
      </w:pPr>
    </w:p>
    <w:p w14:paraId="44D9CE73">
      <w:pPr>
        <w:spacing w:line="276" w:lineRule="auto"/>
        <w:rPr>
          <w:color w:val="auto"/>
          <w:highlight w:val="none"/>
        </w:rPr>
      </w:pPr>
    </w:p>
    <w:p w14:paraId="039BC5C0">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13D415BA">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4B91410">
      <w:pPr>
        <w:spacing w:line="276" w:lineRule="auto"/>
        <w:jc w:val="center"/>
        <w:rPr>
          <w:rFonts w:ascii="黑体" w:eastAsia="黑体"/>
          <w:color w:val="auto"/>
          <w:sz w:val="44"/>
          <w:szCs w:val="44"/>
          <w:highlight w:val="none"/>
        </w:rPr>
      </w:pPr>
    </w:p>
    <w:p w14:paraId="0E192CDF">
      <w:pPr>
        <w:pStyle w:val="12"/>
        <w:shd w:val="clear" w:color="FFFFFF" w:fill="FFFFFF"/>
        <w:spacing w:line="276" w:lineRule="auto"/>
        <w:rPr>
          <w:color w:val="auto"/>
          <w:sz w:val="28"/>
          <w:szCs w:val="28"/>
          <w:highlight w:val="none"/>
        </w:rPr>
      </w:pPr>
    </w:p>
    <w:p w14:paraId="3ABF529E">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0593CAD">
      <w:pPr>
        <w:pStyle w:val="12"/>
        <w:shd w:val="clear" w:color="FFFFFF" w:fill="FFFFFF"/>
        <w:spacing w:line="276" w:lineRule="auto"/>
        <w:jc w:val="both"/>
        <w:rPr>
          <w:color w:val="auto"/>
          <w:sz w:val="28"/>
          <w:szCs w:val="28"/>
          <w:highlight w:val="none"/>
        </w:rPr>
      </w:pPr>
    </w:p>
    <w:p w14:paraId="4B5754DA">
      <w:pPr>
        <w:pStyle w:val="14"/>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BD93E">
      <w:pPr>
        <w:pStyle w:val="2"/>
        <w:spacing w:after="0" w:line="276" w:lineRule="auto"/>
        <w:rPr>
          <w:rFonts w:ascii="宋体" w:hAnsi="宋体"/>
          <w:color w:val="auto"/>
          <w:szCs w:val="28"/>
          <w:highlight w:val="none"/>
        </w:rPr>
      </w:pPr>
    </w:p>
    <w:p w14:paraId="0A558018">
      <w:pPr>
        <w:pStyle w:val="2"/>
        <w:spacing w:after="0" w:line="276" w:lineRule="auto"/>
        <w:ind w:left="135"/>
        <w:rPr>
          <w:rFonts w:ascii="宋体" w:hAnsi="宋体"/>
          <w:color w:val="auto"/>
          <w:szCs w:val="28"/>
          <w:highlight w:val="none"/>
        </w:rPr>
      </w:pPr>
    </w:p>
    <w:p w14:paraId="27E06E52">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3534A157">
      <w:pPr>
        <w:pStyle w:val="2"/>
        <w:spacing w:after="0" w:line="276" w:lineRule="auto"/>
        <w:ind w:left="135"/>
        <w:rPr>
          <w:rFonts w:ascii="宋体" w:hAnsi="宋体"/>
          <w:color w:val="auto"/>
          <w:kern w:val="0"/>
          <w:sz w:val="28"/>
          <w:szCs w:val="28"/>
          <w:highlight w:val="none"/>
        </w:rPr>
      </w:pPr>
    </w:p>
    <w:p w14:paraId="2F209F35">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9D8812A">
      <w:pPr>
        <w:pStyle w:val="2"/>
        <w:spacing w:after="0" w:line="276" w:lineRule="auto"/>
        <w:rPr>
          <w:rFonts w:ascii="宋体" w:hAnsi="宋体"/>
          <w:color w:val="auto"/>
          <w:kern w:val="0"/>
          <w:sz w:val="28"/>
          <w:szCs w:val="28"/>
          <w:highlight w:val="none"/>
        </w:rPr>
      </w:pPr>
    </w:p>
    <w:p w14:paraId="16FFF812">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DA7944B">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5A07C4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EF7D43">
            <w:pPr>
              <w:spacing w:line="276" w:lineRule="auto"/>
              <w:rPr>
                <w:rFonts w:ascii="宋体"/>
                <w:b/>
                <w:color w:val="auto"/>
                <w:szCs w:val="21"/>
                <w:highlight w:val="none"/>
              </w:rPr>
            </w:pPr>
          </w:p>
          <w:p w14:paraId="0AC7A731">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384A1D00">
            <w:pPr>
              <w:spacing w:line="276" w:lineRule="auto"/>
              <w:rPr>
                <w:rFonts w:ascii="宋体"/>
                <w:b/>
                <w:color w:val="auto"/>
                <w:szCs w:val="21"/>
                <w:highlight w:val="none"/>
              </w:rPr>
            </w:pPr>
          </w:p>
        </w:tc>
      </w:tr>
    </w:tbl>
    <w:p w14:paraId="56E3FE19">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F1086A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1387155">
            <w:pPr>
              <w:spacing w:line="276" w:lineRule="auto"/>
              <w:rPr>
                <w:rFonts w:ascii="宋体"/>
                <w:b/>
                <w:color w:val="auto"/>
                <w:szCs w:val="21"/>
                <w:highlight w:val="none"/>
              </w:rPr>
            </w:pPr>
          </w:p>
          <w:p w14:paraId="39B80F07">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4F261901">
      <w:pPr>
        <w:spacing w:line="276" w:lineRule="auto"/>
        <w:rPr>
          <w:rFonts w:ascii="宋体" w:cs="Calibri"/>
          <w:smallCaps/>
          <w:vanish/>
          <w:color w:val="auto"/>
          <w:szCs w:val="21"/>
          <w:highlight w:val="none"/>
        </w:rPr>
      </w:pPr>
    </w:p>
    <w:p w14:paraId="3CEE0DAD">
      <w:pPr>
        <w:spacing w:line="276" w:lineRule="auto"/>
        <w:rPr>
          <w:rFonts w:ascii="宋体" w:cs="Calibri"/>
          <w:smallCaps/>
          <w:vanish/>
          <w:color w:val="auto"/>
          <w:szCs w:val="21"/>
          <w:highlight w:val="none"/>
        </w:rPr>
      </w:pPr>
    </w:p>
    <w:p w14:paraId="5DB2191B">
      <w:pPr>
        <w:spacing w:line="276" w:lineRule="auto"/>
        <w:rPr>
          <w:rFonts w:ascii="宋体" w:cs="Arial"/>
          <w:color w:val="auto"/>
          <w:szCs w:val="21"/>
          <w:highlight w:val="none"/>
        </w:rPr>
      </w:pPr>
    </w:p>
    <w:p w14:paraId="2890751A">
      <w:pPr>
        <w:spacing w:line="276" w:lineRule="auto"/>
        <w:ind w:left="720"/>
        <w:rPr>
          <w:rFonts w:ascii="宋体" w:cs="Arial"/>
          <w:color w:val="auto"/>
          <w:szCs w:val="21"/>
          <w:highlight w:val="none"/>
        </w:rPr>
      </w:pPr>
    </w:p>
    <w:p w14:paraId="23AEE61B">
      <w:pPr>
        <w:spacing w:line="276" w:lineRule="auto"/>
        <w:ind w:left="720"/>
        <w:rPr>
          <w:rFonts w:ascii="宋体" w:cs="Arial"/>
          <w:color w:val="auto"/>
          <w:szCs w:val="21"/>
          <w:highlight w:val="none"/>
        </w:rPr>
      </w:pPr>
    </w:p>
    <w:p w14:paraId="445DDB8E">
      <w:pPr>
        <w:spacing w:line="276" w:lineRule="auto"/>
        <w:ind w:left="720"/>
        <w:rPr>
          <w:rFonts w:ascii="宋体" w:cs="Arial"/>
          <w:color w:val="auto"/>
          <w:szCs w:val="21"/>
          <w:highlight w:val="none"/>
        </w:rPr>
      </w:pPr>
    </w:p>
    <w:p w14:paraId="10911E3B">
      <w:pPr>
        <w:spacing w:line="276" w:lineRule="auto"/>
        <w:ind w:left="720"/>
        <w:rPr>
          <w:rFonts w:ascii="宋体" w:cs="Arial"/>
          <w:color w:val="auto"/>
          <w:szCs w:val="21"/>
          <w:highlight w:val="none"/>
        </w:rPr>
      </w:pPr>
    </w:p>
    <w:p w14:paraId="59231C3B">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02468DE0">
      <w:pPr>
        <w:spacing w:line="276" w:lineRule="auto"/>
        <w:ind w:right="560"/>
        <w:jc w:val="right"/>
        <w:rPr>
          <w:rFonts w:ascii="宋体" w:hAnsi="宋体"/>
          <w:color w:val="auto"/>
          <w:sz w:val="28"/>
          <w:highlight w:val="none"/>
        </w:rPr>
      </w:pPr>
    </w:p>
    <w:p w14:paraId="024FA319">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2CA66903">
      <w:pPr>
        <w:pStyle w:val="2"/>
        <w:rPr>
          <w:color w:val="auto"/>
          <w:highlight w:val="none"/>
        </w:rPr>
      </w:pPr>
    </w:p>
    <w:p w14:paraId="0BE5B83A">
      <w:pPr>
        <w:rPr>
          <w:color w:val="auto"/>
          <w:highlight w:val="none"/>
        </w:rPr>
      </w:pPr>
    </w:p>
    <w:p w14:paraId="1005B87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55DC1D1B">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9EDBB3C">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11B1F587">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6335977C">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851363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36F9595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2133804F">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7FCFFDA9">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21003A2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52C4DEDB">
      <w:pPr>
        <w:pStyle w:val="2"/>
        <w:rPr>
          <w:rFonts w:ascii="宋体" w:hAnsi="宋体"/>
          <w:color w:val="auto"/>
          <w:sz w:val="28"/>
          <w:highlight w:val="none"/>
        </w:rPr>
      </w:pPr>
      <w:r>
        <w:rPr>
          <w:rFonts w:hint="eastAsia" w:ascii="宋体" w:hAnsi="宋体"/>
          <w:color w:val="auto"/>
          <w:sz w:val="28"/>
          <w:highlight w:val="none"/>
        </w:rPr>
        <w:t>竞选单位（盖章）：</w:t>
      </w:r>
    </w:p>
    <w:p w14:paraId="55AEB7CC">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7D2AAD5A">
      <w:pPr>
        <w:pStyle w:val="2"/>
        <w:rPr>
          <w:rFonts w:ascii="宋体" w:hAnsi="宋体"/>
          <w:color w:val="auto"/>
          <w:sz w:val="28"/>
          <w:highlight w:val="none"/>
        </w:rPr>
      </w:pPr>
      <w:r>
        <w:rPr>
          <w:rFonts w:hint="eastAsia" w:ascii="宋体" w:hAnsi="宋体"/>
          <w:color w:val="auto"/>
          <w:sz w:val="28"/>
          <w:highlight w:val="none"/>
        </w:rPr>
        <w:t>时间：</w:t>
      </w:r>
    </w:p>
    <w:p w14:paraId="40CF16A3">
      <w:pPr>
        <w:rPr>
          <w:color w:val="auto"/>
          <w:highlight w:val="none"/>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77DD">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ACFC">
    <w:pPr>
      <w:pStyle w:val="16"/>
      <w:framePr w:wrap="around" w:vAnchor="text" w:hAnchor="margin" w:xAlign="center" w:y="1"/>
      <w:rPr>
        <w:rStyle w:val="24"/>
      </w:rPr>
    </w:pPr>
    <w:r>
      <w:fldChar w:fldCharType="begin"/>
    </w:r>
    <w:r>
      <w:rPr>
        <w:rStyle w:val="24"/>
      </w:rPr>
      <w:instrText xml:space="preserve">PAGE  </w:instrText>
    </w:r>
    <w:r>
      <w:fldChar w:fldCharType="end"/>
    </w:r>
  </w:p>
  <w:p w14:paraId="1B6220BE">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8E96">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4E8C">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A3D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7EB5">
    <w:pPr>
      <w:pStyle w:val="17"/>
      <w:framePr w:wrap="around" w:vAnchor="text" w:hAnchor="margin" w:xAlign="right" w:y="1"/>
      <w:rPr>
        <w:rStyle w:val="24"/>
      </w:rPr>
    </w:pPr>
    <w:r>
      <w:fldChar w:fldCharType="begin"/>
    </w:r>
    <w:r>
      <w:rPr>
        <w:rStyle w:val="24"/>
      </w:rPr>
      <w:instrText xml:space="preserve">PAGE  </w:instrText>
    </w:r>
    <w:r>
      <w:fldChar w:fldCharType="end"/>
    </w:r>
  </w:p>
  <w:p w14:paraId="2149EBC4">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7CC5"/>
    <w:multiLevelType w:val="singleLevel"/>
    <w:tmpl w:val="A9677CC5"/>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3870D5"/>
    <w:rsid w:val="02B26E88"/>
    <w:rsid w:val="0448314E"/>
    <w:rsid w:val="06276523"/>
    <w:rsid w:val="06E740EA"/>
    <w:rsid w:val="071C511F"/>
    <w:rsid w:val="07504251"/>
    <w:rsid w:val="079E79DA"/>
    <w:rsid w:val="09F23697"/>
    <w:rsid w:val="0AEE5AD9"/>
    <w:rsid w:val="0D335F3C"/>
    <w:rsid w:val="0EDE4BF3"/>
    <w:rsid w:val="0EEE7499"/>
    <w:rsid w:val="0F196283"/>
    <w:rsid w:val="10E12C38"/>
    <w:rsid w:val="136E06B8"/>
    <w:rsid w:val="17D37B75"/>
    <w:rsid w:val="18034613"/>
    <w:rsid w:val="1D42474B"/>
    <w:rsid w:val="205A2112"/>
    <w:rsid w:val="230B3FD4"/>
    <w:rsid w:val="23CE11F0"/>
    <w:rsid w:val="25120A61"/>
    <w:rsid w:val="2683543F"/>
    <w:rsid w:val="269C41EC"/>
    <w:rsid w:val="27337CE7"/>
    <w:rsid w:val="280B61C0"/>
    <w:rsid w:val="2AFF25C5"/>
    <w:rsid w:val="2C622E39"/>
    <w:rsid w:val="2FC755A3"/>
    <w:rsid w:val="3168143D"/>
    <w:rsid w:val="32E65F81"/>
    <w:rsid w:val="3427396E"/>
    <w:rsid w:val="35BC534C"/>
    <w:rsid w:val="37FA18E4"/>
    <w:rsid w:val="38DC0680"/>
    <w:rsid w:val="3B3F4A55"/>
    <w:rsid w:val="3BF770DE"/>
    <w:rsid w:val="3E2F3F92"/>
    <w:rsid w:val="40A6587C"/>
    <w:rsid w:val="412A3006"/>
    <w:rsid w:val="41C660F7"/>
    <w:rsid w:val="44986F84"/>
    <w:rsid w:val="48854618"/>
    <w:rsid w:val="4AD14F9E"/>
    <w:rsid w:val="4E8E3411"/>
    <w:rsid w:val="51196D93"/>
    <w:rsid w:val="516B49F3"/>
    <w:rsid w:val="52B94C95"/>
    <w:rsid w:val="53210E40"/>
    <w:rsid w:val="55964425"/>
    <w:rsid w:val="56493019"/>
    <w:rsid w:val="581D5CC6"/>
    <w:rsid w:val="59B166C6"/>
    <w:rsid w:val="5ADA59D9"/>
    <w:rsid w:val="5CDA3F26"/>
    <w:rsid w:val="5E443FAD"/>
    <w:rsid w:val="5FF42C38"/>
    <w:rsid w:val="61BB6BB9"/>
    <w:rsid w:val="64E04304"/>
    <w:rsid w:val="659C2241"/>
    <w:rsid w:val="663C506C"/>
    <w:rsid w:val="6D6C4C1F"/>
    <w:rsid w:val="6FF00E32"/>
    <w:rsid w:val="724807AD"/>
    <w:rsid w:val="75D752AF"/>
    <w:rsid w:val="76515D34"/>
    <w:rsid w:val="78734B20"/>
    <w:rsid w:val="78E4578C"/>
    <w:rsid w:val="79656B83"/>
    <w:rsid w:val="7CF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autoRedefine/>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4051</Words>
  <Characters>4295</Characters>
  <Lines>44</Lines>
  <Paragraphs>12</Paragraphs>
  <TotalTime>4</TotalTime>
  <ScaleCrop>false</ScaleCrop>
  <LinksUpToDate>false</LinksUpToDate>
  <CharactersWithSpaces>4328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2025-06-11T07:18:50Z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579AF5357EFF418FA59F5D3EA824DE13_13</vt:lpwstr>
  </property>
  <property fmtid="{D5CDD505-2E9C-101B-9397-08002B2CF9AE}" pid="4" name="KSOTemplateDocerSaveRecord">
    <vt:lpwstr>eyJoZGlkIjoiMzc1OGNlMDJlMzRlMzMzYmE1ZjU3MzU3ZjgyMjI5MWIiLCJ1c2VySWQiOiIyMjg3MzE2MzAifQ==</vt:lpwstr>
  </property>
</Properties>
</file>