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ACD3">
      <w:pPr>
        <w:rPr>
          <w:rFonts w:ascii="宋体"/>
          <w:b/>
          <w:bCs/>
          <w:color w:val="000000"/>
          <w:sz w:val="22"/>
        </w:rPr>
      </w:pPr>
      <w:r>
        <w:rPr>
          <w:rFonts w:hint="eastAsia" w:ascii="宋体"/>
          <w:b/>
          <w:bCs/>
          <w:color w:val="000000"/>
          <w:sz w:val="22"/>
        </w:rPr>
        <w:t>项目编号：</w:t>
      </w:r>
    </w:p>
    <w:p w14:paraId="056272AD">
      <w:pPr>
        <w:jc w:val="right"/>
        <w:rPr>
          <w:rFonts w:ascii="宋体"/>
          <w:color w:val="000000"/>
          <w:sz w:val="22"/>
          <w:u w:val="single"/>
        </w:rPr>
      </w:pPr>
    </w:p>
    <w:p w14:paraId="2DD6DAB8">
      <w:pPr>
        <w:jc w:val="center"/>
        <w:rPr>
          <w:rFonts w:ascii="宋体" w:hAnsi="宋体"/>
          <w:color w:val="000000"/>
          <w:sz w:val="44"/>
          <w:szCs w:val="44"/>
        </w:rPr>
      </w:pPr>
    </w:p>
    <w:p w14:paraId="518B8021">
      <w:pPr>
        <w:pStyle w:val="20"/>
        <w:spacing w:line="72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  <w:t>重庆医科大学附属第二医院渝中院区</w:t>
      </w:r>
    </w:p>
    <w:p w14:paraId="2F7629B6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  <w:t>气体灭火系统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新增及检测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  <w:t>服务</w:t>
      </w:r>
    </w:p>
    <w:p w14:paraId="7AF06064">
      <w:pPr>
        <w:pStyle w:val="10"/>
      </w:pPr>
    </w:p>
    <w:p w14:paraId="27EE9380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推介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  <w:t>文件</w:t>
      </w:r>
    </w:p>
    <w:p w14:paraId="388F132E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14:paraId="3997A5B9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14:paraId="3A39355F">
      <w:pPr>
        <w:pStyle w:val="10"/>
      </w:pPr>
    </w:p>
    <w:p w14:paraId="10961391"/>
    <w:p w14:paraId="05C82B52">
      <w:pPr>
        <w:pStyle w:val="10"/>
      </w:pPr>
    </w:p>
    <w:p w14:paraId="69B983DB"/>
    <w:p w14:paraId="4C213B83">
      <w:pPr>
        <w:pStyle w:val="10"/>
      </w:pPr>
    </w:p>
    <w:p w14:paraId="420AEDCF"/>
    <w:p w14:paraId="507BEDED">
      <w:pPr>
        <w:pStyle w:val="10"/>
      </w:pPr>
    </w:p>
    <w:p w14:paraId="7048E90C"/>
    <w:p w14:paraId="44F9DBA5">
      <w:pPr>
        <w:pStyle w:val="10"/>
      </w:pPr>
    </w:p>
    <w:p w14:paraId="2AB9BAC6"/>
    <w:p w14:paraId="757086F3">
      <w:pPr>
        <w:pStyle w:val="10"/>
      </w:pPr>
    </w:p>
    <w:p w14:paraId="5A4034FA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14:paraId="26EC6B47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14:paraId="10F35B21">
      <w:pPr>
        <w:pStyle w:val="10"/>
      </w:pPr>
    </w:p>
    <w:p w14:paraId="2A57782A">
      <w:pPr>
        <w:pStyle w:val="10"/>
      </w:pPr>
    </w:p>
    <w:p w14:paraId="39965A0B">
      <w:pPr>
        <w:pStyle w:val="10"/>
      </w:pPr>
    </w:p>
    <w:p w14:paraId="728958B6"/>
    <w:p w14:paraId="230FA1A5">
      <w:pPr>
        <w:pStyle w:val="10"/>
      </w:pPr>
    </w:p>
    <w:p w14:paraId="1AF379FE"/>
    <w:p w14:paraId="05CA5269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14:paraId="3E67A424">
      <w:pPr>
        <w:adjustRightInd w:val="0"/>
        <w:spacing w:line="560" w:lineRule="atLeast"/>
        <w:ind w:firstLine="2602" w:firstLineChars="723"/>
        <w:rPr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snapToGrid w:val="0"/>
          <w:color w:val="000000"/>
          <w:sz w:val="36"/>
          <w:szCs w:val="36"/>
        </w:rPr>
        <w:t xml:space="preserve"> </w:t>
      </w:r>
    </w:p>
    <w:p w14:paraId="43301C6A">
      <w:pPr>
        <w:adjustRightInd w:val="0"/>
        <w:spacing w:line="560" w:lineRule="atLeast"/>
        <w:ind w:firstLine="3682" w:firstLineChars="1023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36"/>
          <w:szCs w:val="36"/>
        </w:rPr>
        <w:t>二〇二</w:t>
      </w:r>
      <w:r>
        <w:rPr>
          <w:rFonts w:hint="eastAsia"/>
          <w:snapToGrid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/>
          <w:snapToGrid w:val="0"/>
          <w:color w:val="000000"/>
          <w:sz w:val="36"/>
          <w:szCs w:val="36"/>
        </w:rPr>
        <w:t>年</w:t>
      </w:r>
      <w:r>
        <w:rPr>
          <w:rFonts w:hint="eastAsia" w:ascii="宋体" w:hAnsi="宋体" w:cs="宋体"/>
          <w:sz w:val="36"/>
          <w:szCs w:val="36"/>
        </w:rPr>
        <w:t>七</w:t>
      </w:r>
      <w:r>
        <w:rPr>
          <w:rFonts w:hint="eastAsia"/>
          <w:snapToGrid w:val="0"/>
          <w:color w:val="000000"/>
          <w:sz w:val="36"/>
          <w:szCs w:val="36"/>
        </w:rPr>
        <w:t>月</w:t>
      </w:r>
    </w:p>
    <w:p w14:paraId="7CA85F1D">
      <w:pPr>
        <w:jc w:val="center"/>
        <w:rPr>
          <w:rFonts w:ascii="宋体"/>
          <w:color w:val="000000"/>
          <w:sz w:val="36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21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05"/>
        <w:gridCol w:w="6988"/>
      </w:tblGrid>
      <w:tr w14:paraId="1D5E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 w14:paraId="4B09FF80">
            <w:pPr>
              <w:pStyle w:val="33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项号</w:t>
            </w:r>
          </w:p>
        </w:tc>
        <w:tc>
          <w:tcPr>
            <w:tcW w:w="1805" w:type="dxa"/>
            <w:vAlign w:val="center"/>
          </w:tcPr>
          <w:p w14:paraId="3036FF6F">
            <w:pPr>
              <w:pStyle w:val="33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内容</w:t>
            </w:r>
          </w:p>
        </w:tc>
        <w:tc>
          <w:tcPr>
            <w:tcW w:w="6988" w:type="dxa"/>
            <w:vAlign w:val="center"/>
          </w:tcPr>
          <w:p w14:paraId="714A802C">
            <w:pPr>
              <w:pStyle w:val="33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说明与要求</w:t>
            </w:r>
          </w:p>
        </w:tc>
      </w:tr>
      <w:tr w14:paraId="69C4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55" w:type="dxa"/>
            <w:vAlign w:val="center"/>
          </w:tcPr>
          <w:p w14:paraId="18947B09">
            <w:pPr>
              <w:pStyle w:val="13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1805" w:type="dxa"/>
            <w:vAlign w:val="center"/>
          </w:tcPr>
          <w:p w14:paraId="7257373B">
            <w:pPr>
              <w:pStyle w:val="13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Cs w:val="24"/>
              </w:rPr>
              <w:t>项目名称</w:t>
            </w:r>
          </w:p>
        </w:tc>
        <w:tc>
          <w:tcPr>
            <w:tcW w:w="6988" w:type="dxa"/>
            <w:vAlign w:val="center"/>
          </w:tcPr>
          <w:p w14:paraId="5AA9381E">
            <w:pPr>
              <w:snapToGrid w:val="0"/>
              <w:ind w:left="-38" w:leftChars="-18" w:firstLine="26" w:firstLineChars="11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重庆医科大学附属第二医院渝中院区</w:t>
            </w:r>
          </w:p>
          <w:p w14:paraId="54C7046A">
            <w:pPr>
              <w:snapToGrid w:val="0"/>
              <w:ind w:left="-38" w:leftChars="-18" w:firstLine="26" w:firstLineChars="11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气体灭火系统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新增及检测</w:t>
            </w:r>
          </w:p>
        </w:tc>
      </w:tr>
      <w:tr w14:paraId="2DEB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5" w:type="dxa"/>
            <w:vAlign w:val="center"/>
          </w:tcPr>
          <w:p w14:paraId="24CD8317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</w:t>
            </w:r>
          </w:p>
        </w:tc>
        <w:tc>
          <w:tcPr>
            <w:tcW w:w="1805" w:type="dxa"/>
            <w:vAlign w:val="center"/>
          </w:tcPr>
          <w:p w14:paraId="4375915D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项目概况</w:t>
            </w:r>
          </w:p>
        </w:tc>
        <w:tc>
          <w:tcPr>
            <w:tcW w:w="6988" w:type="dxa"/>
            <w:vAlign w:val="center"/>
          </w:tcPr>
          <w:p w14:paraId="12E833B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1.项目地点：重庆市渝中区临江路74号</w:t>
            </w:r>
          </w:p>
          <w:p w14:paraId="28132C0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2.采购内容：</w:t>
            </w:r>
          </w:p>
          <w:p w14:paraId="357A5FD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套柜式七氟丙烷气体灭火装置供货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安装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及十六套</w:t>
            </w:r>
            <w:r>
              <w:rPr>
                <w:rFonts w:hint="eastAsia" w:ascii="仿宋" w:hAnsi="仿宋" w:eastAsia="仿宋"/>
                <w:sz w:val="24"/>
              </w:rPr>
              <w:t>柜式七氟丙烷气体灭火装置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检测</w:t>
            </w:r>
          </w:p>
        </w:tc>
      </w:tr>
      <w:tr w14:paraId="3117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 w14:paraId="3D59A836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1805" w:type="dxa"/>
            <w:vAlign w:val="center"/>
          </w:tcPr>
          <w:p w14:paraId="6A533E2A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推介内容</w:t>
            </w:r>
          </w:p>
          <w:p w14:paraId="6FC65854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6988" w:type="dxa"/>
            <w:vAlign w:val="center"/>
          </w:tcPr>
          <w:p w14:paraId="2981EE19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产品要求：符合国家相关规范和设计要求。</w:t>
            </w:r>
          </w:p>
          <w:p w14:paraId="6A7249E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①产品相关参数：柜式七氟丙烷气体灭火装置：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2套WQMP90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5.3—ZTQ；9套WQMP120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5.3—ZTQ；5套QMP70；新增2套柜式七氟丙烷气体灭火装置（包含气体主机1套）。</w:t>
            </w:r>
            <w:r>
              <w:rPr>
                <w:rFonts w:hint="eastAsia" w:ascii="仿宋" w:hAnsi="仿宋" w:eastAsia="仿宋"/>
                <w:sz w:val="24"/>
              </w:rPr>
              <w:t>工作温度：0-50℃，喷放时间≤10S，充装密度≤1000Kg/立方米包含但不限于阀门、管件、连接件、充装药剂及其他配套设备。</w:t>
            </w:r>
          </w:p>
          <w:p w14:paraId="4FB8A8F1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工期：10个工作日完成供货以及安装</w:t>
            </w:r>
            <w:r>
              <w:rPr>
                <w:rFonts w:hint="eastAsia" w:ascii="仿宋" w:hAnsi="仿宋" w:eastAsia="仿宋" w:cstheme="minorBidi"/>
                <w:szCs w:val="24"/>
              </w:rPr>
              <w:t>（每延期一天罚款500元）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6A4D342B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质保期：3年，</w:t>
            </w:r>
          </w:p>
          <w:p w14:paraId="3732E934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售后服务：质保期内，如货物、产品或设备安装出现质量、技术问题影响甲方正常使用，中标人应在12小时内响应，24小时内无偿为采购人更换或维修产品；无法在24小时内解决的，中标人向采购方做书面说明。</w:t>
            </w:r>
          </w:p>
          <w:p w14:paraId="56646620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以上为基本要求，参与人可根据自身实力提出更高承诺。</w:t>
            </w:r>
          </w:p>
        </w:tc>
      </w:tr>
      <w:tr w14:paraId="7373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 w14:paraId="323D1AE1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4</w:t>
            </w:r>
          </w:p>
        </w:tc>
        <w:tc>
          <w:tcPr>
            <w:tcW w:w="1805" w:type="dxa"/>
            <w:vAlign w:val="center"/>
          </w:tcPr>
          <w:p w14:paraId="458CEC81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质量要求</w:t>
            </w:r>
          </w:p>
        </w:tc>
        <w:tc>
          <w:tcPr>
            <w:tcW w:w="6988" w:type="dxa"/>
            <w:vAlign w:val="center"/>
          </w:tcPr>
          <w:p w14:paraId="191E5E6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整体工程应达到国家现行消防工程施工质量验收规范要求，满足国家消防工程设计相关标准、规范要求，符合使用方使用要求。</w:t>
            </w:r>
          </w:p>
        </w:tc>
      </w:tr>
      <w:tr w14:paraId="497B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5" w:type="dxa"/>
            <w:vAlign w:val="center"/>
          </w:tcPr>
          <w:p w14:paraId="3A6E2E08">
            <w:pPr>
              <w:pStyle w:val="33"/>
              <w:spacing w:line="240" w:lineRule="auto"/>
              <w:ind w:firstLine="0"/>
              <w:jc w:val="left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5</w:t>
            </w:r>
          </w:p>
        </w:tc>
        <w:tc>
          <w:tcPr>
            <w:tcW w:w="1805" w:type="dxa"/>
            <w:vAlign w:val="center"/>
          </w:tcPr>
          <w:p w14:paraId="41CAC010">
            <w:pPr>
              <w:pStyle w:val="33"/>
              <w:spacing w:line="240" w:lineRule="auto"/>
              <w:ind w:firstLine="0"/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参与方条件</w:t>
            </w:r>
          </w:p>
        </w:tc>
        <w:tc>
          <w:tcPr>
            <w:tcW w:w="6988" w:type="dxa"/>
            <w:vAlign w:val="center"/>
          </w:tcPr>
          <w:p w14:paraId="1160893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lang w:val="en"/>
              </w:rPr>
            </w:pPr>
            <w:r>
              <w:rPr>
                <w:rFonts w:hint="eastAsia" w:ascii="仿宋" w:hAnsi="仿宋" w:eastAsia="仿宋"/>
                <w:sz w:val="24"/>
                <w:lang w:val="en"/>
              </w:rPr>
              <w:t>（一）基本资格条件</w:t>
            </w:r>
          </w:p>
          <w:p w14:paraId="5D0989D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lang w:val="en"/>
              </w:rPr>
            </w:pPr>
            <w:r>
              <w:rPr>
                <w:rFonts w:hint="eastAsia" w:ascii="仿宋" w:hAnsi="仿宋" w:eastAsia="仿宋"/>
                <w:sz w:val="24"/>
                <w:lang w:val="en"/>
              </w:rPr>
              <w:t>1.参与人为中华人民共和国境内依法注册、具有独立法人资格。具备在有效期内的税务登记证、组织机构代码证。【提供税务登记证、组织机构代码证或“三证合一”的营业执照复印件并加盖鲜章】。</w:t>
            </w:r>
          </w:p>
          <w:p w14:paraId="77248CD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lang w:val="en"/>
              </w:rPr>
            </w:pPr>
            <w:r>
              <w:rPr>
                <w:rFonts w:hint="eastAsia" w:ascii="仿宋" w:hAnsi="仿宋" w:eastAsia="仿宋"/>
                <w:sz w:val="24"/>
                <w:lang w:val="en"/>
              </w:rPr>
              <w:t>2.法定代表人授权委托书</w:t>
            </w:r>
          </w:p>
          <w:p w14:paraId="13109F6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lang w:val="en"/>
              </w:rPr>
            </w:pPr>
            <w:r>
              <w:rPr>
                <w:rFonts w:hint="eastAsia" w:ascii="仿宋" w:hAnsi="仿宋" w:eastAsia="仿宋"/>
                <w:sz w:val="24"/>
                <w:lang w:val="en"/>
              </w:rPr>
              <w:t>（二）特定资格条件</w:t>
            </w:r>
          </w:p>
          <w:p w14:paraId="37A4301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1.具备消防设施工程专业承包二级及以上资质的独立法人，并在人员、设备、技术、类似工程业绩等方面具有相应的施工能力。</w:t>
            </w:r>
          </w:p>
          <w:p w14:paraId="29F6EC85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2.投标公司必须有类似的消防设施设备安装施工的相关业绩，并提供近三年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个类似业绩合同，单个合同总价不低于30万元（提供合同关键页复印件，关键页包括体现合同标的.合同金额.签字盖章页）</w:t>
            </w:r>
          </w:p>
        </w:tc>
      </w:tr>
      <w:tr w14:paraId="2BBE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55" w:type="dxa"/>
            <w:vAlign w:val="center"/>
          </w:tcPr>
          <w:p w14:paraId="1C08EC33">
            <w:pPr>
              <w:pStyle w:val="33"/>
              <w:spacing w:line="240" w:lineRule="auto"/>
              <w:ind w:firstLine="0"/>
              <w:jc w:val="left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6</w:t>
            </w:r>
          </w:p>
        </w:tc>
        <w:tc>
          <w:tcPr>
            <w:tcW w:w="1805" w:type="dxa"/>
            <w:vAlign w:val="center"/>
          </w:tcPr>
          <w:p w14:paraId="4BD20242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推介时间和地点</w:t>
            </w:r>
          </w:p>
        </w:tc>
        <w:tc>
          <w:tcPr>
            <w:tcW w:w="6988" w:type="dxa"/>
            <w:vAlign w:val="center"/>
          </w:tcPr>
          <w:p w14:paraId="7CE53B36">
            <w:pPr>
              <w:pStyle w:val="33"/>
              <w:spacing w:line="360" w:lineRule="auto"/>
              <w:ind w:firstLine="0"/>
              <w:rPr>
                <w:rFonts w:hint="default" w:ascii="仿宋" w:hAnsi="仿宋" w:eastAsia="仿宋" w:cstheme="minorBidi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时间：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2025年7月11日9时</w:t>
            </w:r>
          </w:p>
          <w:p w14:paraId="1C51C38D">
            <w:pPr>
              <w:pStyle w:val="33"/>
              <w:tabs>
                <w:tab w:val="left" w:pos="423"/>
                <w:tab w:val="clear" w:pos="900"/>
              </w:tabs>
              <w:spacing w:line="24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地点</w:t>
            </w:r>
            <w:r>
              <w:rPr>
                <w:rFonts w:hint="eastAsia" w:ascii="仿宋" w:hAnsi="仿宋" w:eastAsia="仿宋" w:cstheme="minorBidi"/>
                <w:szCs w:val="24"/>
              </w:rPr>
              <w:t>：重庆市渝中区临江路74号综合楼17楼会议室</w:t>
            </w:r>
          </w:p>
        </w:tc>
      </w:tr>
      <w:tr w14:paraId="45DC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 w14:paraId="3BF5B4F2">
            <w:pPr>
              <w:pStyle w:val="33"/>
              <w:spacing w:line="240" w:lineRule="auto"/>
              <w:ind w:firstLine="0"/>
              <w:jc w:val="left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7</w:t>
            </w:r>
          </w:p>
        </w:tc>
        <w:tc>
          <w:tcPr>
            <w:tcW w:w="1805" w:type="dxa"/>
            <w:vAlign w:val="center"/>
          </w:tcPr>
          <w:p w14:paraId="32CC27AC">
            <w:pPr>
              <w:pStyle w:val="33"/>
              <w:spacing w:line="360" w:lineRule="auto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报价方式</w:t>
            </w:r>
          </w:p>
        </w:tc>
        <w:tc>
          <w:tcPr>
            <w:tcW w:w="6988" w:type="dxa"/>
            <w:vAlign w:val="center"/>
          </w:tcPr>
          <w:p w14:paraId="36331D35">
            <w:pPr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物品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清单详见附件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，根据采购人提供的暂定清单数量分别进行报价，按实际结算。</w:t>
            </w:r>
          </w:p>
          <w:p w14:paraId="2A0E2A10">
            <w:pPr>
              <w:pStyle w:val="33"/>
              <w:tabs>
                <w:tab w:val="left" w:pos="423"/>
                <w:tab w:val="clear" w:pos="900"/>
              </w:tabs>
              <w:spacing w:line="24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2.报价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包含：运输（含包装、运输和装卸）、产品安装、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检测消耗、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调试及联动检测、质保期内涉及的所有费用。</w:t>
            </w:r>
          </w:p>
        </w:tc>
      </w:tr>
      <w:tr w14:paraId="3594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5" w:type="dxa"/>
            <w:vAlign w:val="center"/>
          </w:tcPr>
          <w:p w14:paraId="0E09F9B2">
            <w:pPr>
              <w:pStyle w:val="33"/>
              <w:spacing w:line="240" w:lineRule="auto"/>
              <w:ind w:firstLine="0"/>
              <w:jc w:val="left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8</w:t>
            </w:r>
          </w:p>
        </w:tc>
        <w:tc>
          <w:tcPr>
            <w:tcW w:w="1805" w:type="dxa"/>
            <w:vAlign w:val="center"/>
          </w:tcPr>
          <w:p w14:paraId="31533F89">
            <w:pPr>
              <w:pStyle w:val="33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报名方式及</w:t>
            </w:r>
          </w:p>
          <w:p w14:paraId="0BB8D598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截止时间</w:t>
            </w:r>
          </w:p>
        </w:tc>
        <w:tc>
          <w:tcPr>
            <w:tcW w:w="6988" w:type="dxa"/>
            <w:vAlign w:val="center"/>
          </w:tcPr>
          <w:p w14:paraId="391F58A0"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邮件报名：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cyfeybwk@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163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.com</w:t>
            </w:r>
          </w:p>
          <w:p w14:paraId="58F9F615"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邮件标题注明：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重庆医科大学附属第二医院渝中院区气体灭火系统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新增及检测推介会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+单位名称+联系人+联系电话</w:t>
            </w:r>
          </w:p>
          <w:p w14:paraId="19425859"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提供“三证合一”的营业执照复印件加盖鲜章扫描件</w:t>
            </w:r>
          </w:p>
          <w:p w14:paraId="51F61340"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报名截止时间：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202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年7月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/>
              </w:rPr>
              <w:t>:00</w:t>
            </w:r>
          </w:p>
        </w:tc>
      </w:tr>
      <w:tr w14:paraId="698E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5" w:type="dxa"/>
            <w:vAlign w:val="center"/>
          </w:tcPr>
          <w:p w14:paraId="361D6DCF">
            <w:pPr>
              <w:pStyle w:val="33"/>
              <w:spacing w:line="240" w:lineRule="auto"/>
              <w:ind w:firstLine="0"/>
              <w:jc w:val="left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9</w:t>
            </w:r>
          </w:p>
        </w:tc>
        <w:tc>
          <w:tcPr>
            <w:tcW w:w="1805" w:type="dxa"/>
            <w:vAlign w:val="center"/>
          </w:tcPr>
          <w:p w14:paraId="7BD98457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现场勘察时间</w:t>
            </w:r>
          </w:p>
        </w:tc>
        <w:tc>
          <w:tcPr>
            <w:tcW w:w="6988" w:type="dxa"/>
            <w:vAlign w:val="center"/>
          </w:tcPr>
          <w:p w14:paraId="7E020ED9">
            <w:pPr>
              <w:pStyle w:val="33"/>
              <w:spacing w:line="360" w:lineRule="auto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请在工作日8：00-11:30,14:00-17：00联系</w:t>
            </w:r>
          </w:p>
        </w:tc>
      </w:tr>
      <w:tr w14:paraId="2950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5" w:type="dxa"/>
            <w:vAlign w:val="center"/>
          </w:tcPr>
          <w:p w14:paraId="3DDC7C12">
            <w:pPr>
              <w:pStyle w:val="33"/>
              <w:spacing w:line="240" w:lineRule="auto"/>
              <w:ind w:firstLine="0"/>
              <w:jc w:val="left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0</w:t>
            </w:r>
          </w:p>
        </w:tc>
        <w:tc>
          <w:tcPr>
            <w:tcW w:w="1805" w:type="dxa"/>
            <w:vAlign w:val="center"/>
          </w:tcPr>
          <w:p w14:paraId="2EC5A08E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推介文件组成</w:t>
            </w:r>
          </w:p>
        </w:tc>
        <w:tc>
          <w:tcPr>
            <w:tcW w:w="6988" w:type="dxa"/>
            <w:vAlign w:val="center"/>
          </w:tcPr>
          <w:p w14:paraId="66F3FE8C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1.签字盖章要求</w:t>
            </w:r>
          </w:p>
          <w:p w14:paraId="6441DDFF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1.1推介文件正、副本封面均须法定代表人或其委托代理人签字、加盖竞选单位公章（鲜章），正、副本均须加盖骑缝章（鲜章）；</w:t>
            </w:r>
          </w:p>
          <w:p w14:paraId="05B08499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1.2推介文件正本内页要求签字、盖章的地方均须由法定代表人或其委托代理人签字、加盖竞选单位公章（鲜章）；推介文件副本内页可以是正本的复印件。</w:t>
            </w:r>
          </w:p>
          <w:p w14:paraId="5B3BA7DA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2.装订要求</w:t>
            </w:r>
          </w:p>
          <w:p w14:paraId="656C6675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推介文件的正本与副本应分别装订成册，采用胶订、平订或线订等，不得采用活页装订方式。</w:t>
            </w:r>
          </w:p>
          <w:p w14:paraId="6854C3AB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3.份数要求：1份正本，3份副本。（须在封面注明）</w:t>
            </w:r>
          </w:p>
          <w:p w14:paraId="44697181">
            <w:pPr>
              <w:pStyle w:val="33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4.密封要求：将装订好的推介文件正、副本封装在一个文件袋内，并在袋上加盖竞选单位单位公章。</w:t>
            </w:r>
          </w:p>
          <w:p w14:paraId="66E66ACE">
            <w:pPr>
              <w:pStyle w:val="33"/>
              <w:spacing w:line="360" w:lineRule="auto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5.推介文件正副本请务必做好目录及对应页码。</w:t>
            </w:r>
          </w:p>
        </w:tc>
      </w:tr>
      <w:tr w14:paraId="737D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5" w:type="dxa"/>
            <w:vAlign w:val="center"/>
          </w:tcPr>
          <w:p w14:paraId="3E45B8C1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11</w:t>
            </w:r>
          </w:p>
        </w:tc>
        <w:tc>
          <w:tcPr>
            <w:tcW w:w="1805" w:type="dxa"/>
            <w:vAlign w:val="center"/>
          </w:tcPr>
          <w:p w14:paraId="79A3059A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递交文件地点</w:t>
            </w:r>
          </w:p>
        </w:tc>
        <w:tc>
          <w:tcPr>
            <w:tcW w:w="6988" w:type="dxa"/>
            <w:vAlign w:val="center"/>
          </w:tcPr>
          <w:p w14:paraId="30860027">
            <w:pPr>
              <w:pStyle w:val="33"/>
              <w:spacing w:line="360" w:lineRule="auto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推介会议同时递交</w:t>
            </w:r>
          </w:p>
        </w:tc>
      </w:tr>
      <w:tr w14:paraId="32AB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6839CFFB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12</w:t>
            </w:r>
          </w:p>
        </w:tc>
        <w:tc>
          <w:tcPr>
            <w:tcW w:w="1805" w:type="dxa"/>
            <w:vAlign w:val="center"/>
          </w:tcPr>
          <w:p w14:paraId="50623BE3">
            <w:pPr>
              <w:pStyle w:val="33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联系人及方式</w:t>
            </w:r>
          </w:p>
        </w:tc>
        <w:tc>
          <w:tcPr>
            <w:tcW w:w="6988" w:type="dxa"/>
            <w:vAlign w:val="center"/>
          </w:tcPr>
          <w:p w14:paraId="450446A5">
            <w:pPr>
              <w:pStyle w:val="33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联系地址：重庆市渝中区临江路74号重庆医科大学附属第二医院保卫科</w:t>
            </w:r>
          </w:p>
          <w:p w14:paraId="2A75433F">
            <w:pPr>
              <w:pStyle w:val="33"/>
              <w:tabs>
                <w:tab w:val="left" w:pos="0"/>
              </w:tabs>
              <w:spacing w:line="360" w:lineRule="auto"/>
              <w:ind w:left="8" w:leftChars="0" w:right="-80" w:rightChars="-38" w:hanging="8" w:firstLineChars="0"/>
              <w:rPr>
                <w:rFonts w:ascii="仿宋" w:hAnsi="仿宋" w:eastAsia="仿宋"/>
                <w:szCs w:val="24"/>
                <w:highlight w:val="yellow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 系 人：龚老师（现场踏勘）     联系电话：023-63693119</w:t>
            </w:r>
          </w:p>
        </w:tc>
      </w:tr>
    </w:tbl>
    <w:p w14:paraId="6FB0C015">
      <w:pPr>
        <w:spacing w:line="360" w:lineRule="auto"/>
        <w:rPr>
          <w:rFonts w:ascii="黑体" w:eastAsia="黑体"/>
          <w:sz w:val="44"/>
          <w:szCs w:val="44"/>
        </w:rPr>
      </w:pPr>
    </w:p>
    <w:p w14:paraId="6F3630B3">
      <w:pPr>
        <w:spacing w:line="360" w:lineRule="auto"/>
        <w:rPr>
          <w:rFonts w:ascii="黑体" w:eastAsia="黑体"/>
          <w:sz w:val="44"/>
          <w:szCs w:val="44"/>
        </w:rPr>
      </w:pPr>
    </w:p>
    <w:p w14:paraId="69569962">
      <w:pPr>
        <w:spacing w:line="360" w:lineRule="auto"/>
        <w:rPr>
          <w:rFonts w:ascii="黑体" w:eastAsia="黑体"/>
          <w:sz w:val="44"/>
          <w:szCs w:val="44"/>
        </w:rPr>
      </w:pPr>
    </w:p>
    <w:p w14:paraId="1A37826F">
      <w:pPr>
        <w:spacing w:line="360" w:lineRule="auto"/>
        <w:rPr>
          <w:rFonts w:ascii="黑体" w:eastAsia="黑体"/>
          <w:sz w:val="44"/>
          <w:szCs w:val="44"/>
        </w:rPr>
      </w:pPr>
    </w:p>
    <w:p w14:paraId="62DEEB39">
      <w:pPr>
        <w:spacing w:line="360" w:lineRule="auto"/>
        <w:rPr>
          <w:rFonts w:ascii="黑体" w:eastAsia="黑体"/>
          <w:sz w:val="44"/>
          <w:szCs w:val="44"/>
        </w:rPr>
      </w:pPr>
    </w:p>
    <w:p w14:paraId="224DAEAC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格式1</w:t>
      </w:r>
    </w:p>
    <w:p w14:paraId="15825E86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70B42103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6C936987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17541422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重庆医科大学附属第二医院渝中院区气体灭火系统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新增及检测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3A4FC3F3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6C3002BE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739C5399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33A99552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76C9F3AD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37B5929C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46565E86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2B27F060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211C34C0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7EE280FA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0E0A8DD8">
      <w:pPr>
        <w:spacing w:before="156" w:beforeLines="50" w:after="156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 w14:paraId="6D422DE4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0EFF5E66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3A26BC7D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70B692C0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51034F1C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0196C8BB">
      <w:pPr>
        <w:spacing w:line="360" w:lineRule="auto"/>
      </w:pPr>
      <w:r>
        <w:rPr>
          <w:rFonts w:hint="eastAsia" w:ascii="仿宋_GB2312" w:hAnsi="宋体" w:eastAsia="仿宋_GB2312"/>
          <w:kern w:val="0"/>
          <w:sz w:val="24"/>
          <w:szCs w:val="20"/>
        </w:rPr>
        <w:t>格式2</w:t>
      </w:r>
    </w:p>
    <w:p w14:paraId="054CDD11">
      <w:pPr>
        <w:pStyle w:val="34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14:paraId="7D4E8644">
      <w:pPr>
        <w:pStyle w:val="33"/>
        <w:spacing w:line="360" w:lineRule="auto"/>
        <w:ind w:firstLine="539"/>
        <w:rPr>
          <w:sz w:val="28"/>
          <w:szCs w:val="28"/>
        </w:rPr>
      </w:pPr>
    </w:p>
    <w:p w14:paraId="5F0D2CF9">
      <w:pPr>
        <w:pStyle w:val="33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08E64EAC">
      <w:pPr>
        <w:pStyle w:val="33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项目推介文件的全部内容。我们已完全理解了推介文件规定的要求，并考虑到了潜在所有风险。据此，我们承诺结合本项目特点及我方实际情况，按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0D9A03EB">
      <w:pPr>
        <w:pStyle w:val="33"/>
        <w:spacing w:line="360" w:lineRule="auto"/>
        <w:ind w:firstLine="5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重庆医科大学附属第二医院渝中院区气体灭火系统</w:t>
      </w:r>
      <w:r>
        <w:rPr>
          <w:rFonts w:hint="eastAsia"/>
          <w:sz w:val="28"/>
          <w:szCs w:val="28"/>
          <w:lang w:val="en-US" w:eastAsia="zh-CN"/>
        </w:rPr>
        <w:t>新增及检测</w:t>
      </w:r>
      <w:r>
        <w:rPr>
          <w:rFonts w:hint="eastAsia"/>
          <w:sz w:val="28"/>
          <w:szCs w:val="28"/>
        </w:rPr>
        <w:t>推介</w:t>
      </w:r>
    </w:p>
    <w:p w14:paraId="39DC8BC0">
      <w:pPr>
        <w:pStyle w:val="33"/>
        <w:tabs>
          <w:tab w:val="left" w:pos="0"/>
          <w:tab w:val="clear" w:pos="900"/>
          <w:tab w:val="clear" w:pos="1620"/>
        </w:tabs>
        <w:spacing w:line="360" w:lineRule="auto"/>
        <w:ind w:firstLine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总</w:t>
      </w:r>
      <w:r>
        <w:rPr>
          <w:rFonts w:hint="eastAsia"/>
          <w:sz w:val="28"/>
          <w:szCs w:val="28"/>
        </w:rPr>
        <w:t>报价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元。</w:t>
      </w:r>
    </w:p>
    <w:p w14:paraId="54DA182B">
      <w:pPr>
        <w:pStyle w:val="33"/>
        <w:tabs>
          <w:tab w:val="left" w:pos="0"/>
          <w:tab w:val="clear" w:pos="900"/>
          <w:tab w:val="clear" w:pos="1620"/>
        </w:tabs>
        <w:spacing w:line="360" w:lineRule="auto"/>
        <w:ind w:firstLine="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清单详情</w:t>
      </w:r>
    </w:p>
    <w:tbl>
      <w:tblPr>
        <w:tblStyle w:val="21"/>
        <w:tblW w:w="9554" w:type="dxa"/>
        <w:tblInd w:w="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88"/>
        <w:gridCol w:w="2137"/>
        <w:gridCol w:w="875"/>
        <w:gridCol w:w="700"/>
        <w:gridCol w:w="825"/>
        <w:gridCol w:w="2238"/>
      </w:tblGrid>
      <w:tr w14:paraId="492B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243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AB0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产品名称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31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型 号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F79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单价（元）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84C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B80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总价（元）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561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备注</w:t>
            </w:r>
          </w:p>
        </w:tc>
      </w:tr>
      <w:tr w14:paraId="4983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CCD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37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B8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WQMP90/5.3—ZTQ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2EF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CCD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86F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3BE2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检测（含药剂损耗）</w:t>
            </w:r>
          </w:p>
        </w:tc>
      </w:tr>
      <w:tr w14:paraId="5F8D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491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F6E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403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WQMP120/5.3—ZTQ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2CA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034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04C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989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检测（含药剂损耗）</w:t>
            </w:r>
          </w:p>
        </w:tc>
      </w:tr>
      <w:tr w14:paraId="34DD9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A4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D7F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2BC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QMP70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D25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997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9C9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3BD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检测（含药剂损耗）</w:t>
            </w:r>
          </w:p>
        </w:tc>
      </w:tr>
      <w:tr w14:paraId="6E0C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67A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866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柜式七氟丙烷气体灭火装置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B81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E3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8D0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E24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4DB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新增</w:t>
            </w:r>
          </w:p>
        </w:tc>
      </w:tr>
      <w:tr w14:paraId="5710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AD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8D4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气体主机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6B61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北京利达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47A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A26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4D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7D4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新增</w:t>
            </w:r>
          </w:p>
        </w:tc>
      </w:tr>
      <w:tr w14:paraId="7F281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8D58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合计（元）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E9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</w:tbl>
    <w:p w14:paraId="1209B113">
      <w:pPr>
        <w:pStyle w:val="33"/>
        <w:spacing w:line="360" w:lineRule="auto"/>
        <w:ind w:firstLine="0"/>
        <w:rPr>
          <w:sz w:val="28"/>
          <w:szCs w:val="28"/>
        </w:rPr>
      </w:pPr>
    </w:p>
    <w:p w14:paraId="1ECE6744">
      <w:pPr>
        <w:pStyle w:val="33"/>
        <w:spacing w:line="360" w:lineRule="auto"/>
        <w:ind w:firstLine="0"/>
        <w:rPr>
          <w:sz w:val="28"/>
          <w:szCs w:val="28"/>
        </w:rPr>
      </w:pPr>
    </w:p>
    <w:p w14:paraId="6C70A8D0">
      <w:pPr>
        <w:pStyle w:val="33"/>
        <w:spacing w:line="360" w:lineRule="auto"/>
        <w:ind w:firstLine="0"/>
        <w:rPr>
          <w:sz w:val="30"/>
          <w:szCs w:val="30"/>
        </w:rPr>
      </w:pPr>
    </w:p>
    <w:p w14:paraId="1AC68D12">
      <w:pPr>
        <w:pStyle w:val="3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704582C3">
      <w:pPr>
        <w:pStyle w:val="3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672F251F">
      <w:pPr>
        <w:pStyle w:val="33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22D69285">
      <w:pPr>
        <w:rPr>
          <w:rFonts w:ascii="宋体" w:hAnsi="宋体"/>
          <w:color w:val="000000"/>
          <w:sz w:val="28"/>
        </w:rPr>
      </w:pPr>
    </w:p>
    <w:p w14:paraId="3DF6099C">
      <w:pPr>
        <w:pStyle w:val="10"/>
      </w:pPr>
    </w:p>
    <w:p w14:paraId="786815FE">
      <w:pPr>
        <w:pStyle w:val="10"/>
      </w:pPr>
    </w:p>
    <w:p w14:paraId="0D124FE3">
      <w:pPr>
        <w:pStyle w:val="10"/>
        <w:rPr>
          <w:rFonts w:hint="default"/>
          <w:lang w:val="en-US" w:eastAsia="zh-CN"/>
        </w:rPr>
      </w:pPr>
    </w:p>
    <w:sectPr>
      <w:footerReference r:id="rId8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Plotte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A940">
    <w:pPr>
      <w:pStyle w:val="16"/>
      <w:ind w:right="360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- 2 -</w:t>
    </w:r>
    <w:r>
      <w:rPr>
        <w:rStyle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7CAB2">
    <w:pPr>
      <w:pStyle w:val="16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397D1C55">
    <w:pPr>
      <w:pStyle w:val="1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A11E">
    <w:pPr>
      <w:pStyle w:val="16"/>
      <w:ind w:right="360" w:firstLine="360" w:firstLineChars="20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78BB8">
    <w:pPr>
      <w:pStyle w:val="16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10</w:t>
    </w:r>
    <w:r>
      <w:rPr>
        <w:rStyle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8422A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B8E3E">
    <w:pPr>
      <w:pStyle w:val="17"/>
      <w:framePr w:wrap="around" w:vAnchor="text" w:hAnchor="margin" w:xAlign="right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3FD10199">
    <w:pPr>
      <w:pStyle w:val="1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2B6CBF"/>
    <w:multiLevelType w:val="multilevel"/>
    <w:tmpl w:val="562B6CBF"/>
    <w:lvl w:ilvl="0" w:tentative="0">
      <w:start w:val="1"/>
      <w:numFmt w:val="decimal"/>
      <w:pStyle w:val="27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TUyY2EyZDRlMjBlMjFiMjNjMzQzZTA5ZGQ3YjQifQ=="/>
    <w:docVar w:name="KSO_WPS_MARK_KEY" w:val="9a2c0602-a0e8-4421-ae71-82709ed905df"/>
  </w:docVars>
  <w:rsids>
    <w:rsidRoot w:val="003C4EAE"/>
    <w:rsid w:val="000036CB"/>
    <w:rsid w:val="00025B3B"/>
    <w:rsid w:val="00026A1A"/>
    <w:rsid w:val="00067482"/>
    <w:rsid w:val="00067BFB"/>
    <w:rsid w:val="00093198"/>
    <w:rsid w:val="000A12A6"/>
    <w:rsid w:val="000B1778"/>
    <w:rsid w:val="000E524B"/>
    <w:rsid w:val="00105A17"/>
    <w:rsid w:val="00112057"/>
    <w:rsid w:val="0017471F"/>
    <w:rsid w:val="00184C3C"/>
    <w:rsid w:val="00187180"/>
    <w:rsid w:val="001B11C4"/>
    <w:rsid w:val="001B6BBF"/>
    <w:rsid w:val="001C2E07"/>
    <w:rsid w:val="001C6B65"/>
    <w:rsid w:val="001E054D"/>
    <w:rsid w:val="001E1001"/>
    <w:rsid w:val="001F011C"/>
    <w:rsid w:val="001F0AD0"/>
    <w:rsid w:val="00217584"/>
    <w:rsid w:val="00227766"/>
    <w:rsid w:val="002469C0"/>
    <w:rsid w:val="002520CB"/>
    <w:rsid w:val="00262008"/>
    <w:rsid w:val="00275AEC"/>
    <w:rsid w:val="002852AA"/>
    <w:rsid w:val="00285BC9"/>
    <w:rsid w:val="00286327"/>
    <w:rsid w:val="00295CA0"/>
    <w:rsid w:val="00297971"/>
    <w:rsid w:val="002A329F"/>
    <w:rsid w:val="002B330A"/>
    <w:rsid w:val="002B4329"/>
    <w:rsid w:val="00314EFD"/>
    <w:rsid w:val="003223D0"/>
    <w:rsid w:val="00324431"/>
    <w:rsid w:val="003306D7"/>
    <w:rsid w:val="00340FEC"/>
    <w:rsid w:val="003422EF"/>
    <w:rsid w:val="00354475"/>
    <w:rsid w:val="003578A7"/>
    <w:rsid w:val="00366130"/>
    <w:rsid w:val="00386C6F"/>
    <w:rsid w:val="003B0CAA"/>
    <w:rsid w:val="003B3F04"/>
    <w:rsid w:val="003C4EAE"/>
    <w:rsid w:val="003E38CE"/>
    <w:rsid w:val="0040041C"/>
    <w:rsid w:val="00417400"/>
    <w:rsid w:val="0042001D"/>
    <w:rsid w:val="00420D93"/>
    <w:rsid w:val="00432259"/>
    <w:rsid w:val="0044543E"/>
    <w:rsid w:val="00482C65"/>
    <w:rsid w:val="00487BAC"/>
    <w:rsid w:val="0049472E"/>
    <w:rsid w:val="004B1909"/>
    <w:rsid w:val="004C04BD"/>
    <w:rsid w:val="004C6F38"/>
    <w:rsid w:val="004D14AA"/>
    <w:rsid w:val="004D38F8"/>
    <w:rsid w:val="004D7A2C"/>
    <w:rsid w:val="004E224A"/>
    <w:rsid w:val="004F5A9E"/>
    <w:rsid w:val="004F67CD"/>
    <w:rsid w:val="004F7AE5"/>
    <w:rsid w:val="00504F6C"/>
    <w:rsid w:val="00551E88"/>
    <w:rsid w:val="0055787E"/>
    <w:rsid w:val="00572A0B"/>
    <w:rsid w:val="00590B3E"/>
    <w:rsid w:val="00591771"/>
    <w:rsid w:val="005974AF"/>
    <w:rsid w:val="005C37E3"/>
    <w:rsid w:val="005D3570"/>
    <w:rsid w:val="00602F57"/>
    <w:rsid w:val="0061744D"/>
    <w:rsid w:val="00631F0E"/>
    <w:rsid w:val="00633256"/>
    <w:rsid w:val="0069036E"/>
    <w:rsid w:val="006C6921"/>
    <w:rsid w:val="00705408"/>
    <w:rsid w:val="00721750"/>
    <w:rsid w:val="0074318E"/>
    <w:rsid w:val="0074470D"/>
    <w:rsid w:val="00746985"/>
    <w:rsid w:val="007512E2"/>
    <w:rsid w:val="00751FF1"/>
    <w:rsid w:val="007722FC"/>
    <w:rsid w:val="00776DD7"/>
    <w:rsid w:val="00781971"/>
    <w:rsid w:val="00792400"/>
    <w:rsid w:val="007A5186"/>
    <w:rsid w:val="007B00EB"/>
    <w:rsid w:val="007B39FA"/>
    <w:rsid w:val="007B59F4"/>
    <w:rsid w:val="007D02A2"/>
    <w:rsid w:val="007D57A9"/>
    <w:rsid w:val="007F22FA"/>
    <w:rsid w:val="008041BA"/>
    <w:rsid w:val="00810471"/>
    <w:rsid w:val="00815EF4"/>
    <w:rsid w:val="0082013D"/>
    <w:rsid w:val="00823BA8"/>
    <w:rsid w:val="0082549D"/>
    <w:rsid w:val="0083189B"/>
    <w:rsid w:val="008407C0"/>
    <w:rsid w:val="00880A80"/>
    <w:rsid w:val="008817CD"/>
    <w:rsid w:val="00882D9F"/>
    <w:rsid w:val="00883720"/>
    <w:rsid w:val="008914FC"/>
    <w:rsid w:val="00892215"/>
    <w:rsid w:val="00895C63"/>
    <w:rsid w:val="00897C11"/>
    <w:rsid w:val="008A6178"/>
    <w:rsid w:val="008B4928"/>
    <w:rsid w:val="008D1C6B"/>
    <w:rsid w:val="008D20F9"/>
    <w:rsid w:val="008F79D6"/>
    <w:rsid w:val="009133D0"/>
    <w:rsid w:val="009266AC"/>
    <w:rsid w:val="00957183"/>
    <w:rsid w:val="00961B86"/>
    <w:rsid w:val="009A2D20"/>
    <w:rsid w:val="009C7938"/>
    <w:rsid w:val="00A074E3"/>
    <w:rsid w:val="00A304B2"/>
    <w:rsid w:val="00A3212B"/>
    <w:rsid w:val="00A5192C"/>
    <w:rsid w:val="00A574CF"/>
    <w:rsid w:val="00A62705"/>
    <w:rsid w:val="00AA148C"/>
    <w:rsid w:val="00AA763A"/>
    <w:rsid w:val="00AC1A1D"/>
    <w:rsid w:val="00AD385B"/>
    <w:rsid w:val="00AE43C8"/>
    <w:rsid w:val="00AF7579"/>
    <w:rsid w:val="00B12D12"/>
    <w:rsid w:val="00B262BF"/>
    <w:rsid w:val="00B32A82"/>
    <w:rsid w:val="00B34CED"/>
    <w:rsid w:val="00B36A4A"/>
    <w:rsid w:val="00B44670"/>
    <w:rsid w:val="00B462E6"/>
    <w:rsid w:val="00B46F9F"/>
    <w:rsid w:val="00B54E79"/>
    <w:rsid w:val="00BB52F1"/>
    <w:rsid w:val="00C05C63"/>
    <w:rsid w:val="00C275C9"/>
    <w:rsid w:val="00C44745"/>
    <w:rsid w:val="00C502FE"/>
    <w:rsid w:val="00CA3479"/>
    <w:rsid w:val="00CC2598"/>
    <w:rsid w:val="00CE5FE4"/>
    <w:rsid w:val="00D16C87"/>
    <w:rsid w:val="00D255CE"/>
    <w:rsid w:val="00D278C6"/>
    <w:rsid w:val="00D6042F"/>
    <w:rsid w:val="00D624EB"/>
    <w:rsid w:val="00D64BFA"/>
    <w:rsid w:val="00D66D20"/>
    <w:rsid w:val="00D70A4E"/>
    <w:rsid w:val="00DB376D"/>
    <w:rsid w:val="00DC0E75"/>
    <w:rsid w:val="00DD09BF"/>
    <w:rsid w:val="00DF7854"/>
    <w:rsid w:val="00E14A20"/>
    <w:rsid w:val="00E16811"/>
    <w:rsid w:val="00E24719"/>
    <w:rsid w:val="00E2527F"/>
    <w:rsid w:val="00E35550"/>
    <w:rsid w:val="00E568BB"/>
    <w:rsid w:val="00E753C4"/>
    <w:rsid w:val="00E7705C"/>
    <w:rsid w:val="00EB0DCE"/>
    <w:rsid w:val="00EB4AE9"/>
    <w:rsid w:val="00EC7171"/>
    <w:rsid w:val="00EE24C4"/>
    <w:rsid w:val="00EF60C2"/>
    <w:rsid w:val="00F510B2"/>
    <w:rsid w:val="00F5640B"/>
    <w:rsid w:val="00F6693E"/>
    <w:rsid w:val="00F945EC"/>
    <w:rsid w:val="00F97391"/>
    <w:rsid w:val="00FD2D18"/>
    <w:rsid w:val="00FE245A"/>
    <w:rsid w:val="02041281"/>
    <w:rsid w:val="0448314E"/>
    <w:rsid w:val="05324CD9"/>
    <w:rsid w:val="06276523"/>
    <w:rsid w:val="071C511F"/>
    <w:rsid w:val="0EDE4BF3"/>
    <w:rsid w:val="0EEE7499"/>
    <w:rsid w:val="0F196283"/>
    <w:rsid w:val="230B3FD4"/>
    <w:rsid w:val="25120A61"/>
    <w:rsid w:val="2683543F"/>
    <w:rsid w:val="269C41EC"/>
    <w:rsid w:val="27BB366B"/>
    <w:rsid w:val="280B61C0"/>
    <w:rsid w:val="2AFF25C5"/>
    <w:rsid w:val="32022365"/>
    <w:rsid w:val="3427396E"/>
    <w:rsid w:val="37FA18E4"/>
    <w:rsid w:val="38DC0680"/>
    <w:rsid w:val="3E2F3F92"/>
    <w:rsid w:val="41C660F7"/>
    <w:rsid w:val="4C3D4F36"/>
    <w:rsid w:val="4E8E3411"/>
    <w:rsid w:val="516B49F3"/>
    <w:rsid w:val="56493019"/>
    <w:rsid w:val="5ADA59D9"/>
    <w:rsid w:val="5E443FAD"/>
    <w:rsid w:val="61BB6BB9"/>
    <w:rsid w:val="659C2241"/>
    <w:rsid w:val="724807AD"/>
    <w:rsid w:val="76515D34"/>
    <w:rsid w:val="78734B20"/>
    <w:rsid w:val="796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toc 3"/>
    <w:basedOn w:val="1"/>
    <w:next w:val="1"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2">
    <w:name w:val="Plain Text"/>
    <w:basedOn w:val="1"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3">
    <w:name w:val="Date"/>
    <w:basedOn w:val="1"/>
    <w:next w:val="1"/>
    <w:link w:val="41"/>
    <w:qFormat/>
    <w:uiPriority w:val="0"/>
    <w:rPr>
      <w:sz w:val="24"/>
      <w:szCs w:val="20"/>
    </w:r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qFormat/>
    <w:uiPriority w:val="0"/>
    <w:rPr>
      <w:color w:val="0000FF"/>
      <w:u w:val="single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28">
    <w:name w:val="5号正文"/>
    <w:link w:val="39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0">
    <w:name w:val="Char Char Char Char Char Char Char Char Char Char Char Char Char Char Char Char"/>
    <w:basedOn w:val="7"/>
    <w:qFormat/>
    <w:uiPriority w:val="0"/>
    <w:pPr>
      <w:spacing w:line="360" w:lineRule="auto"/>
      <w:ind w:firstLine="200" w:firstLineChars="200"/>
    </w:pPr>
  </w:style>
  <w:style w:type="paragraph" w:customStyle="1" w:styleId="31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2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3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4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5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6">
    <w:name w:val="标题 2 Char"/>
    <w:basedOn w:val="23"/>
    <w:link w:val="3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7">
    <w:name w:val="页眉 Char"/>
    <w:basedOn w:val="23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页脚 Char"/>
    <w:basedOn w:val="23"/>
    <w:link w:val="1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5号正文 Char"/>
    <w:basedOn w:val="23"/>
    <w:link w:val="28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0">
    <w:name w:val="Char Char4"/>
    <w:basedOn w:val="2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1">
    <w:name w:val="日期 Char"/>
    <w:link w:val="13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2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styleId="43">
    <w:name w:val="Placeholder Text"/>
    <w:basedOn w:val="23"/>
    <w:semiHidden/>
    <w:qFormat/>
    <w:uiPriority w:val="99"/>
    <w:rPr>
      <w:color w:val="808080"/>
    </w:rPr>
  </w:style>
  <w:style w:type="paragraph" w:customStyle="1" w:styleId="44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sz w:val="28"/>
      <w:szCs w:val="32"/>
      <w:lang w:val="en-US" w:eastAsia="zh-CN" w:bidi="ar-SA"/>
    </w:rPr>
  </w:style>
  <w:style w:type="character" w:customStyle="1" w:styleId="4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1848</Words>
  <Characters>2003</Characters>
  <Lines>30</Lines>
  <Paragraphs>8</Paragraphs>
  <TotalTime>8</TotalTime>
  <ScaleCrop>false</ScaleCrop>
  <LinksUpToDate>false</LinksUpToDate>
  <CharactersWithSpaces>2197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2023-07-25T01:35:00Z</dcterms:created>
  <dc:creator>User</dc:creator>
  <cp:lastModifiedBy>龚彬</cp:lastModifiedBy>
  <cp:lastPrinted>2020-12-11T01:31:00Z</cp:lastPrinted>
  <dcterms:modified xsi:type="dcterms:W3CDTF">2025-07-04T01:58:48Z</dcterms:modified>
  <dc:title>重庆医科大学第二附属医院江南医院工程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017E2727FB284FF0875E63F9C640EA4A_13</vt:lpwstr>
  </property>
</Properties>
</file>