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EAB40">
      <w:pPr>
        <w:spacing w:line="600" w:lineRule="exact"/>
        <w:jc w:val="both"/>
        <w:rPr>
          <w:rFonts w:hint="eastAsia" w:ascii="方正仿宋_GBK" w:eastAsia="方正仿宋_GBK"/>
          <w:color w:val="000000" w:themeColor="text1"/>
          <w:sz w:val="52"/>
          <w14:textFill>
            <w14:solidFill>
              <w14:schemeClr w14:val="tx1"/>
            </w14:solidFill>
          </w14:textFill>
        </w:rPr>
      </w:pPr>
      <w:permStart w:id="0" w:edGrp="everyone"/>
      <w:permEnd w:id="0"/>
    </w:p>
    <w:p w14:paraId="68E0C9F7">
      <w:pPr>
        <w:spacing w:line="1600" w:lineRule="exact"/>
        <w:jc w:val="both"/>
        <w:rPr>
          <w:rFonts w:hint="eastAsia" w:ascii="方正黑体_GBK" w:eastAsia="方正黑体_GBK"/>
          <w:color w:val="000000" w:themeColor="text1"/>
          <w:sz w:val="72"/>
          <w:szCs w:val="16"/>
          <w14:textFill>
            <w14:solidFill>
              <w14:schemeClr w14:val="tx1"/>
            </w14:solidFill>
          </w14:textFill>
        </w:rPr>
      </w:pPr>
      <w:r>
        <w:rPr>
          <w:rFonts w:hint="eastAsia" w:ascii="方正黑体_GBK" w:eastAsia="方正黑体_GBK"/>
          <w:color w:val="000000" w:themeColor="text1"/>
          <w:sz w:val="72"/>
          <w:szCs w:val="16"/>
          <w14:textFill>
            <w14:solidFill>
              <w14:schemeClr w14:val="tx1"/>
            </w14:solidFill>
          </w14:textFill>
        </w:rPr>
        <w:t>重庆医科大学附属第二医院</w:t>
      </w:r>
    </w:p>
    <w:p w14:paraId="4F062AF5">
      <w:pPr>
        <w:spacing w:line="1600" w:lineRule="exact"/>
        <w:jc w:val="both"/>
        <w:rPr>
          <w:rFonts w:hint="eastAsia" w:ascii="方正黑体_GBK" w:hAnsi="宋体" w:eastAsia="方正黑体_GBK"/>
          <w:color w:val="000000" w:themeColor="text1"/>
          <w:sz w:val="130"/>
          <w:szCs w:val="130"/>
          <w14:textFill>
            <w14:solidFill>
              <w14:schemeClr w14:val="tx1"/>
            </w14:solidFill>
          </w14:textFill>
        </w:rPr>
      </w:pPr>
    </w:p>
    <w:p w14:paraId="3E09FAEE">
      <w:pPr>
        <w:spacing w:line="1600" w:lineRule="exact"/>
        <w:jc w:val="center"/>
        <w:rPr>
          <w:rFonts w:hint="eastAsia" w:ascii="方正黑体_GBK" w:hAnsi="宋体" w:eastAsia="方正黑体_GBK"/>
          <w:color w:val="000000" w:themeColor="text1"/>
          <w:sz w:val="130"/>
          <w:szCs w:val="130"/>
          <w14:textFill>
            <w14:solidFill>
              <w14:schemeClr w14:val="tx1"/>
            </w14:solidFill>
          </w14:textFill>
        </w:rPr>
      </w:pPr>
      <w:r>
        <w:rPr>
          <w:rFonts w:hint="eastAsia" w:ascii="方正黑体_GBK" w:hAnsi="宋体" w:eastAsia="方正黑体_GBK"/>
          <w:color w:val="000000" w:themeColor="text1"/>
          <w:sz w:val="130"/>
          <w:szCs w:val="130"/>
          <w14:textFill>
            <w14:solidFill>
              <w14:schemeClr w14:val="tx1"/>
            </w14:solidFill>
          </w14:textFill>
        </w:rPr>
        <w:t>采</w:t>
      </w:r>
    </w:p>
    <w:p w14:paraId="4B0D6CF7">
      <w:pPr>
        <w:spacing w:line="1600" w:lineRule="exact"/>
        <w:jc w:val="center"/>
        <w:rPr>
          <w:rFonts w:hint="eastAsia" w:ascii="方正黑体_GBK" w:hAnsi="宋体" w:eastAsia="方正黑体_GBK"/>
          <w:color w:val="000000" w:themeColor="text1"/>
          <w:sz w:val="130"/>
          <w:szCs w:val="130"/>
          <w14:textFill>
            <w14:solidFill>
              <w14:schemeClr w14:val="tx1"/>
            </w14:solidFill>
          </w14:textFill>
        </w:rPr>
      </w:pPr>
      <w:r>
        <w:rPr>
          <w:rFonts w:hint="eastAsia" w:ascii="方正黑体_GBK" w:hAnsi="宋体" w:eastAsia="方正黑体_GBK"/>
          <w:color w:val="000000" w:themeColor="text1"/>
          <w:sz w:val="130"/>
          <w:szCs w:val="130"/>
          <w14:textFill>
            <w14:solidFill>
              <w14:schemeClr w14:val="tx1"/>
            </w14:solidFill>
          </w14:textFill>
        </w:rPr>
        <w:t>购</w:t>
      </w:r>
    </w:p>
    <w:p w14:paraId="1DF2A5CF">
      <w:pPr>
        <w:spacing w:line="1600" w:lineRule="exact"/>
        <w:jc w:val="center"/>
        <w:rPr>
          <w:rFonts w:hint="eastAsia" w:ascii="方正黑体_GBK" w:hAnsi="宋体" w:eastAsia="方正黑体_GBK"/>
          <w:color w:val="000000" w:themeColor="text1"/>
          <w:sz w:val="130"/>
          <w:szCs w:val="130"/>
          <w14:textFill>
            <w14:solidFill>
              <w14:schemeClr w14:val="tx1"/>
            </w14:solidFill>
          </w14:textFill>
        </w:rPr>
      </w:pPr>
      <w:r>
        <w:rPr>
          <w:rFonts w:hint="eastAsia" w:ascii="方正黑体_GBK" w:hAnsi="宋体" w:eastAsia="方正黑体_GBK"/>
          <w:color w:val="000000" w:themeColor="text1"/>
          <w:sz w:val="130"/>
          <w:szCs w:val="130"/>
          <w14:textFill>
            <w14:solidFill>
              <w14:schemeClr w14:val="tx1"/>
            </w14:solidFill>
          </w14:textFill>
        </w:rPr>
        <w:t>文</w:t>
      </w:r>
    </w:p>
    <w:p w14:paraId="35E5CCB0">
      <w:pPr>
        <w:spacing w:line="1600" w:lineRule="exact"/>
        <w:jc w:val="center"/>
        <w:rPr>
          <w:rFonts w:hint="eastAsia" w:ascii="方正黑体_GBK" w:hAnsi="宋体" w:eastAsia="方正黑体_GBK"/>
          <w:color w:val="000000" w:themeColor="text1"/>
          <w:sz w:val="130"/>
          <w:szCs w:val="130"/>
          <w14:textFill>
            <w14:solidFill>
              <w14:schemeClr w14:val="tx1"/>
            </w14:solidFill>
          </w14:textFill>
        </w:rPr>
      </w:pPr>
      <w:r>
        <w:rPr>
          <w:rFonts w:hint="eastAsia" w:ascii="方正黑体_GBK" w:hAnsi="宋体" w:eastAsia="方正黑体_GBK"/>
          <w:color w:val="000000" w:themeColor="text1"/>
          <w:sz w:val="130"/>
          <w:szCs w:val="130"/>
          <w14:textFill>
            <w14:solidFill>
              <w14:schemeClr w14:val="tx1"/>
            </w14:solidFill>
          </w14:textFill>
        </w:rPr>
        <w:t>件</w:t>
      </w:r>
    </w:p>
    <w:p w14:paraId="7D55E162">
      <w:pPr>
        <w:pStyle w:val="6"/>
        <w:spacing w:line="500" w:lineRule="exact"/>
        <w:ind w:left="0"/>
        <w:jc w:val="both"/>
        <w:rPr>
          <w:rFonts w:hint="eastAsia" w:ascii="方正黑体_GBK" w:eastAsia="方正黑体_GBK"/>
          <w:color w:val="000000" w:themeColor="text1"/>
          <w:sz w:val="32"/>
          <w14:textFill>
            <w14:solidFill>
              <w14:schemeClr w14:val="tx1"/>
            </w14:solidFill>
          </w14:textFill>
        </w:rPr>
      </w:pPr>
    </w:p>
    <w:p w14:paraId="7FD2B5FA">
      <w:pPr>
        <w:pStyle w:val="14"/>
        <w:jc w:val="both"/>
        <w:rPr>
          <w:rFonts w:hint="eastAsia"/>
          <w:color w:val="000000" w:themeColor="text1"/>
          <w14:textFill>
            <w14:solidFill>
              <w14:schemeClr w14:val="tx1"/>
            </w14:solidFill>
          </w14:textFill>
        </w:rPr>
      </w:pPr>
    </w:p>
    <w:p w14:paraId="7F7E2B87">
      <w:pPr>
        <w:jc w:val="both"/>
        <w:rPr>
          <w:rFonts w:hint="eastAsia"/>
          <w:color w:val="000000" w:themeColor="text1"/>
          <w14:textFill>
            <w14:solidFill>
              <w14:schemeClr w14:val="tx1"/>
            </w14:solidFill>
          </w14:textFill>
        </w:rPr>
      </w:pPr>
    </w:p>
    <w:p w14:paraId="73DD5EA6">
      <w:pPr>
        <w:pStyle w:val="5"/>
        <w:jc w:val="both"/>
        <w:rPr>
          <w:rFonts w:hint="eastAsia"/>
          <w:color w:val="000000" w:themeColor="text1"/>
          <w14:textFill>
            <w14:solidFill>
              <w14:schemeClr w14:val="tx1"/>
            </w14:solidFill>
          </w14:textFill>
        </w:rPr>
      </w:pPr>
    </w:p>
    <w:p w14:paraId="6B9C08DE">
      <w:pPr>
        <w:pStyle w:val="14"/>
        <w:jc w:val="both"/>
        <w:rPr>
          <w:rFonts w:hint="eastAsia"/>
          <w:color w:val="000000" w:themeColor="text1"/>
          <w14:textFill>
            <w14:solidFill>
              <w14:schemeClr w14:val="tx1"/>
            </w14:solidFill>
          </w14:textFill>
        </w:rPr>
      </w:pPr>
    </w:p>
    <w:p w14:paraId="494F090D">
      <w:pPr>
        <w:snapToGrid w:val="0"/>
        <w:spacing w:line="500" w:lineRule="exact"/>
        <w:jc w:val="center"/>
        <w:rPr>
          <w:rFonts w:hint="eastAsia" w:ascii="方正仿宋_GBK" w:eastAsia="方正仿宋_GBK"/>
          <w:color w:val="000000" w:themeColor="text1"/>
          <w:sz w:val="36"/>
          <w:szCs w:val="36"/>
          <w14:textFill>
            <w14:solidFill>
              <w14:schemeClr w14:val="tx1"/>
            </w14:solidFill>
          </w14:textFill>
        </w:rPr>
      </w:pPr>
      <w:r>
        <w:rPr>
          <w:rFonts w:hint="eastAsia" w:ascii="方正小标宋_GBK" w:eastAsia="方正小标宋_GBK"/>
          <w:color w:val="000000" w:themeColor="text1"/>
          <w:sz w:val="36"/>
          <w:szCs w:val="36"/>
          <w14:textFill>
            <w14:solidFill>
              <w14:schemeClr w14:val="tx1"/>
            </w14:solidFill>
          </w14:textFill>
        </w:rPr>
        <w:t>二○二</w:t>
      </w:r>
      <w:r>
        <w:rPr>
          <w:rFonts w:hint="eastAsia" w:ascii="宋体" w:hAnsi="宋体" w:cs="宋体"/>
          <w:color w:val="000000" w:themeColor="text1"/>
          <w:sz w:val="36"/>
          <w:szCs w:val="36"/>
          <w14:textFill>
            <w14:solidFill>
              <w14:schemeClr w14:val="tx1"/>
            </w14:solidFill>
          </w14:textFill>
        </w:rPr>
        <w:t>五</w:t>
      </w:r>
      <w:r>
        <w:rPr>
          <w:rFonts w:hint="eastAsia" w:ascii="方正小标宋_GBK" w:eastAsia="方正小标宋_GBK"/>
          <w:color w:val="000000" w:themeColor="text1"/>
          <w:sz w:val="36"/>
          <w:szCs w:val="36"/>
          <w14:textFill>
            <w14:solidFill>
              <w14:schemeClr w14:val="tx1"/>
            </w14:solidFill>
          </w14:textFill>
        </w:rPr>
        <w:t>年</w:t>
      </w:r>
      <w:r>
        <w:rPr>
          <w:rFonts w:hint="eastAsia" w:ascii="方正小标宋_GBK" w:eastAsia="方正小标宋_GBK"/>
          <w:color w:val="000000" w:themeColor="text1"/>
          <w:sz w:val="36"/>
          <w:szCs w:val="36"/>
          <w:lang w:val="en-US" w:eastAsia="zh-CN"/>
          <w14:textFill>
            <w14:solidFill>
              <w14:schemeClr w14:val="tx1"/>
            </w14:solidFill>
          </w14:textFill>
        </w:rPr>
        <w:t>八</w:t>
      </w:r>
      <w:r>
        <w:rPr>
          <w:rFonts w:hint="eastAsia" w:ascii="方正小标宋_GBK" w:eastAsia="方正小标宋_GBK"/>
          <w:color w:val="000000" w:themeColor="text1"/>
          <w:sz w:val="36"/>
          <w:szCs w:val="36"/>
          <w14:textFill>
            <w14:solidFill>
              <w14:schemeClr w14:val="tx1"/>
            </w14:solidFill>
          </w14:textFill>
        </w:rPr>
        <w:t>月</w:t>
      </w:r>
    </w:p>
    <w:p w14:paraId="78E9D07E">
      <w:pPr>
        <w:snapToGrid w:val="0"/>
        <w:spacing w:line="500" w:lineRule="exact"/>
        <w:jc w:val="both"/>
        <w:rPr>
          <w:rFonts w:hint="eastAsia" w:ascii="方正仿宋_GBK" w:eastAsia="方正仿宋_GBK"/>
          <w:color w:val="000000" w:themeColor="text1"/>
          <w:sz w:val="4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7BE43DE3">
      <w:pPr>
        <w:pStyle w:val="11"/>
        <w:tabs>
          <w:tab w:val="right" w:leader="dot" w:pos="9412"/>
          <w:tab w:val="clear" w:pos="8400"/>
        </w:tabs>
        <w:ind w:left="0" w:firstLine="0" w:firstLineChars="0"/>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目  录</w:t>
      </w:r>
    </w:p>
    <w:p w14:paraId="7CEE039B">
      <w:pPr>
        <w:pStyle w:val="11"/>
        <w:tabs>
          <w:tab w:val="right" w:leader="dot" w:pos="9412"/>
          <w:tab w:val="clear" w:pos="8400"/>
        </w:tabs>
        <w:rPr>
          <w:color w:val="000000" w:themeColor="text1"/>
          <w14:textFill>
            <w14:solidFill>
              <w14:schemeClr w14:val="tx1"/>
            </w14:solidFill>
          </w14:textFill>
        </w:rPr>
      </w:pPr>
      <w:bookmarkStart w:id="0" w:name="_Toc13868"/>
      <w:bookmarkStart w:id="1" w:name="_Toc31066"/>
      <w:bookmarkStart w:id="2" w:name="_Toc76373863"/>
      <w:bookmarkStart w:id="3" w:name="_Toc1304"/>
      <w:bookmarkStart w:id="4" w:name="_Toc10059"/>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_Toc32680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一、采购项目基本情况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_Toc32680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F0F2B31">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_Toc25072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二、竞选人资格要求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_Toc25072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4E8493A">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_Toc11504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三、竞选有关规定及说明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_Toc11504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CD5ED42">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_Toc18133 </w:instrText>
      </w:r>
      <w:r>
        <w:rPr>
          <w:color w:val="000000" w:themeColor="text1"/>
          <w14:textFill>
            <w14:solidFill>
              <w14:schemeClr w14:val="tx1"/>
            </w14:solidFill>
          </w14:textFill>
        </w:rPr>
        <w:fldChar w:fldCharType="separate"/>
      </w:r>
      <w:r>
        <w:rPr>
          <w:rFonts w:hint="eastAsia" w:ascii="宋体" w:hAnsi="宋体" w:cs="宋体"/>
          <w:bCs/>
          <w:color w:val="000000" w:themeColor="text1"/>
          <w:szCs w:val="24"/>
          <w14:textFill>
            <w14:solidFill>
              <w14:schemeClr w14:val="tx1"/>
            </w14:solidFill>
          </w14:textFill>
        </w:rPr>
        <w:t>四、报名时间、地点、方式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_Toc18133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2622607">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_Toc22314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五、竞选文件递交与采购谈判时间、地点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_Toc22314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00C1CA5">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_Toc24589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六、联系方式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_Toc24589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029846D">
      <w:pPr>
        <w:pStyle w:val="10"/>
        <w:tabs>
          <w:tab w:val="right" w:leader="dot" w:pos="9412"/>
          <w:tab w:val="clear" w:pos="1260"/>
          <w:tab w:val="clear" w:pos="1685"/>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_Toc23532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36"/>
          <w14:textFill>
            <w14:solidFill>
              <w14:schemeClr w14:val="tx1"/>
            </w14:solidFill>
          </w14:textFill>
        </w:rPr>
        <w:t>第二篇 技术（质量）与商务需求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_Toc23532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C41C5F9">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_Toc6188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一、技术需求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_Toc6188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D3534D5">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_Toc14722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二、商务需求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5A0FE24">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_Toc25131 </w:instrText>
      </w:r>
      <w:r>
        <w:rPr>
          <w:color w:val="000000" w:themeColor="text1"/>
          <w14:textFill>
            <w14:solidFill>
              <w14:schemeClr w14:val="tx1"/>
            </w14:solidFill>
          </w14:textFill>
        </w:rPr>
        <w:fldChar w:fldCharType="separate"/>
      </w:r>
      <w:r>
        <w:rPr>
          <w:rFonts w:hint="eastAsia"/>
          <w:bCs/>
          <w:color w:val="000000" w:themeColor="text1"/>
          <w:szCs w:val="18"/>
          <w14:textFill>
            <w14:solidFill>
              <w14:schemeClr w14:val="tx1"/>
            </w14:solidFill>
          </w14:textFill>
        </w:rPr>
        <w:t>三、总体要求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1A93A5E">
      <w:pPr>
        <w:pStyle w:val="10"/>
        <w:tabs>
          <w:tab w:val="right" w:leader="dot" w:pos="9412"/>
          <w:tab w:val="clear" w:pos="1260"/>
          <w:tab w:val="clear" w:pos="1685"/>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_Toc21856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36"/>
          <w14:textFill>
            <w14:solidFill>
              <w14:schemeClr w14:val="tx1"/>
            </w14:solidFill>
          </w14:textFill>
        </w:rPr>
        <w:t>第三篇  资格审查及评价办法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_Toc21856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D5BA17B">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_Toc15011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一、资格审查及符合性审查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_Toc15011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4546140">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_Toc31457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二、评选方法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9B4A93A">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_Toc9221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三、评价标准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_Toc9221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6250A30">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_Toc32046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四、无效竞选条款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_Toc32046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1367F5F">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_Toc32104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五、废标条款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_Toc32104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47BC9FE">
      <w:pPr>
        <w:pStyle w:val="10"/>
        <w:tabs>
          <w:tab w:val="right" w:leader="dot" w:pos="9412"/>
          <w:tab w:val="clear" w:pos="1260"/>
          <w:tab w:val="clear" w:pos="1685"/>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_Toc32075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36"/>
          <w14:textFill>
            <w14:solidFill>
              <w14:schemeClr w14:val="tx1"/>
            </w14:solidFill>
          </w14:textFill>
        </w:rPr>
        <w:t xml:space="preserve">第四篇  </w:t>
      </w:r>
      <w:r>
        <w:rPr>
          <w:rFonts w:hint="eastAsia" w:ascii="宋体" w:hAnsi="宋体" w:cs="宋体"/>
          <w:bCs/>
          <w:color w:val="000000" w:themeColor="text1"/>
          <w:kern w:val="36"/>
          <w:szCs w:val="21"/>
          <w14:textFill>
            <w14:solidFill>
              <w14:schemeClr w14:val="tx1"/>
            </w14:solidFill>
          </w14:textFill>
        </w:rPr>
        <w:t>中选通知及合同签订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_Toc32075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EBDC6BC">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_Toc20703 </w:instrText>
      </w:r>
      <w:r>
        <w:rPr>
          <w:color w:val="000000" w:themeColor="text1"/>
          <w14:textFill>
            <w14:solidFill>
              <w14:schemeClr w14:val="tx1"/>
            </w14:solidFill>
          </w14:textFill>
        </w:rPr>
        <w:fldChar w:fldCharType="separate"/>
      </w:r>
      <w:r>
        <w:rPr>
          <w:rFonts w:hint="eastAsia" w:ascii="宋体" w:hAnsi="宋体" w:cs="宋体"/>
          <w:bCs/>
          <w:color w:val="000000" w:themeColor="text1"/>
          <w:szCs w:val="24"/>
          <w14:textFill>
            <w14:solidFill>
              <w14:schemeClr w14:val="tx1"/>
            </w14:solidFill>
          </w14:textFill>
        </w:rPr>
        <w:t>一</w:t>
      </w:r>
      <w:r>
        <w:rPr>
          <w:rFonts w:hint="eastAsia" w:cs="宋体"/>
          <w:color w:val="000000" w:themeColor="text1"/>
          <w14:textFill>
            <w14:solidFill>
              <w14:schemeClr w14:val="tx1"/>
            </w14:solidFill>
          </w14:textFill>
        </w:rPr>
        <w:t>、中选通知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_Toc20703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535D652">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 </w:instrText>
      </w:r>
      <w:r>
        <w:rPr>
          <w:color w:val="000000" w:themeColor="text1"/>
          <w14:textFill>
            <w14:solidFill>
              <w14:schemeClr w14:val="tx1"/>
            </w14:solidFill>
          </w14:textFill>
        </w:rPr>
        <w:fldChar w:fldCharType="separate"/>
      </w:r>
      <w:r>
        <w:rPr>
          <w:rFonts w:hint="eastAsia" w:ascii="宋体" w:hAnsi="宋体" w:cs="宋体"/>
          <w:bCs/>
          <w:color w:val="000000" w:themeColor="text1"/>
          <w:szCs w:val="24"/>
          <w14:textFill>
            <w14:solidFill>
              <w14:schemeClr w14:val="tx1"/>
            </w14:solidFill>
          </w14:textFill>
        </w:rPr>
        <w:t>二、采购人有拒绝任何或所有竞选的权力</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1E94361">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_Toc23932 </w:instrText>
      </w:r>
      <w:r>
        <w:rPr>
          <w:color w:val="000000" w:themeColor="text1"/>
          <w14:textFill>
            <w14:solidFill>
              <w14:schemeClr w14:val="tx1"/>
            </w14:solidFill>
          </w14:textFill>
        </w:rPr>
        <w:fldChar w:fldCharType="separate"/>
      </w:r>
      <w:r>
        <w:rPr>
          <w:rFonts w:hint="eastAsia" w:ascii="宋体" w:hAnsi="宋体" w:cs="宋体"/>
          <w:bCs/>
          <w:color w:val="000000" w:themeColor="text1"/>
          <w:szCs w:val="24"/>
          <w14:textFill>
            <w14:solidFill>
              <w14:schemeClr w14:val="tx1"/>
            </w14:solidFill>
          </w14:textFill>
        </w:rPr>
        <w:t>三、合同协议书的签订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_Toc23932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1B55D2C">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_Toc30283 </w:instrText>
      </w:r>
      <w:r>
        <w:rPr>
          <w:color w:val="000000" w:themeColor="text1"/>
          <w14:textFill>
            <w14:solidFill>
              <w14:schemeClr w14:val="tx1"/>
            </w14:solidFill>
          </w14:textFill>
        </w:rPr>
        <w:fldChar w:fldCharType="separate"/>
      </w:r>
      <w:r>
        <w:rPr>
          <w:rFonts w:hint="eastAsia" w:ascii="宋体" w:hAnsi="宋体" w:cs="宋体"/>
          <w:bCs/>
          <w:color w:val="000000" w:themeColor="text1"/>
          <w:szCs w:val="24"/>
          <w14:textFill>
            <w14:solidFill>
              <w14:schemeClr w14:val="tx1"/>
            </w14:solidFill>
          </w14:textFill>
        </w:rPr>
        <w:t>四、其它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_Toc30283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DC36585">
      <w:pPr>
        <w:pStyle w:val="10"/>
        <w:tabs>
          <w:tab w:val="right" w:leader="dot" w:pos="9412"/>
          <w:tab w:val="clear" w:pos="1260"/>
          <w:tab w:val="clear" w:pos="1685"/>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_Toc617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40"/>
          <w14:textFill>
            <w14:solidFill>
              <w14:schemeClr w14:val="tx1"/>
            </w14:solidFill>
          </w14:textFill>
        </w:rPr>
        <w:t>第</w:t>
      </w:r>
      <w:r>
        <w:rPr>
          <w:rFonts w:hint="eastAsia" w:ascii="宋体" w:hAnsi="宋体" w:cs="宋体"/>
          <w:color w:val="000000" w:themeColor="text1"/>
          <w:szCs w:val="40"/>
          <w:lang w:val="en-US" w:eastAsia="zh-CN"/>
          <w14:textFill>
            <w14:solidFill>
              <w14:schemeClr w14:val="tx1"/>
            </w14:solidFill>
          </w14:textFill>
        </w:rPr>
        <w:t>五</w:t>
      </w:r>
      <w:r>
        <w:rPr>
          <w:rFonts w:hint="eastAsia" w:ascii="宋体" w:hAnsi="宋体" w:cs="宋体"/>
          <w:color w:val="000000" w:themeColor="text1"/>
          <w:szCs w:val="40"/>
          <w14:textFill>
            <w14:solidFill>
              <w14:schemeClr w14:val="tx1"/>
            </w14:solidFill>
          </w14:textFill>
        </w:rPr>
        <w:t>篇  采购文件格式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5E10C84">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_Toc7098 </w:instrText>
      </w:r>
      <w:r>
        <w:rPr>
          <w:color w:val="000000" w:themeColor="text1"/>
          <w14:textFill>
            <w14:solidFill>
              <w14:schemeClr w14:val="tx1"/>
            </w14:solidFill>
          </w14:textFill>
        </w:rPr>
        <w:fldChar w:fldCharType="separate"/>
      </w:r>
      <w:r>
        <w:rPr>
          <w:rFonts w:hint="eastAsia" w:cs="宋体"/>
          <w:color w:val="000000" w:themeColor="text1"/>
          <w:szCs w:val="28"/>
          <w14:textFill>
            <w14:solidFill>
              <w14:schemeClr w14:val="tx1"/>
            </w14:solidFill>
          </w14:textFill>
        </w:rPr>
        <w:t>一、经济文件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375CCA8">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_Toc15588 </w:instrText>
      </w:r>
      <w:r>
        <w:rPr>
          <w:color w:val="000000" w:themeColor="text1"/>
          <w14:textFill>
            <w14:solidFill>
              <w14:schemeClr w14:val="tx1"/>
            </w14:solidFill>
          </w14:textFill>
        </w:rPr>
        <w:fldChar w:fldCharType="separate"/>
      </w:r>
      <w:r>
        <w:rPr>
          <w:rFonts w:hint="eastAsia" w:cs="宋体"/>
          <w:color w:val="000000" w:themeColor="text1"/>
          <w:szCs w:val="28"/>
          <w14:textFill>
            <w14:solidFill>
              <w14:schemeClr w14:val="tx1"/>
            </w14:solidFill>
          </w14:textFill>
        </w:rPr>
        <w:t>二、技术（质量）文件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AE3F455">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_Toc9959 </w:instrText>
      </w:r>
      <w:r>
        <w:rPr>
          <w:color w:val="000000" w:themeColor="text1"/>
          <w14:textFill>
            <w14:solidFill>
              <w14:schemeClr w14:val="tx1"/>
            </w14:solidFill>
          </w14:textFill>
        </w:rPr>
        <w:fldChar w:fldCharType="separate"/>
      </w:r>
      <w:r>
        <w:rPr>
          <w:rFonts w:hint="eastAsia" w:cs="宋体"/>
          <w:color w:val="000000" w:themeColor="text1"/>
          <w:szCs w:val="28"/>
          <w14:textFill>
            <w14:solidFill>
              <w14:schemeClr w14:val="tx1"/>
            </w14:solidFill>
          </w14:textFill>
        </w:rPr>
        <w:t>三、商务文件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_Toc9959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ACAAA0E">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_Toc12169 </w:instrText>
      </w:r>
      <w:r>
        <w:rPr>
          <w:color w:val="000000" w:themeColor="text1"/>
          <w14:textFill>
            <w14:solidFill>
              <w14:schemeClr w14:val="tx1"/>
            </w14:solidFill>
          </w14:textFill>
        </w:rPr>
        <w:fldChar w:fldCharType="separate"/>
      </w:r>
      <w:r>
        <w:rPr>
          <w:rFonts w:hint="eastAsia" w:cs="宋体"/>
          <w:color w:val="000000" w:themeColor="text1"/>
          <w:szCs w:val="28"/>
          <w14:textFill>
            <w14:solidFill>
              <w14:schemeClr w14:val="tx1"/>
            </w14:solidFill>
          </w14:textFill>
        </w:rPr>
        <w:t>四、资格文件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_Toc12169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0C38C51">
      <w:pPr>
        <w:pStyle w:val="11"/>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_Toc29717 </w:instrText>
      </w:r>
      <w:r>
        <w:rPr>
          <w:color w:val="000000" w:themeColor="text1"/>
          <w14:textFill>
            <w14:solidFill>
              <w14:schemeClr w14:val="tx1"/>
            </w14:solidFill>
          </w14:textFill>
        </w:rPr>
        <w:fldChar w:fldCharType="separate"/>
      </w:r>
      <w:r>
        <w:rPr>
          <w:rFonts w:hint="eastAsia" w:cs="宋体"/>
          <w:color w:val="000000" w:themeColor="text1"/>
          <w:szCs w:val="28"/>
          <w14:textFill>
            <w14:solidFill>
              <w14:schemeClr w14:val="tx1"/>
            </w14:solidFill>
          </w14:textFill>
        </w:rPr>
        <w:t>五、商业活动廉洁经营承诺书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_Toc29717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5E9C1E">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14:paraId="2FA29A50">
      <w:pPr>
        <w:pStyle w:val="11"/>
        <w:tabs>
          <w:tab w:val="right" w:leader="dot" w:pos="9412"/>
          <w:tab w:val="clear" w:pos="8400"/>
        </w:tabs>
        <w:ind w:left="0" w:firstLine="0" w:firstLineChars="0"/>
        <w:jc w:val="center"/>
        <w:rPr>
          <w:rFonts w:hint="eastAsia" w:ascii="宋体" w:hAnsi="宋体" w:cs="宋体"/>
          <w:b/>
          <w:color w:val="000000" w:themeColor="text1"/>
          <w:szCs w:val="36"/>
          <w14:textFill>
            <w14:solidFill>
              <w14:schemeClr w14:val="tx1"/>
            </w14:solidFill>
          </w14:textFill>
        </w:rPr>
      </w:pPr>
      <w:r>
        <w:rPr>
          <w:rFonts w:hint="eastAsia" w:ascii="宋体" w:hAnsi="宋体" w:cs="宋体"/>
          <w:color w:val="000000" w:themeColor="text1"/>
          <w:szCs w:val="24"/>
          <w14:textFill>
            <w14:solidFill>
              <w14:schemeClr w14:val="tx1"/>
            </w14:solidFill>
          </w14:textFill>
        </w:rPr>
        <w:br w:type="column"/>
      </w:r>
      <w:bookmarkStart w:id="5" w:name="_Toc10781"/>
      <w:r>
        <w:rPr>
          <w:rFonts w:hint="eastAsia" w:ascii="宋体" w:hAnsi="宋体" w:cs="宋体"/>
          <w:b/>
          <w:color w:val="000000" w:themeColor="text1"/>
          <w:sz w:val="36"/>
          <w:szCs w:val="48"/>
          <w14:textFill>
            <w14:solidFill>
              <w14:schemeClr w14:val="tx1"/>
            </w14:solidFill>
          </w14:textFill>
        </w:rPr>
        <w:t>第一篇 采购邀请书</w:t>
      </w:r>
      <w:bookmarkEnd w:id="0"/>
      <w:bookmarkEnd w:id="1"/>
      <w:bookmarkEnd w:id="2"/>
      <w:bookmarkEnd w:id="3"/>
      <w:bookmarkEnd w:id="4"/>
      <w:bookmarkEnd w:id="5"/>
    </w:p>
    <w:p w14:paraId="053C9B27">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重庆医科大学附属第二医院须</w:t>
      </w:r>
      <w:r>
        <w:rPr>
          <w:rFonts w:hint="eastAsia" w:ascii="宋体" w:hAnsi="宋体" w:cs="宋体"/>
          <w:color w:val="000000" w:themeColor="text1"/>
          <w:sz w:val="24"/>
          <w:szCs w:val="24"/>
          <w:lang w:val="en-US" w:eastAsia="zh-CN"/>
          <w14:textFill>
            <w14:solidFill>
              <w14:schemeClr w14:val="tx1"/>
            </w14:solidFill>
          </w14:textFill>
        </w:rPr>
        <w:t>开发线上中医馆并与现有体系相对接，打造医师个人IP等服务</w:t>
      </w:r>
      <w:r>
        <w:rPr>
          <w:rFonts w:hint="eastAsia" w:ascii="宋体" w:hAnsi="宋体" w:cs="宋体"/>
          <w:color w:val="000000" w:themeColor="text1"/>
          <w:sz w:val="24"/>
          <w:szCs w:val="24"/>
          <w14:textFill>
            <w14:solidFill>
              <w14:schemeClr w14:val="tx1"/>
            </w14:solidFill>
          </w14:textFill>
        </w:rPr>
        <w:t>，现邀请具有能力提供本采购项目的合格供应商参与竞选。</w:t>
      </w:r>
    </w:p>
    <w:p w14:paraId="00C928CE">
      <w:pPr>
        <w:widowControl/>
        <w:spacing w:line="400" w:lineRule="exact"/>
        <w:jc w:val="both"/>
        <w:outlineLvl w:val="1"/>
        <w:rPr>
          <w:rFonts w:hint="eastAsia" w:ascii="宋体" w:hAnsi="宋体" w:cs="宋体"/>
          <w:b/>
          <w:color w:val="000000" w:themeColor="text1"/>
          <w:sz w:val="24"/>
          <w14:textFill>
            <w14:solidFill>
              <w14:schemeClr w14:val="tx1"/>
            </w14:solidFill>
          </w14:textFill>
        </w:rPr>
      </w:pPr>
      <w:permStart w:id="1" w:edGrp="everyone"/>
      <w:bookmarkStart w:id="6" w:name="_Toc22435"/>
      <w:bookmarkStart w:id="7" w:name="_Toc76373864"/>
      <w:bookmarkStart w:id="8" w:name="_Toc28264"/>
      <w:bookmarkStart w:id="9" w:name="_Toc15376"/>
      <w:bookmarkStart w:id="10" w:name="_Toc5909"/>
      <w:bookmarkStart w:id="11" w:name="_Toc32680"/>
      <w:bookmarkStart w:id="12" w:name="_Toc11603"/>
      <w:r>
        <w:rPr>
          <w:rFonts w:hint="eastAsia" w:ascii="宋体" w:hAnsi="宋体" w:cs="宋体"/>
          <w:b/>
          <w:color w:val="000000" w:themeColor="text1"/>
          <w:sz w:val="24"/>
          <w14:textFill>
            <w14:solidFill>
              <w14:schemeClr w14:val="tx1"/>
            </w14:solidFill>
          </w14:textFill>
        </w:rPr>
        <w:t>一、采购项目</w:t>
      </w:r>
      <w:bookmarkEnd w:id="6"/>
      <w:bookmarkEnd w:id="7"/>
      <w:bookmarkEnd w:id="8"/>
      <w:bookmarkEnd w:id="9"/>
      <w:bookmarkEnd w:id="10"/>
      <w:r>
        <w:rPr>
          <w:rFonts w:hint="eastAsia" w:ascii="宋体" w:hAnsi="宋体" w:cs="宋体"/>
          <w:b/>
          <w:color w:val="000000" w:themeColor="text1"/>
          <w:sz w:val="24"/>
          <w14:textFill>
            <w14:solidFill>
              <w14:schemeClr w14:val="tx1"/>
            </w14:solidFill>
          </w14:textFill>
        </w:rPr>
        <w:t>基本情况</w:t>
      </w:r>
      <w:bookmarkEnd w:id="11"/>
      <w:bookmarkEnd w:id="12"/>
    </w:p>
    <w:p w14:paraId="41FF2CCA">
      <w:pPr>
        <w:widowControl/>
        <w:spacing w:line="400" w:lineRule="exact"/>
        <w:ind w:firstLine="480" w:firstLineChars="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val="en-US" w:eastAsia="zh-CN"/>
          <w14:textFill>
            <w14:solidFill>
              <w14:schemeClr w14:val="tx1"/>
            </w14:solidFill>
          </w14:textFill>
        </w:rPr>
        <w:t>线上中医馆开发及个人宣传服务</w:t>
      </w:r>
    </w:p>
    <w:p w14:paraId="4AA965EB">
      <w:pPr>
        <w:widowControl/>
        <w:spacing w:line="400" w:lineRule="exact"/>
        <w:ind w:firstLine="480" w:firstLineChars="200"/>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采购方式：</w:t>
      </w:r>
      <w:r>
        <w:rPr>
          <w:rFonts w:hint="eastAsia" w:ascii="宋体" w:hAnsi="宋体" w:cs="宋体"/>
          <w:color w:val="000000" w:themeColor="text1"/>
          <w:sz w:val="24"/>
          <w:szCs w:val="24"/>
          <w:lang w:val="en-US" w:eastAsia="zh-CN"/>
          <w14:textFill>
            <w14:solidFill>
              <w14:schemeClr w14:val="tx1"/>
            </w14:solidFill>
          </w14:textFill>
        </w:rPr>
        <w:t>公开比选</w:t>
      </w:r>
    </w:p>
    <w:p w14:paraId="1F53B6F4">
      <w:pPr>
        <w:widowControl/>
        <w:spacing w:line="400" w:lineRule="exact"/>
        <w:ind w:firstLine="480" w:firstLineChars="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评价方式：综合评分法</w:t>
      </w:r>
    </w:p>
    <w:p w14:paraId="5CD95463">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报价方式：可二次报价</w:t>
      </w:r>
    </w:p>
    <w:p w14:paraId="15EA5F33">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采购需求：</w:t>
      </w:r>
    </w:p>
    <w:tbl>
      <w:tblPr>
        <w:tblStyle w:val="15"/>
        <w:tblW w:w="9661"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441"/>
        <w:gridCol w:w="1200"/>
        <w:gridCol w:w="953"/>
        <w:gridCol w:w="1024"/>
        <w:gridCol w:w="1435"/>
        <w:gridCol w:w="1687"/>
      </w:tblGrid>
      <w:tr w14:paraId="587B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21" w:type="dxa"/>
            <w:noWrap w:val="0"/>
            <w:vAlign w:val="center"/>
          </w:tcPr>
          <w:p w14:paraId="14AB0BA0">
            <w:pPr>
              <w:widowControl/>
              <w:spacing w:line="400" w:lineRule="exact"/>
              <w:jc w:val="center"/>
              <w:rPr>
                <w:rFonts w:hint="eastAsia" w:ascii="宋体" w:hAnsi="宋体" w:cs="宋体"/>
                <w:color w:val="000000" w:themeColor="text1"/>
                <w:sz w:val="24"/>
                <w:szCs w:val="24"/>
                <w14:textFill>
                  <w14:solidFill>
                    <w14:schemeClr w14:val="tx1"/>
                  </w14:solidFill>
                </w14:textFill>
              </w:rPr>
            </w:pPr>
            <w:bookmarkStart w:id="13" w:name="_Toc22707"/>
            <w:bookmarkStart w:id="14" w:name="_Toc5838"/>
            <w:bookmarkStart w:id="15" w:name="_Toc18060"/>
            <w:bookmarkStart w:id="16" w:name="_Toc22129"/>
            <w:bookmarkStart w:id="17" w:name="_Toc76373865"/>
            <w:r>
              <w:rPr>
                <w:rFonts w:hint="eastAsia" w:ascii="宋体" w:hAnsi="宋体" w:cs="宋体"/>
                <w:color w:val="000000" w:themeColor="text1"/>
                <w:sz w:val="24"/>
                <w:szCs w:val="24"/>
                <w14:textFill>
                  <w14:solidFill>
                    <w14:schemeClr w14:val="tx1"/>
                  </w14:solidFill>
                </w14:textFill>
              </w:rPr>
              <w:t>分包序号</w:t>
            </w:r>
          </w:p>
        </w:tc>
        <w:tc>
          <w:tcPr>
            <w:tcW w:w="2441" w:type="dxa"/>
            <w:noWrap w:val="0"/>
            <w:vAlign w:val="center"/>
          </w:tcPr>
          <w:p w14:paraId="0471DF1E">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w:t>
            </w:r>
          </w:p>
        </w:tc>
        <w:tc>
          <w:tcPr>
            <w:tcW w:w="1200" w:type="dxa"/>
            <w:noWrap w:val="0"/>
            <w:vAlign w:val="center"/>
          </w:tcPr>
          <w:p w14:paraId="75D95E6F">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最高限价</w:t>
            </w:r>
          </w:p>
          <w:p w14:paraId="6B0795DB">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（万元）</w:t>
            </w:r>
          </w:p>
        </w:tc>
        <w:tc>
          <w:tcPr>
            <w:tcW w:w="953" w:type="dxa"/>
            <w:noWrap w:val="0"/>
            <w:vAlign w:val="center"/>
          </w:tcPr>
          <w:p w14:paraId="58E7AE8A">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024" w:type="dxa"/>
            <w:noWrap w:val="0"/>
            <w:vAlign w:val="center"/>
          </w:tcPr>
          <w:p w14:paraId="43BBB60E">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1435" w:type="dxa"/>
            <w:noWrap w:val="0"/>
            <w:vAlign w:val="center"/>
          </w:tcPr>
          <w:p w14:paraId="012156CF">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成交供应商(个）</w:t>
            </w:r>
          </w:p>
        </w:tc>
        <w:tc>
          <w:tcPr>
            <w:tcW w:w="1687" w:type="dxa"/>
            <w:noWrap w:val="0"/>
            <w:vAlign w:val="center"/>
          </w:tcPr>
          <w:p w14:paraId="62A0DC71">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需求部门</w:t>
            </w:r>
          </w:p>
        </w:tc>
      </w:tr>
      <w:tr w14:paraId="491A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21" w:type="dxa"/>
            <w:noWrap w:val="0"/>
            <w:vAlign w:val="center"/>
          </w:tcPr>
          <w:p w14:paraId="7653E411">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441" w:type="dxa"/>
            <w:noWrap w:val="0"/>
            <w:vAlign w:val="center"/>
          </w:tcPr>
          <w:p w14:paraId="2201C616">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线上中医馆开发及个人宣传服务</w:t>
            </w:r>
          </w:p>
        </w:tc>
        <w:tc>
          <w:tcPr>
            <w:tcW w:w="1200" w:type="dxa"/>
            <w:noWrap w:val="0"/>
            <w:vAlign w:val="center"/>
          </w:tcPr>
          <w:p w14:paraId="326BB735">
            <w:pPr>
              <w:widowControl/>
              <w:spacing w:line="4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28</w:t>
            </w:r>
          </w:p>
        </w:tc>
        <w:tc>
          <w:tcPr>
            <w:tcW w:w="953" w:type="dxa"/>
            <w:noWrap w:val="0"/>
            <w:vAlign w:val="center"/>
          </w:tcPr>
          <w:p w14:paraId="26774621">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024" w:type="dxa"/>
            <w:noWrap w:val="0"/>
            <w:vAlign w:val="center"/>
          </w:tcPr>
          <w:p w14:paraId="5DD99FE1">
            <w:pPr>
              <w:widowControl/>
              <w:spacing w:line="400" w:lineRule="exact"/>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套</w:t>
            </w:r>
          </w:p>
        </w:tc>
        <w:tc>
          <w:tcPr>
            <w:tcW w:w="1435" w:type="dxa"/>
            <w:noWrap w:val="0"/>
            <w:vAlign w:val="center"/>
          </w:tcPr>
          <w:p w14:paraId="6A67B81E">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687" w:type="dxa"/>
            <w:noWrap w:val="0"/>
            <w:vAlign w:val="center"/>
          </w:tcPr>
          <w:p w14:paraId="3BC9CD43">
            <w:pPr>
              <w:widowControl/>
              <w:spacing w:line="4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信息中 心、中西医结合科</w:t>
            </w:r>
          </w:p>
        </w:tc>
      </w:tr>
    </w:tbl>
    <w:p w14:paraId="7886D949">
      <w:pPr>
        <w:widowControl/>
        <w:spacing w:line="40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w:t>
      </w:r>
      <w:r>
        <w:rPr>
          <w:rFonts w:hint="eastAsia" w:ascii="宋体" w:hAnsi="宋体" w:eastAsia="宋体" w:cs="宋体"/>
          <w:color w:val="000000" w:themeColor="text1"/>
          <w:sz w:val="24"/>
          <w:szCs w:val="24"/>
          <w14:textFill>
            <w14:solidFill>
              <w14:schemeClr w14:val="tx1"/>
            </w14:solidFill>
          </w14:textFill>
        </w:rPr>
        <w:t>本项目是/否接受联合竞选：否</w:t>
      </w:r>
      <w:bookmarkEnd w:id="13"/>
      <w:bookmarkEnd w:id="14"/>
      <w:bookmarkEnd w:id="15"/>
      <w:bookmarkEnd w:id="16"/>
      <w:bookmarkEnd w:id="17"/>
    </w:p>
    <w:permEnd w:id="1"/>
    <w:p w14:paraId="23AC7068">
      <w:pPr>
        <w:widowControl/>
        <w:spacing w:line="400" w:lineRule="exact"/>
        <w:jc w:val="both"/>
        <w:outlineLvl w:val="1"/>
        <w:rPr>
          <w:rFonts w:hint="eastAsia" w:ascii="宋体" w:hAnsi="宋体" w:cs="宋体"/>
          <w:b/>
          <w:color w:val="000000" w:themeColor="text1"/>
          <w:sz w:val="24"/>
          <w14:textFill>
            <w14:solidFill>
              <w14:schemeClr w14:val="tx1"/>
            </w14:solidFill>
          </w14:textFill>
        </w:rPr>
      </w:pPr>
      <w:bookmarkStart w:id="18" w:name="_Toc76373866"/>
      <w:bookmarkStart w:id="19" w:name="_Toc25496"/>
      <w:bookmarkStart w:id="20" w:name="_Toc3434"/>
      <w:bookmarkStart w:id="21" w:name="_Toc10137"/>
      <w:bookmarkStart w:id="22" w:name="_Toc30358"/>
      <w:bookmarkStart w:id="23" w:name="_Toc25072"/>
      <w:bookmarkStart w:id="24" w:name="_Toc26504"/>
      <w:r>
        <w:rPr>
          <w:rFonts w:hint="eastAsia" w:ascii="宋体" w:hAnsi="宋体" w:cs="宋体"/>
          <w:b/>
          <w:color w:val="000000" w:themeColor="text1"/>
          <w:sz w:val="24"/>
          <w14:textFill>
            <w14:solidFill>
              <w14:schemeClr w14:val="tx1"/>
            </w14:solidFill>
          </w14:textFill>
        </w:rPr>
        <w:t>二、竞选人资格要求</w:t>
      </w:r>
      <w:bookmarkEnd w:id="18"/>
      <w:bookmarkEnd w:id="19"/>
      <w:bookmarkEnd w:id="20"/>
      <w:bookmarkEnd w:id="21"/>
      <w:bookmarkEnd w:id="22"/>
      <w:bookmarkEnd w:id="23"/>
      <w:bookmarkEnd w:id="24"/>
    </w:p>
    <w:p w14:paraId="3CA659A2">
      <w:pPr>
        <w:widowControl/>
        <w:spacing w:line="400" w:lineRule="exact"/>
        <w:ind w:firstLine="480" w:firstLineChars="200"/>
        <w:jc w:val="both"/>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竞选人</w:t>
      </w:r>
      <w:r>
        <w:rPr>
          <w:rFonts w:hint="eastAsia" w:ascii="宋体" w:hAnsi="宋体" w:cs="宋体"/>
          <w:bCs/>
          <w:color w:val="000000" w:themeColor="text1"/>
          <w:sz w:val="24"/>
          <w:szCs w:val="24"/>
          <w14:textFill>
            <w14:solidFill>
              <w14:schemeClr w14:val="tx1"/>
            </w14:solidFill>
          </w14:textFill>
        </w:rPr>
        <w:t>应首先符合政府采购法第二十二条规定的基本资格条件，同时符合根据该项目特殊要求设置的特定资格条件。</w:t>
      </w:r>
    </w:p>
    <w:p w14:paraId="7D11C22B">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1.基本资格条件</w:t>
      </w:r>
    </w:p>
    <w:p w14:paraId="120AC625">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（1）具有独立承担民事责任的能力</w:t>
      </w:r>
    </w:p>
    <w:p w14:paraId="157C2249">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14:paraId="78DB2B50">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14:paraId="76342545">
      <w:pPr>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（4）有依法缴纳税收和社会保障资金的良好记录；</w:t>
      </w:r>
    </w:p>
    <w:p w14:paraId="1814D6F1">
      <w:pPr>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（5）参加政府采购活动前三年内，在经营活动中没有重大违法记录；</w:t>
      </w:r>
    </w:p>
    <w:p w14:paraId="7689203C">
      <w:pPr>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（6）法律、行政法规规定的其他条件。</w:t>
      </w:r>
    </w:p>
    <w:p w14:paraId="71BC6F6B">
      <w:pPr>
        <w:overflowPunct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permStart w:id="2" w:edGrp="everyone"/>
      <w:r>
        <w:rPr>
          <w:rFonts w:hint="eastAsia" w:ascii="宋体" w:hAnsi="宋体" w:cs="宋体"/>
          <w:color w:val="000000" w:themeColor="text1"/>
          <w:sz w:val="24"/>
          <w:szCs w:val="24"/>
          <w14:textFill>
            <w14:solidFill>
              <w14:schemeClr w14:val="tx1"/>
            </w14:solidFill>
          </w14:textFill>
        </w:rPr>
        <w:t>2.特定资质条件</w:t>
      </w:r>
    </w:p>
    <w:p w14:paraId="27FBA440">
      <w:pPr>
        <w:pStyle w:val="12"/>
        <w:ind w:firstLine="480" w:firstLineChars="200"/>
        <w:jc w:val="both"/>
        <w:rPr>
          <w:rFonts w:hint="eastAsia" w:eastAsia="宋体"/>
          <w:color w:val="000000" w:themeColor="text1"/>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（1）竞选人须具备信息相应的营业资质</w:t>
      </w:r>
      <w:r>
        <w:rPr>
          <w:rFonts w:hint="eastAsia" w:ascii="宋体" w:hAnsi="宋体" w:cs="宋体"/>
          <w:color w:val="000000" w:themeColor="text1"/>
          <w:sz w:val="24"/>
          <w:szCs w:val="24"/>
          <w:lang w:eastAsia="zh-CN"/>
          <w14:textFill>
            <w14:solidFill>
              <w14:schemeClr w14:val="tx1"/>
            </w14:solidFill>
          </w14:textFill>
        </w:rPr>
        <w:t>。</w:t>
      </w:r>
    </w:p>
    <w:permEnd w:id="2"/>
    <w:p w14:paraId="60E348F2">
      <w:pPr>
        <w:overflowPunct w:val="0"/>
        <w:spacing w:line="400" w:lineRule="exact"/>
        <w:jc w:val="both"/>
        <w:outlineLvl w:val="1"/>
        <w:rPr>
          <w:rFonts w:ascii="宋体" w:hAnsi="宋体" w:cs="宋体"/>
          <w:b/>
          <w:color w:val="000000" w:themeColor="text1"/>
          <w:sz w:val="24"/>
          <w14:textFill>
            <w14:solidFill>
              <w14:schemeClr w14:val="tx1"/>
            </w14:solidFill>
          </w14:textFill>
        </w:rPr>
      </w:pPr>
      <w:bookmarkStart w:id="25" w:name="_Toc2529"/>
      <w:bookmarkStart w:id="26" w:name="_Toc11504"/>
      <w:r>
        <w:rPr>
          <w:rFonts w:hint="eastAsia" w:ascii="宋体" w:hAnsi="宋体" w:cs="宋体"/>
          <w:b/>
          <w:color w:val="000000" w:themeColor="text1"/>
          <w:sz w:val="24"/>
          <w14:textFill>
            <w14:solidFill>
              <w14:schemeClr w14:val="tx1"/>
            </w14:solidFill>
          </w14:textFill>
        </w:rPr>
        <w:t>三、竞选有关规定</w:t>
      </w:r>
      <w:bookmarkEnd w:id="25"/>
      <w:r>
        <w:rPr>
          <w:rFonts w:hint="eastAsia" w:ascii="宋体" w:hAnsi="宋体" w:cs="宋体"/>
          <w:b/>
          <w:color w:val="000000" w:themeColor="text1"/>
          <w:sz w:val="24"/>
          <w14:textFill>
            <w14:solidFill>
              <w14:schemeClr w14:val="tx1"/>
            </w14:solidFill>
          </w14:textFill>
        </w:rPr>
        <w:t>及说明</w:t>
      </w:r>
      <w:bookmarkEnd w:id="26"/>
    </w:p>
    <w:p w14:paraId="7224B752">
      <w:pPr>
        <w:keepNext/>
        <w:overflowPunct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1、单位负责人为同一人或者存在直接控股、管理关系的不同供应商，不得参加同一合同项的采购活动。</w:t>
      </w:r>
    </w:p>
    <w:p w14:paraId="46C7BA67">
      <w:pPr>
        <w:keepNext/>
        <w:overflowPunct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2、为采购项目提供整体设计、规范编制或者项目管理、监理、检测等服务的供应商，不得再参加该采购项目的其他采购活动。</w:t>
      </w:r>
    </w:p>
    <w:p w14:paraId="1D9BA82F">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3、同一合同项（分包）下的货物，制造商参与竞选的，不得再委托代理商参与竞选。</w:t>
      </w:r>
    </w:p>
    <w:p w14:paraId="0360D62E">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4、竞选货物必须符合国家标准、行业标准和专业标准等相关标准。</w:t>
      </w:r>
    </w:p>
    <w:p w14:paraId="321150F0">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5、截至采购活动正式开始前，采购人所作出的一切书面或官网发布的更正、修改、补充说明、答疑等内容，都是采购文件不可分割的组成部分。</w:t>
      </w:r>
    </w:p>
    <w:p w14:paraId="6F86DD42">
      <w:pPr>
        <w:pStyle w:val="13"/>
        <w:spacing w:before="0" w:beforeAutospacing="0" w:after="0" w:afterAutospacing="0" w:line="400" w:lineRule="exact"/>
        <w:ind w:firstLine="480" w:firstLineChars="2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6、报名单位名称必须与竞选人名称相同，只有按上述资格规定报名后，才具备采购准入资格。</w:t>
      </w:r>
    </w:p>
    <w:p w14:paraId="78733E85">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77FD5C26">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8、超过报名截止时间递交的竞选文件、不按本采购文件规定制作和密封的竞选文件，恕不接收。</w:t>
      </w:r>
    </w:p>
    <w:p w14:paraId="7F87755E">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9、采购文件中涉及的“采购人”系指本次组织竞选的重庆医科大学附属第二医院；</w:t>
      </w:r>
    </w:p>
    <w:p w14:paraId="56D6AD1A">
      <w:pPr>
        <w:widowControl/>
        <w:spacing w:line="400" w:lineRule="exact"/>
        <w:ind w:firstLine="480" w:firstLineChars="200"/>
        <w:jc w:val="both"/>
        <w:rPr>
          <w:rFonts w:hint="eastAsia"/>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10、“供应商”“竞选人”“中选人”是指拟参加竞选和向采购人提供货物及相应服务的供应商。</w:t>
      </w:r>
    </w:p>
    <w:p w14:paraId="4FFBBDF6">
      <w:pPr>
        <w:widowControl/>
        <w:spacing w:line="400" w:lineRule="exact"/>
        <w:jc w:val="both"/>
        <w:outlineLvl w:val="1"/>
        <w:rPr>
          <w:rFonts w:hint="eastAsia" w:ascii="宋体" w:hAnsi="宋体" w:cs="宋体"/>
          <w:b/>
          <w:bCs/>
          <w:color w:val="000000" w:themeColor="text1"/>
          <w:sz w:val="24"/>
          <w:szCs w:val="24"/>
          <w14:textFill>
            <w14:solidFill>
              <w14:schemeClr w14:val="tx1"/>
            </w14:solidFill>
          </w14:textFill>
        </w:rPr>
      </w:pPr>
      <w:bookmarkStart w:id="27" w:name="_Toc6749"/>
      <w:bookmarkStart w:id="28" w:name="_Toc18133"/>
      <w:bookmarkStart w:id="29" w:name="_Toc7527"/>
      <w:bookmarkStart w:id="30" w:name="_Toc28099"/>
      <w:bookmarkStart w:id="31" w:name="_Toc654"/>
      <w:bookmarkStart w:id="32" w:name="_Toc18799"/>
      <w:r>
        <w:rPr>
          <w:rFonts w:hint="eastAsia" w:ascii="宋体" w:hAnsi="宋体" w:cs="宋体"/>
          <w:b/>
          <w:bCs/>
          <w:color w:val="000000" w:themeColor="text1"/>
          <w:sz w:val="24"/>
          <w:szCs w:val="24"/>
          <w14:textFill>
            <w14:solidFill>
              <w14:schemeClr w14:val="tx1"/>
            </w14:solidFill>
          </w14:textFill>
        </w:rPr>
        <w:t>四、报名时间、地点、方式</w:t>
      </w:r>
      <w:bookmarkEnd w:id="27"/>
      <w:bookmarkEnd w:id="28"/>
    </w:p>
    <w:p w14:paraId="17C2FCC8">
      <w:pPr>
        <w:pStyle w:val="13"/>
        <w:spacing w:before="0" w:beforeAutospacing="0" w:after="0" w:afterAutospacing="0" w:line="400" w:lineRule="exact"/>
        <w:ind w:firstLine="480" w:firstLineChars="200"/>
        <w:jc w:val="both"/>
        <w:rPr>
          <w:rFonts w:hint="eastAsia" w:ascii="宋体" w:hAnsi="宋体" w:eastAsia="宋体" w:cs="宋体"/>
          <w:color w:val="000000" w:themeColor="text1"/>
          <w:szCs w:val="24"/>
          <w14:textFill>
            <w14:solidFill>
              <w14:schemeClr w14:val="tx1"/>
            </w14:solidFill>
          </w14:textFill>
        </w:rPr>
      </w:pPr>
      <w:bookmarkStart w:id="33" w:name="_Toc768"/>
      <w:bookmarkStart w:id="34" w:name="_Toc14530"/>
      <w:r>
        <w:rPr>
          <w:rFonts w:hint="eastAsia" w:ascii="宋体" w:hAnsi="宋体" w:eastAsia="宋体" w:cs="宋体"/>
          <w:color w:val="000000" w:themeColor="text1"/>
          <w:szCs w:val="24"/>
          <w14:textFill>
            <w14:solidFill>
              <w14:schemeClr w14:val="tx1"/>
            </w14:solidFill>
          </w14:textFill>
        </w:rPr>
        <w:t>1.报名截止时间：见公告</w:t>
      </w:r>
    </w:p>
    <w:p w14:paraId="203538C1">
      <w:pPr>
        <w:pStyle w:val="13"/>
        <w:spacing w:before="0" w:beforeAutospacing="0" w:after="0" w:afterAutospacing="0" w:line="400" w:lineRule="exact"/>
        <w:ind w:firstLine="480" w:firstLineChars="2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2.报名方式及要求：按照采购邀请书第二条竞选人资格的要求，通过邮件提交报名资证材料，报名邮箱：798941999@qq.com，邮件主题：“报名项目-生产厂家-竞选人-负责人姓名电话”。</w:t>
      </w:r>
    </w:p>
    <w:p w14:paraId="04016F24">
      <w:pPr>
        <w:pStyle w:val="13"/>
        <w:spacing w:before="0" w:beforeAutospacing="0" w:after="0" w:afterAutospacing="0" w:line="400" w:lineRule="exact"/>
        <w:ind w:firstLine="480" w:firstLineChars="2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3.报名注意事项：竞选人应仔细阅读和检查采购文件的全部内容。如发现缺页或附件不全，应及时提出，以便补齐。如有疑问，请在报名截止日期前向采购人提出，超过此时间规定，采购人不再受理疑问。</w:t>
      </w:r>
    </w:p>
    <w:p w14:paraId="5035E039">
      <w:pPr>
        <w:widowControl/>
        <w:spacing w:line="400" w:lineRule="exact"/>
        <w:jc w:val="both"/>
        <w:outlineLvl w:val="1"/>
        <w:rPr>
          <w:rFonts w:hint="eastAsia"/>
          <w:color w:val="000000" w:themeColor="text1"/>
          <w14:textFill>
            <w14:solidFill>
              <w14:schemeClr w14:val="tx1"/>
            </w14:solidFill>
          </w14:textFill>
        </w:rPr>
      </w:pPr>
      <w:bookmarkStart w:id="35" w:name="_Toc22314"/>
      <w:r>
        <w:rPr>
          <w:rFonts w:hint="eastAsia" w:ascii="宋体" w:hAnsi="宋体" w:cs="宋体"/>
          <w:b/>
          <w:color w:val="000000" w:themeColor="text1"/>
          <w:sz w:val="24"/>
          <w14:textFill>
            <w14:solidFill>
              <w14:schemeClr w14:val="tx1"/>
            </w14:solidFill>
          </w14:textFill>
        </w:rPr>
        <w:t>五、竞选文件递交与采购谈判时间、地点</w:t>
      </w:r>
      <w:bookmarkEnd w:id="33"/>
      <w:bookmarkEnd w:id="35"/>
    </w:p>
    <w:p w14:paraId="6F121C5C">
      <w:pPr>
        <w:pStyle w:val="13"/>
        <w:spacing w:before="0" w:beforeAutospacing="0" w:after="0" w:afterAutospacing="0" w:line="400" w:lineRule="exact"/>
        <w:ind w:firstLine="480" w:firstLineChars="2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1.竞选文件递交截止时间：采购谈判时同时提交</w:t>
      </w:r>
    </w:p>
    <w:p w14:paraId="1D4D04F8">
      <w:pPr>
        <w:pStyle w:val="13"/>
        <w:spacing w:before="0" w:beforeAutospacing="0" w:after="0" w:afterAutospacing="0" w:line="400" w:lineRule="exact"/>
        <w:ind w:firstLine="480" w:firstLineChars="2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2.采购谈判时间： </w:t>
      </w:r>
      <w:r>
        <w:rPr>
          <w:rFonts w:hint="eastAsia" w:ascii="宋体" w:hAnsi="宋体" w:eastAsia="宋体" w:cs="宋体"/>
          <w:color w:val="000000" w:themeColor="text1"/>
          <w:szCs w:val="24"/>
          <w:shd w:val="clear" w:color="auto" w:fill="FFFFFF"/>
          <w14:textFill>
            <w14:solidFill>
              <w14:schemeClr w14:val="tx1"/>
            </w14:solidFill>
          </w14:textFill>
        </w:rPr>
        <w:t>另行邮箱通知</w:t>
      </w:r>
    </w:p>
    <w:p w14:paraId="4AD6E020">
      <w:pPr>
        <w:pStyle w:val="13"/>
        <w:spacing w:before="0" w:beforeAutospacing="0" w:after="0" w:afterAutospacing="0" w:line="400" w:lineRule="exact"/>
        <w:ind w:firstLine="480" w:firstLineChars="2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3.采购谈判时间：重庆医科大学附属第二医院都市方舟五楼采购管理处会议室（地址：重庆市渝中区临江路74号）</w:t>
      </w:r>
    </w:p>
    <w:p w14:paraId="254721F2">
      <w:pPr>
        <w:widowControl/>
        <w:spacing w:line="400" w:lineRule="exact"/>
        <w:jc w:val="both"/>
        <w:outlineLvl w:val="1"/>
        <w:rPr>
          <w:rFonts w:hint="eastAsia" w:ascii="宋体" w:hAnsi="宋体" w:cs="宋体"/>
          <w:b/>
          <w:color w:val="000000" w:themeColor="text1"/>
          <w:sz w:val="24"/>
          <w14:textFill>
            <w14:solidFill>
              <w14:schemeClr w14:val="tx1"/>
            </w14:solidFill>
          </w14:textFill>
        </w:rPr>
      </w:pPr>
      <w:bookmarkStart w:id="36" w:name="_Toc24589"/>
      <w:r>
        <w:rPr>
          <w:rFonts w:hint="eastAsia" w:ascii="宋体" w:hAnsi="宋体" w:cs="宋体"/>
          <w:b/>
          <w:color w:val="000000" w:themeColor="text1"/>
          <w:sz w:val="24"/>
          <w14:textFill>
            <w14:solidFill>
              <w14:schemeClr w14:val="tx1"/>
            </w14:solidFill>
          </w14:textFill>
        </w:rPr>
        <w:t>六、联系方式</w:t>
      </w:r>
      <w:bookmarkEnd w:id="34"/>
      <w:bookmarkEnd w:id="36"/>
    </w:p>
    <w:p w14:paraId="015BB1E8">
      <w:pPr>
        <w:pStyle w:val="13"/>
        <w:spacing w:before="0" w:beforeAutospacing="0" w:after="0" w:afterAutospacing="0" w:line="400" w:lineRule="exact"/>
        <w:ind w:firstLine="480" w:firstLineChars="200"/>
        <w:jc w:val="both"/>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项目联系人：张老师</w:t>
      </w:r>
    </w:p>
    <w:p w14:paraId="1408E85B">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bookmarkStart w:id="37" w:name="_Toc869"/>
      <w:r>
        <w:rPr>
          <w:rFonts w:hint="eastAsia" w:ascii="宋体" w:hAnsi="宋体" w:cs="宋体"/>
          <w:color w:val="000000" w:themeColor="text1"/>
          <w:sz w:val="24"/>
          <w:szCs w:val="24"/>
          <w14:textFill>
            <w14:solidFill>
              <w14:schemeClr w14:val="tx1"/>
            </w14:solidFill>
          </w14:textFill>
        </w:rPr>
        <w:t>项目联系人电话：</w:t>
      </w:r>
      <w:bookmarkEnd w:id="37"/>
      <w:r>
        <w:rPr>
          <w:rFonts w:hint="eastAsia" w:ascii="宋体" w:hAnsi="宋体" w:cs="宋体"/>
          <w:color w:val="000000" w:themeColor="text1"/>
          <w:sz w:val="24"/>
          <w:szCs w:val="24"/>
          <w14:textFill>
            <w14:solidFill>
              <w14:schemeClr w14:val="tx1"/>
            </w14:solidFill>
          </w14:textFill>
        </w:rPr>
        <w:t>17782250622</w:t>
      </w:r>
    </w:p>
    <w:bookmarkEnd w:id="29"/>
    <w:bookmarkEnd w:id="30"/>
    <w:bookmarkEnd w:id="31"/>
    <w:bookmarkEnd w:id="32"/>
    <w:p w14:paraId="234673DA">
      <w:pPr>
        <w:tabs>
          <w:tab w:val="left" w:pos="3360"/>
        </w:tabs>
        <w:spacing w:line="360" w:lineRule="auto"/>
        <w:jc w:val="center"/>
        <w:outlineLvl w:val="0"/>
        <w:rPr>
          <w:rFonts w:hint="eastAsia" w:ascii="宋体" w:hAnsi="宋体" w:cs="宋体"/>
          <w:b/>
          <w:color w:val="000000" w:themeColor="text1"/>
          <w:szCs w:val="36"/>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38" w:name="_Toc76373872"/>
      <w:bookmarkStart w:id="39" w:name="_Toc4033"/>
      <w:bookmarkStart w:id="40" w:name="_Toc14224"/>
      <w:bookmarkStart w:id="41" w:name="_Toc9714"/>
      <w:bookmarkStart w:id="42" w:name="_Toc25272"/>
      <w:bookmarkStart w:id="43" w:name="_Toc23532"/>
      <w:bookmarkStart w:id="44" w:name="_Toc20138"/>
      <w:r>
        <w:rPr>
          <w:rFonts w:hint="eastAsia" w:ascii="宋体" w:hAnsi="宋体" w:cs="宋体"/>
          <w:b/>
          <w:color w:val="000000" w:themeColor="text1"/>
          <w:szCs w:val="36"/>
          <w14:textFill>
            <w14:solidFill>
              <w14:schemeClr w14:val="tx1"/>
            </w14:solidFill>
          </w14:textFill>
        </w:rPr>
        <w:t xml:space="preserve">第二篇 </w:t>
      </w:r>
      <w:bookmarkEnd w:id="38"/>
      <w:bookmarkEnd w:id="39"/>
      <w:bookmarkEnd w:id="40"/>
      <w:bookmarkEnd w:id="41"/>
      <w:bookmarkEnd w:id="42"/>
      <w:r>
        <w:rPr>
          <w:rFonts w:hint="eastAsia" w:ascii="宋体" w:hAnsi="宋体" w:cs="宋体"/>
          <w:b/>
          <w:color w:val="000000" w:themeColor="text1"/>
          <w:szCs w:val="36"/>
          <w14:textFill>
            <w14:solidFill>
              <w14:schemeClr w14:val="tx1"/>
            </w14:solidFill>
          </w14:textFill>
        </w:rPr>
        <w:t>技术（质量）与商务需求</w:t>
      </w:r>
      <w:bookmarkEnd w:id="43"/>
      <w:bookmarkEnd w:id="44"/>
    </w:p>
    <w:p w14:paraId="31D8467F">
      <w:pPr>
        <w:widowControl/>
        <w:spacing w:before="120" w:beforeLines="50" w:line="400" w:lineRule="exact"/>
        <w:jc w:val="both"/>
        <w:outlineLvl w:val="1"/>
        <w:rPr>
          <w:rFonts w:hint="eastAsia" w:cs="宋体"/>
          <w:b/>
          <w:color w:val="000000" w:themeColor="text1"/>
          <w:sz w:val="24"/>
          <w14:textFill>
            <w14:solidFill>
              <w14:schemeClr w14:val="tx1"/>
            </w14:solidFill>
          </w14:textFill>
        </w:rPr>
      </w:pPr>
      <w:permStart w:id="3" w:edGrp="everyone"/>
      <w:bookmarkStart w:id="45" w:name="_Toc2599"/>
      <w:bookmarkStart w:id="46" w:name="_Toc11474"/>
      <w:bookmarkStart w:id="47" w:name="_Toc13391"/>
      <w:bookmarkStart w:id="48" w:name="_Toc3153"/>
      <w:bookmarkStart w:id="49" w:name="_Toc76373874"/>
      <w:bookmarkStart w:id="50" w:name="_Toc25148"/>
      <w:bookmarkStart w:id="51" w:name="_Toc6188"/>
      <w:bookmarkStart w:id="52" w:name="_Toc27187"/>
      <w:r>
        <w:rPr>
          <w:rFonts w:hint="eastAsia" w:cs="宋体"/>
          <w:b/>
          <w:color w:val="000000" w:themeColor="text1"/>
          <w:sz w:val="24"/>
          <w14:textFill>
            <w14:solidFill>
              <w14:schemeClr w14:val="tx1"/>
            </w14:solidFill>
          </w14:textFill>
        </w:rPr>
        <w:t>一、技术需求</w:t>
      </w:r>
      <w:bookmarkEnd w:id="45"/>
      <w:bookmarkEnd w:id="46"/>
      <w:bookmarkEnd w:id="47"/>
      <w:bookmarkEnd w:id="48"/>
      <w:bookmarkEnd w:id="49"/>
      <w:r>
        <w:rPr>
          <w:rFonts w:hint="eastAsia" w:cs="宋体"/>
          <w:b/>
          <w:color w:val="000000" w:themeColor="text1"/>
          <w:sz w:val="24"/>
          <w14:textFill>
            <w14:solidFill>
              <w14:schemeClr w14:val="tx1"/>
            </w14:solidFill>
          </w14:textFill>
        </w:rPr>
        <w:t>（含技术参数与配置）</w:t>
      </w:r>
      <w:bookmarkEnd w:id="50"/>
      <w:bookmarkEnd w:id="51"/>
      <w:bookmarkEnd w:id="52"/>
    </w:p>
    <w:permEnd w:id="3"/>
    <w:p w14:paraId="0244E881">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53" w:name="_Toc30465"/>
      <w:bookmarkStart w:id="54" w:name="_Toc6355"/>
      <w:bookmarkStart w:id="55" w:name="_Toc76373876"/>
      <w:bookmarkStart w:id="56" w:name="_Toc29225"/>
      <w:bookmarkStart w:id="57" w:name="_Toc29620"/>
      <w:bookmarkStart w:id="58" w:name="_Toc13107"/>
      <w:bookmarkStart w:id="59" w:name="_Toc1955"/>
      <w:r>
        <w:rPr>
          <w:rFonts w:hint="eastAsia" w:ascii="宋体" w:hAnsi="宋体" w:eastAsia="宋体" w:cs="宋体"/>
          <w:b/>
          <w:bCs/>
          <w:color w:val="000000" w:themeColor="text1"/>
          <w:sz w:val="24"/>
          <w:szCs w:val="24"/>
          <w:lang w:val="en-US" w:eastAsia="zh-CN"/>
          <w14:textFill>
            <w14:solidFill>
              <w14:schemeClr w14:val="tx1"/>
            </w14:solidFill>
          </w14:textFill>
        </w:rPr>
        <w:t>（一）线上中医馆微信小程序开发</w:t>
      </w:r>
    </w:p>
    <w:p w14:paraId="37A44118">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开发微信小程序，应包括用户管理、内容展示、交易支付功能、用户交互功能、数据管理功能。</w:t>
      </w:r>
    </w:p>
    <w:p w14:paraId="66DB7AEB">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用户管理板块应至少包括微信授权登录、关联手机号、个人身体指标（支持手动录入）、健康记录（用户自主记录症状、用药史、诊疗记录，支持时间轴展示）、过敏史、既往史（结构化表单填写）、地址管理（收货地址，支持多地址切换与默认设置）等；</w:t>
      </w:r>
    </w:p>
    <w:p w14:paraId="1CDC67A7">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内容展示板块应至少包括制作线上中医馆小程序UI框架，负责美工图片设计与页面美化，提供首页轮播图片展示功能（展示中医馆活动、节气养生专题、专家推荐等），提供科室介绍（中医科特色专科，如针灸推拿科、脾胃病科，含科室优势病种说明）、专家介绍（医生照片、职称、擅长领域、出诊时间、患者评价摘要）、药食同源产品、中医药膳的内容展示；</w:t>
      </w:r>
    </w:p>
    <w:p w14:paraId="76861796">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交易支付功能应至少包括提供产品上架下架功能（支持管理员后台操作，标注产品类目：中药饮片、养生茶饮、理疗器具等）、价格调整功能（动态定价，支持促销活动如满减、折扣）、下单支付功能、取消交易及退款功能（未发货订单秒退，已发货订单按物流状态处理，退款原路返回）、物流信息查询功能（对接物流平台API，实时显示快递单号、运输状态）；</w:t>
      </w:r>
    </w:p>
    <w:p w14:paraId="5F245BDF">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用户交互系统应至少包括在线图文交流功能、在线用户统计、用户评价功能；</w:t>
      </w:r>
    </w:p>
    <w:p w14:paraId="2CD5CC9F">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数据管理功能应至少包括销售数据统计、用户行为分析、库存同步功能；</w:t>
      </w:r>
    </w:p>
    <w:p w14:paraId="7B6FE02D">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提供微信小程序与现有医院互联网医院的跳转功能；</w:t>
      </w:r>
    </w:p>
    <w:p w14:paraId="0119115A">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w:t>
      </w:r>
      <w:r>
        <w:rPr>
          <w:rFonts w:hint="eastAsia" w:ascii="宋体" w:hAnsi="宋体" w:eastAsia="宋体" w:cs="宋体"/>
          <w:color w:val="000000" w:themeColor="text1"/>
          <w:sz w:val="24"/>
          <w:szCs w:val="24"/>
          <w:lang w:val="en-US" w:eastAsia="zh-CN"/>
          <w14:textFill>
            <w14:solidFill>
              <w14:schemeClr w14:val="tx1"/>
            </w14:solidFill>
          </w14:textFill>
        </w:rPr>
        <w:t>提供微信小程序与公众号的跳转功能。</w:t>
      </w:r>
    </w:p>
    <w:p w14:paraId="2B489187">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（二）线上中医馆微信小程序、公众号与互联网医院对接</w:t>
      </w:r>
    </w:p>
    <w:p w14:paraId="31D4F37A">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完成包括互联网医院、微信公众号、微信小程序等线上平台的接口对接工作，其中接口包括：</w:t>
      </w:r>
    </w:p>
    <w:p w14:paraId="0BCBD10D">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打通短信接口，保证短信接口正常使用，确保注册验证码、订单通知、物流提醒等短信正常发送；</w:t>
      </w:r>
    </w:p>
    <w:p w14:paraId="36892E8E">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互联网医院数据接口，确保微信小程序与互联网医院正常跳转；</w:t>
      </w:r>
    </w:p>
    <w:p w14:paraId="0C4CF563">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打通公众号与微信小程序的数据接口，产品推文关联（公众号发布的药膳/产品文章点击后跳转小程序购买页）、订单数据同步（如公众号推送“您的订单已发货”通知）；</w:t>
      </w:r>
    </w:p>
    <w:p w14:paraId="288FC9F5">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物流平台与小程序交易平台数据接口，确保物流信息查询系统能正常使用，实时获取快递单号状态（如顺丰、中通），显示“已揽收”“运输中”“已签收”等节点；</w:t>
      </w:r>
    </w:p>
    <w:p w14:paraId="7AC05626">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支付系统接口，微信支付（原生支付/小程序支付）、退款接口（原路返回）、支付结果回调（同步更新订单状态）。</w:t>
      </w:r>
    </w:p>
    <w:p w14:paraId="66782540">
      <w:pPr>
        <w:keepNext w:val="0"/>
        <w:keepLines w:val="0"/>
        <w:pageBreakBefore w:val="0"/>
        <w:kinsoku/>
        <w:wordWrap/>
        <w:overflowPunct/>
        <w:topLinePunct w:val="0"/>
        <w:autoSpaceDE/>
        <w:autoSpaceDN/>
        <w:bidi w:val="0"/>
        <w:adjustRightInd/>
        <w:snapToGrid/>
        <w:spacing w:beforeAutospacing="0" w:line="240" w:lineRule="auto"/>
        <w:ind w:left="0" w:firstLine="482" w:firstLineChars="200"/>
        <w:textAlignment w:val="auto"/>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（三）个人ip名医矩阵式营销打造</w:t>
      </w:r>
    </w:p>
    <w:p w14:paraId="20833CD6">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协助采购人开展各自媒体平台的线上科普工作；</w:t>
      </w:r>
    </w:p>
    <w:p w14:paraId="4711FD9C">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负责微信服务号、微信订阅号、微信小程序的日常运营及粉丝维护；</w:t>
      </w:r>
    </w:p>
    <w:p w14:paraId="080E5429">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微信服务号周发文不少于3期，每周不少于1期深度采编推文，服务号每年不少于1篇10万+推文，每半年不少于1篇3万+推文，每季度不少于1篇2万+推文，每月不少于3篇1万+推文（可累计重叠计算）</w:t>
      </w:r>
    </w:p>
    <w:p w14:paraId="259D7DF7">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负责短视频自媒体（如抖音、微信视频号、快手、小红书等）的日常运营，内容包括但不限于科普讲座、小剧场等的脚本创作、拍摄、后期制作、发布等。</w:t>
      </w:r>
    </w:p>
    <w:p w14:paraId="741CDEB5">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负责新媒体平台视频脚本策划、实地拍摄、后期制作和发布，每季度产出视频不少于60条。其中30条原创实拍视频首发抖音平台，剩余30条视频基于原创素材，结合网络素材、热点资讯、官媒新闻、平台特点等进行二次创作和精剪处理，分发于视频号、快手、小红书三大平台，每个平台各发布10条。</w:t>
      </w:r>
    </w:p>
    <w:p w14:paraId="5EC2D8C4">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月度要求：每月制作视频≥20 条，含10 条原创实拍视频（首发视频号 ）、10 条转载分发视频。</w:t>
      </w:r>
    </w:p>
    <w:p w14:paraId="04283418">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内容范围：涵盖医生科普、线下问诊，医患情况，中医理疗，医师获奖、名医新闻、IP 打造、热门追踪、节日节点、公益传播、专业科普等正向、专业内容，传递医院价值与服务。</w:t>
      </w:r>
    </w:p>
    <w:p w14:paraId="1C7CAFF8">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8</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常搜集视频数据并进行分析和总结，定期制作月度运营数据报告并进行汇报。</w:t>
      </w:r>
    </w:p>
    <w:p w14:paraId="079C814A">
      <w:pPr>
        <w:spacing w:line="400" w:lineRule="exact"/>
        <w:jc w:val="both"/>
        <w:outlineLvl w:val="1"/>
        <w:rPr>
          <w:rFonts w:hint="eastAsia" w:cs="宋体"/>
          <w:b/>
          <w:color w:val="000000" w:themeColor="text1"/>
          <w:sz w:val="24"/>
          <w14:textFill>
            <w14:solidFill>
              <w14:schemeClr w14:val="tx1"/>
            </w14:solidFill>
          </w14:textFill>
        </w:rPr>
      </w:pPr>
      <w:bookmarkStart w:id="60" w:name="_Toc14722"/>
      <w:r>
        <w:rPr>
          <w:rFonts w:hint="eastAsia" w:cs="宋体"/>
          <w:b/>
          <w:color w:val="000000" w:themeColor="text1"/>
          <w:sz w:val="24"/>
          <w14:textFill>
            <w14:solidFill>
              <w14:schemeClr w14:val="tx1"/>
            </w14:solidFill>
          </w14:textFill>
        </w:rPr>
        <w:t>二、</w:t>
      </w:r>
      <w:bookmarkEnd w:id="53"/>
      <w:bookmarkEnd w:id="54"/>
      <w:bookmarkEnd w:id="55"/>
      <w:bookmarkEnd w:id="56"/>
      <w:bookmarkEnd w:id="57"/>
      <w:r>
        <w:rPr>
          <w:rFonts w:hint="eastAsia" w:cs="宋体"/>
          <w:b/>
          <w:color w:val="000000" w:themeColor="text1"/>
          <w:sz w:val="24"/>
          <w14:textFill>
            <w14:solidFill>
              <w14:schemeClr w14:val="tx1"/>
            </w14:solidFill>
          </w14:textFill>
        </w:rPr>
        <w:t>商务需求</w:t>
      </w:r>
      <w:bookmarkEnd w:id="58"/>
      <w:bookmarkEnd w:id="59"/>
      <w:bookmarkEnd w:id="60"/>
    </w:p>
    <w:p w14:paraId="60D35600">
      <w:pPr>
        <w:snapToGrid w:val="0"/>
        <w:spacing w:line="400" w:lineRule="exact"/>
        <w:ind w:firstLine="482" w:firstLineChars="200"/>
        <w:jc w:val="both"/>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（一）交货期</w:t>
      </w:r>
    </w:p>
    <w:p w14:paraId="18AD07BE">
      <w:pPr>
        <w:widowControl/>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中选人应在采购合同签订</w:t>
      </w:r>
      <w:r>
        <w:rPr>
          <w:rFonts w:hint="eastAsia" w:ascii="宋体" w:hAnsi="宋体" w:cs="宋体"/>
          <w:color w:val="000000" w:themeColor="text1"/>
          <w:kern w:val="0"/>
          <w:sz w:val="24"/>
          <w:szCs w:val="24"/>
          <w:lang w:val="en-US" w:eastAsia="zh-CN"/>
          <w14:textFill>
            <w14:solidFill>
              <w14:schemeClr w14:val="tx1"/>
            </w14:solidFill>
          </w14:textFill>
        </w:rPr>
        <w:t>后，于9月10日前完成上线或按采购人需求执行。</w:t>
      </w:r>
    </w:p>
    <w:p w14:paraId="6481DEFE">
      <w:pPr>
        <w:snapToGrid w:val="0"/>
        <w:spacing w:line="400" w:lineRule="exact"/>
        <w:ind w:firstLine="482" w:firstLineChars="200"/>
        <w:jc w:val="both"/>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（二）交货地点</w:t>
      </w:r>
    </w:p>
    <w:p w14:paraId="563DCBA9">
      <w:pPr>
        <w:snapToGrid w:val="0"/>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交货地点：采购人指定地点。</w:t>
      </w:r>
    </w:p>
    <w:p w14:paraId="1BE86B42">
      <w:pPr>
        <w:spacing w:line="400" w:lineRule="exact"/>
        <w:ind w:firstLine="482" w:firstLineChars="200"/>
        <w:jc w:val="both"/>
        <w:rPr>
          <w:rFonts w:hint="eastAsia" w:cs="宋体"/>
          <w:b/>
          <w:color w:val="000000" w:themeColor="text1"/>
          <w:sz w:val="24"/>
          <w14:textFill>
            <w14:solidFill>
              <w14:schemeClr w14:val="tx1"/>
            </w14:solidFill>
          </w14:textFill>
        </w:rPr>
      </w:pPr>
      <w:bookmarkStart w:id="61" w:name="_Toc17524"/>
      <w:bookmarkStart w:id="62" w:name="_Toc1768"/>
      <w:bookmarkStart w:id="63" w:name="_Toc76373878"/>
      <w:bookmarkStart w:id="64" w:name="_Toc15650"/>
      <w:bookmarkStart w:id="65" w:name="_Toc7794"/>
      <w:bookmarkStart w:id="66" w:name="_Toc2072"/>
      <w:bookmarkStart w:id="67" w:name="_Toc31843"/>
      <w:bookmarkStart w:id="68" w:name="_Toc17944"/>
      <w:bookmarkStart w:id="69" w:name="_Toc24122"/>
      <w:bookmarkStart w:id="70" w:name="_Toc4791"/>
      <w:bookmarkStart w:id="71" w:name="_Toc267320050"/>
      <w:r>
        <w:rPr>
          <w:rFonts w:hint="eastAsia" w:cs="宋体"/>
          <w:b/>
          <w:color w:val="000000" w:themeColor="text1"/>
          <w:sz w:val="24"/>
          <w14:textFill>
            <w14:solidFill>
              <w14:schemeClr w14:val="tx1"/>
            </w14:solidFill>
          </w14:textFill>
        </w:rPr>
        <w:t>（三）报价要求</w:t>
      </w:r>
      <w:bookmarkEnd w:id="61"/>
      <w:bookmarkEnd w:id="62"/>
      <w:bookmarkEnd w:id="63"/>
      <w:bookmarkEnd w:id="64"/>
      <w:bookmarkEnd w:id="65"/>
      <w:bookmarkEnd w:id="66"/>
      <w:bookmarkEnd w:id="67"/>
      <w:bookmarkEnd w:id="68"/>
      <w:bookmarkEnd w:id="69"/>
      <w:bookmarkEnd w:id="70"/>
    </w:p>
    <w:p w14:paraId="0098B3D9">
      <w:pPr>
        <w:snapToGrid w:val="0"/>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permStart w:id="4" w:edGrp="everyone"/>
      <w:r>
        <w:rPr>
          <w:rFonts w:hint="eastAsia" w:ascii="宋体" w:hAnsi="宋体" w:cs="宋体"/>
          <w:color w:val="000000" w:themeColor="text1"/>
          <w:kern w:val="0"/>
          <w:sz w:val="24"/>
          <w:szCs w:val="24"/>
          <w14:textFill>
            <w14:solidFill>
              <w14:schemeClr w14:val="tx1"/>
            </w14:solidFill>
          </w14:textFill>
        </w:rPr>
        <w:t>1.本次报价须为人民币报价，包括但不限于：软件、货物、技术资料、货物的税费、运输费、安装费、保险费、包装费、装卸费、培训费、与货物有关的竞选人应纳的税费、售后服务费与医院信息系统接口费等货到采购人指定地点的所有费用及安装验收费用</w:t>
      </w:r>
      <w:permEnd w:id="4"/>
      <w:r>
        <w:rPr>
          <w:rFonts w:hint="eastAsia" w:ascii="宋体" w:hAnsi="宋体" w:cs="宋体"/>
          <w:color w:val="000000" w:themeColor="text1"/>
          <w:kern w:val="0"/>
          <w:sz w:val="24"/>
          <w:szCs w:val="24"/>
          <w14:textFill>
            <w14:solidFill>
              <w14:schemeClr w14:val="tx1"/>
            </w14:solidFill>
          </w14:textFill>
        </w:rPr>
        <w:t>。因为中选人自身原因造成漏报、少报皆由其自行承担责任，采购人不再补偿。</w:t>
      </w:r>
    </w:p>
    <w:p w14:paraId="62AC5677">
      <w:pPr>
        <w:pStyle w:val="12"/>
        <w:ind w:firstLine="480" w:firstLineChars="200"/>
        <w:jc w:val="both"/>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2.验收合格交票后</w:t>
      </w:r>
      <w:r>
        <w:rPr>
          <w:rFonts w:hint="eastAsia" w:ascii="宋体" w:hAnsi="宋体" w:cs="宋体"/>
          <w:color w:val="000000" w:themeColor="text1"/>
          <w:kern w:val="0"/>
          <w:sz w:val="24"/>
          <w:szCs w:val="24"/>
          <w:lang w:val="en-US" w:eastAsia="zh-CN"/>
          <w14:textFill>
            <w14:solidFill>
              <w14:schemeClr w14:val="tx1"/>
            </w14:solidFill>
          </w14:textFill>
        </w:rPr>
        <w:t>三</w:t>
      </w:r>
      <w:r>
        <w:rPr>
          <w:rFonts w:hint="eastAsia" w:ascii="宋体" w:hAnsi="宋体" w:cs="宋体"/>
          <w:color w:val="000000" w:themeColor="text1"/>
          <w:kern w:val="0"/>
          <w:sz w:val="24"/>
          <w:szCs w:val="24"/>
          <w14:textFill>
            <w14:solidFill>
              <w14:schemeClr w14:val="tx1"/>
            </w14:solidFill>
          </w14:textFill>
        </w:rPr>
        <w:t>个月安排付款。</w:t>
      </w:r>
    </w:p>
    <w:p w14:paraId="3F1030C4">
      <w:pPr>
        <w:pStyle w:val="12"/>
        <w:ind w:firstLine="480" w:firstLineChars="200"/>
        <w:jc w:val="both"/>
        <w:rPr>
          <w:rFonts w:hint="eastAsia"/>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3.履约保证金：单价超过10万元的项目、合同总金额超过20万元的项目，在合同签订后，提交付款资料前，中选人方向甲方缴纳合同总金额的5% 作为履约保证金（以银行转账方式）。在质保期满期间中选人完全履行合同约定，且采购人（使用科室与管理部门）确认硬件运行正常，质保期届满后，双方办理履约保证金无息退还手续。</w:t>
      </w:r>
    </w:p>
    <w:p w14:paraId="6F2FB42C">
      <w:pPr>
        <w:spacing w:line="400" w:lineRule="exact"/>
        <w:ind w:firstLine="482" w:firstLineChars="200"/>
        <w:jc w:val="both"/>
        <w:rPr>
          <w:rFonts w:hint="eastAsia" w:ascii="宋体" w:hAnsi="宋体" w:cs="宋体"/>
          <w:b/>
          <w:color w:val="000000" w:themeColor="text1"/>
          <w:kern w:val="0"/>
          <w:sz w:val="24"/>
          <w:szCs w:val="24"/>
          <w14:textFill>
            <w14:solidFill>
              <w14:schemeClr w14:val="tx1"/>
            </w14:solidFill>
          </w14:textFill>
        </w:rPr>
      </w:pPr>
      <w:bookmarkStart w:id="72" w:name="_Toc30551"/>
      <w:bookmarkStart w:id="73" w:name="_Toc29836"/>
      <w:bookmarkStart w:id="74" w:name="_Toc14311"/>
      <w:bookmarkStart w:id="75" w:name="_Toc22561"/>
      <w:bookmarkStart w:id="76" w:name="_Toc76373879"/>
      <w:bookmarkStart w:id="77" w:name="_Toc9339"/>
      <w:bookmarkStart w:id="78" w:name="_Toc5959"/>
      <w:bookmarkStart w:id="79" w:name="_Toc16908"/>
      <w:bookmarkStart w:id="80" w:name="_Toc13528"/>
      <w:bookmarkStart w:id="81" w:name="_Toc28942"/>
      <w:r>
        <w:rPr>
          <w:rFonts w:hint="eastAsia" w:cs="宋体"/>
          <w:b/>
          <w:color w:val="000000" w:themeColor="text1"/>
          <w:sz w:val="24"/>
          <w14:textFill>
            <w14:solidFill>
              <w14:schemeClr w14:val="tx1"/>
            </w14:solidFill>
          </w14:textFill>
        </w:rPr>
        <w:t>（四）</w:t>
      </w:r>
      <w:bookmarkEnd w:id="71"/>
      <w:bookmarkEnd w:id="72"/>
      <w:bookmarkEnd w:id="73"/>
      <w:bookmarkEnd w:id="74"/>
      <w:bookmarkEnd w:id="75"/>
      <w:bookmarkEnd w:id="76"/>
      <w:bookmarkEnd w:id="77"/>
      <w:bookmarkEnd w:id="78"/>
      <w:r>
        <w:rPr>
          <w:rFonts w:hint="eastAsia" w:ascii="宋体" w:hAnsi="宋体" w:cs="宋体"/>
          <w:b/>
          <w:color w:val="000000" w:themeColor="text1"/>
          <w:kern w:val="0"/>
          <w:sz w:val="24"/>
          <w:szCs w:val="24"/>
          <w14:textFill>
            <w14:solidFill>
              <w14:schemeClr w14:val="tx1"/>
            </w14:solidFill>
          </w14:textFill>
        </w:rPr>
        <w:t>产品质量保证期</w:t>
      </w:r>
      <w:bookmarkEnd w:id="79"/>
      <w:bookmarkEnd w:id="80"/>
      <w:bookmarkEnd w:id="81"/>
    </w:p>
    <w:p w14:paraId="4B823376">
      <w:pPr>
        <w:snapToGrid w:val="0"/>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permStart w:id="5" w:edGrp="everyone"/>
      <w:r>
        <w:rPr>
          <w:rFonts w:hint="eastAsia" w:ascii="宋体" w:hAnsi="宋体" w:cs="宋体"/>
          <w:color w:val="000000" w:themeColor="text1"/>
          <w:sz w:val="24"/>
          <w:szCs w:val="24"/>
          <w14:textFill>
            <w14:solidFill>
              <w14:schemeClr w14:val="tx1"/>
            </w14:solidFill>
          </w14:textFill>
        </w:rPr>
        <w:t>自验收合格之日起，所投产品提供原厂质保，质保期为3年，包含系统更新升级以及系统维护（提供原厂质保承诺书）。如服务期满后采购人</w:t>
      </w:r>
      <w:r>
        <w:rPr>
          <w:rFonts w:hint="eastAsia" w:ascii="宋体" w:hAnsi="宋体" w:cs="宋体"/>
          <w:color w:val="000000" w:themeColor="text1"/>
          <w:sz w:val="24"/>
          <w:szCs w:val="24"/>
          <w:lang w:eastAsia="zh-CN"/>
          <w14:textFill>
            <w14:solidFill>
              <w14:schemeClr w14:val="tx1"/>
            </w14:solidFill>
          </w14:textFill>
        </w:rPr>
        <w:t>需</w:t>
      </w:r>
      <w:r>
        <w:rPr>
          <w:rFonts w:hint="eastAsia" w:ascii="宋体" w:hAnsi="宋体" w:cs="宋体"/>
          <w:color w:val="000000" w:themeColor="text1"/>
          <w:sz w:val="24"/>
          <w:szCs w:val="24"/>
          <w14:textFill>
            <w14:solidFill>
              <w14:schemeClr w14:val="tx1"/>
            </w14:solidFill>
          </w14:textFill>
        </w:rPr>
        <w:t>继续使用中选人提供的平台服务，则质保期相应顺延。</w:t>
      </w:r>
    </w:p>
    <w:permEnd w:id="5"/>
    <w:p w14:paraId="38B3CD2B">
      <w:pPr>
        <w:snapToGrid w:val="0"/>
        <w:spacing w:line="400" w:lineRule="exact"/>
        <w:ind w:firstLine="482" w:firstLineChars="200"/>
        <w:jc w:val="both"/>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（五）服务内容</w:t>
      </w:r>
    </w:p>
    <w:p w14:paraId="65767207">
      <w:pPr>
        <w:snapToGrid w:val="0"/>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bookmarkStart w:id="82" w:name="_Toc31777"/>
      <w:bookmarkStart w:id="83" w:name="_Toc21391"/>
      <w:bookmarkStart w:id="84" w:name="_Toc15269"/>
      <w:bookmarkStart w:id="85" w:name="_Toc27470"/>
      <w:bookmarkStart w:id="86" w:name="_Toc8233"/>
      <w:bookmarkStart w:id="87" w:name="_Toc5002"/>
      <w:bookmarkStart w:id="88" w:name="_Toc76373882"/>
      <w:bookmarkStart w:id="89" w:name="_Toc16188"/>
      <w:bookmarkStart w:id="90" w:name="_Toc267320053"/>
      <w:bookmarkStart w:id="91" w:name="_Toc2677"/>
      <w:r>
        <w:rPr>
          <w:rFonts w:hint="eastAsia" w:ascii="宋体" w:hAnsi="宋体" w:cs="宋体"/>
          <w:color w:val="000000" w:themeColor="text1"/>
          <w:kern w:val="0"/>
          <w:sz w:val="24"/>
          <w:szCs w:val="24"/>
          <w14:textFill>
            <w14:solidFill>
              <w14:schemeClr w14:val="tx1"/>
            </w14:solidFill>
          </w14:textFill>
        </w:rPr>
        <w:t xml:space="preserve">1.运维服务：保证系统正常运行所需的预防性维护，日常维护支持，网络调整支持， 数据备份支持等工作。包括：日常维护技术支持：对系统的网络、硬件、软件系统进行维护，监控运行情况。系统重装技术支持：负责系统服务端软件的安装。数据安全性管理技术支持：对系统的数据备份和恢复进行数据支持，以备在异常情况下尽快恢复系统。 </w:t>
      </w:r>
    </w:p>
    <w:p w14:paraId="5F127F87">
      <w:pPr>
        <w:snapToGrid w:val="0"/>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2.升级服务：提供操作系统和数据库升级服务；提供算法版本升级技术支持；提供软件系统的升级服务。 </w:t>
      </w:r>
    </w:p>
    <w:p w14:paraId="3EE57737">
      <w:pPr>
        <w:snapToGrid w:val="0"/>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3.故障响应：提供每周7（天）*24（小时）的远程维护和故障解决。接到故障通知后，30分钟内</w:t>
      </w:r>
      <w:r>
        <w:rPr>
          <w:rFonts w:hint="eastAsia" w:ascii="宋体" w:hAnsi="宋体" w:cs="宋体"/>
          <w:color w:val="000000" w:themeColor="text1"/>
          <w:kern w:val="0"/>
          <w:sz w:val="24"/>
          <w:szCs w:val="24"/>
          <w:lang w:eastAsia="zh-CN"/>
          <w14:textFill>
            <w14:solidFill>
              <w14:schemeClr w14:val="tx1"/>
            </w14:solidFill>
          </w14:textFill>
        </w:rPr>
        <w:t>做出</w:t>
      </w:r>
      <w:r>
        <w:rPr>
          <w:rFonts w:hint="eastAsia" w:ascii="宋体" w:hAnsi="宋体" w:cs="宋体"/>
          <w:color w:val="000000" w:themeColor="text1"/>
          <w:kern w:val="0"/>
          <w:sz w:val="24"/>
          <w:szCs w:val="24"/>
          <w14:textFill>
            <w14:solidFill>
              <w14:schemeClr w14:val="tx1"/>
            </w14:solidFill>
          </w14:textFill>
        </w:rPr>
        <w:t xml:space="preserve">处理方案，如30分钟内无法电话解决故障，维修人员在1小时之内能到达现场（含节假日）。故障解决后3天内向院方提交故障报告，详细说明故障解决过程、故障原因和预防措施以备案。 </w:t>
      </w:r>
    </w:p>
    <w:p w14:paraId="14AFD73E">
      <w:pPr>
        <w:snapToGrid w:val="0"/>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4.在软件的实施、质保期内如遇到政策调整、软件自身缺陷、医院紧急业务处理等非常规原因引起的软件修改需求（如果不修改则会引起医院业务处理系统中断、医院出现经济损失、违反相关规定等严重后果），供应商要在两个小时内派出技术人员到医院了解情况，在一个工作日内拿出应急预案，在三个工作日内拿出软件修改解决方案。服务响应期间为全年365天*24小时，供应商提供服务热线电话及技术人员联系方法。 </w:t>
      </w:r>
    </w:p>
    <w:p w14:paraId="1A364E8B">
      <w:pPr>
        <w:snapToGrid w:val="0"/>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5.属于医院个性化管理需要进行的且不属于紧急情况的软件修改，自接到医院需求申请起，在一个工作日内了解需求并协商处理方法，两个工作日内作出回应，协商好后在一周内开始处理医院需求，并经供应商严格测试后方可在医院使用。服务响应期间为全年正常工作日每周5天*8小时。 </w:t>
      </w:r>
    </w:p>
    <w:p w14:paraId="1A77709D">
      <w:pPr>
        <w:snapToGrid w:val="0"/>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6.正版化、安全、备份相关： </w:t>
      </w:r>
    </w:p>
    <w:p w14:paraId="30CC5DA6">
      <w:pPr>
        <w:snapToGrid w:val="0"/>
        <w:spacing w:line="400" w:lineRule="exact"/>
        <w:ind w:firstLine="420" w:firstLineChars="200"/>
        <w:jc w:val="both"/>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（1）供应商应保证，提供给院方的系统是完整的，其中包含且不限于应用软件，数据库，第三方组件，操作系统等。院方在使用其提供的货物、软件或服务及其任何一部分</w:t>
      </w:r>
      <w:bookmarkStart w:id="217" w:name="_GoBack"/>
      <w:bookmarkEnd w:id="217"/>
      <w:r>
        <w:rPr>
          <w:rFonts w:hint="eastAsia" w:ascii="宋体" w:hAnsi="宋体" w:cs="宋体"/>
          <w:color w:val="000000" w:themeColor="text1"/>
          <w:kern w:val="0"/>
          <w:sz w:val="24"/>
          <w:szCs w:val="24"/>
          <w14:textFill>
            <w14:solidFill>
              <w14:schemeClr w14:val="tx1"/>
            </w14:solidFill>
          </w14:textFill>
        </w:rPr>
        <w:t xml:space="preserve">时，免受第三方提出侵犯其专利权、商标权或其它知识产权的起诉。如果任何第三方提出侵权指控，供应商须与第三方交涉并承担可能发生的一切法律责任和费用，并承担由此影响采购人正常使用该货物、软件或服务的一切损失。 </w:t>
      </w:r>
    </w:p>
    <w:p w14:paraId="378A3FB5">
      <w:pPr>
        <w:snapToGrid w:val="0"/>
        <w:spacing w:line="400" w:lineRule="exact"/>
        <w:ind w:firstLine="420" w:firstLineChars="200"/>
        <w:jc w:val="both"/>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（2）安全性：保证数据的安全性，保证交换的数据准确无误，建立完善的数据访问、 备份等安全机制以及信息保密机制。提供完善的应急措施，建立故障情况下的紧急响应预案。</w:t>
      </w:r>
    </w:p>
    <w:p w14:paraId="6157E10C">
      <w:pPr>
        <w:spacing w:line="400" w:lineRule="exact"/>
        <w:ind w:firstLine="482" w:firstLineChars="200"/>
        <w:jc w:val="both"/>
        <w:rPr>
          <w:rFonts w:hint="eastAsia"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4.培训</w:t>
      </w:r>
      <w:bookmarkEnd w:id="82"/>
      <w:bookmarkEnd w:id="83"/>
      <w:bookmarkEnd w:id="84"/>
      <w:bookmarkEnd w:id="85"/>
      <w:bookmarkEnd w:id="86"/>
      <w:bookmarkEnd w:id="87"/>
      <w:bookmarkEnd w:id="88"/>
      <w:bookmarkEnd w:id="89"/>
      <w:bookmarkEnd w:id="90"/>
      <w:bookmarkEnd w:id="91"/>
    </w:p>
    <w:p w14:paraId="3874B245">
      <w:pPr>
        <w:snapToGrid w:val="0"/>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4.1中选人须提供对系统与</w:t>
      </w:r>
      <w:r>
        <w:rPr>
          <w:rFonts w:hint="eastAsia" w:ascii="宋体" w:hAnsi="宋体" w:cs="宋体"/>
          <w:color w:val="000000" w:themeColor="text1"/>
          <w:kern w:val="0"/>
          <w:sz w:val="24"/>
          <w:szCs w:val="24"/>
          <w:lang w:eastAsia="zh-CN"/>
          <w14:textFill>
            <w14:solidFill>
              <w14:schemeClr w14:val="tx1"/>
            </w14:solidFill>
          </w14:textFill>
        </w:rPr>
        <w:t>相应</w:t>
      </w:r>
      <w:r>
        <w:rPr>
          <w:rFonts w:hint="eastAsia" w:ascii="宋体" w:hAnsi="宋体" w:cs="宋体"/>
          <w:color w:val="000000" w:themeColor="text1"/>
          <w:kern w:val="0"/>
          <w:sz w:val="24"/>
          <w:szCs w:val="24"/>
          <w14:textFill>
            <w14:solidFill>
              <w14:schemeClr w14:val="tx1"/>
            </w14:solidFill>
          </w14:textFill>
        </w:rPr>
        <w:t>设备的操作培训，使相关使用人员能够正常操作。</w:t>
      </w:r>
    </w:p>
    <w:p w14:paraId="0DEB2AA3">
      <w:pPr>
        <w:snapToGrid w:val="0"/>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4.2中选人应制定免费培训方案，采购人单位的操作人员2人以上，直至受培训人员能够独立操作。</w:t>
      </w:r>
    </w:p>
    <w:p w14:paraId="278BDD67">
      <w:pPr>
        <w:snapToGrid w:val="0"/>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4.3为本项目配置售后人员。</w:t>
      </w:r>
    </w:p>
    <w:p w14:paraId="7AE7626D">
      <w:pPr>
        <w:snapToGrid w:val="0"/>
        <w:spacing w:line="400" w:lineRule="exact"/>
        <w:ind w:firstLine="482" w:firstLineChars="200"/>
        <w:jc w:val="both"/>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（六）验收</w:t>
      </w:r>
    </w:p>
    <w:p w14:paraId="03B0DB36">
      <w:pPr>
        <w:snapToGrid w:val="0"/>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系统</w:t>
      </w:r>
      <w:r>
        <w:rPr>
          <w:rFonts w:hint="eastAsia" w:ascii="宋体" w:hAnsi="宋体" w:cs="宋体"/>
          <w:color w:val="000000" w:themeColor="text1"/>
          <w:kern w:val="0"/>
          <w:sz w:val="24"/>
          <w:szCs w:val="24"/>
          <w14:textFill>
            <w14:solidFill>
              <w14:schemeClr w14:val="tx1"/>
            </w14:solidFill>
          </w14:textFill>
        </w:rPr>
        <w:t>调试完成并培训结束后，应按照采购文件和采购合同的约定对所供</w:t>
      </w:r>
      <w:r>
        <w:rPr>
          <w:rFonts w:hint="eastAsia" w:ascii="宋体" w:hAnsi="宋体" w:cs="宋体"/>
          <w:color w:val="000000" w:themeColor="text1"/>
          <w:kern w:val="0"/>
          <w:sz w:val="24"/>
          <w:szCs w:val="24"/>
          <w:lang w:val="en-US" w:eastAsia="zh-CN"/>
          <w14:textFill>
            <w14:solidFill>
              <w14:schemeClr w14:val="tx1"/>
            </w14:solidFill>
          </w14:textFill>
        </w:rPr>
        <w:t>软件</w:t>
      </w:r>
      <w:r>
        <w:rPr>
          <w:rFonts w:hint="eastAsia" w:ascii="宋体" w:hAnsi="宋体" w:cs="宋体"/>
          <w:color w:val="000000" w:themeColor="text1"/>
          <w:kern w:val="0"/>
          <w:sz w:val="24"/>
          <w:szCs w:val="24"/>
          <w14:textFill>
            <w14:solidFill>
              <w14:schemeClr w14:val="tx1"/>
            </w14:solidFill>
          </w14:textFill>
        </w:rPr>
        <w:t>的技术参数、数量、服务等的履约情况进行确认。验收结束后，填写验收书，列明各项标准的验收情况及项目总体评价结果，由验收双方共同签署。</w:t>
      </w:r>
    </w:p>
    <w:p w14:paraId="014CE553">
      <w:pPr>
        <w:ind w:firstLine="482" w:firstLineChars="200"/>
        <w:jc w:val="both"/>
        <w:rPr>
          <w:rFonts w:ascii="宋体" w:hAnsi="宋体" w:cs="宋体"/>
          <w:color w:val="000000" w:themeColor="text1"/>
          <w:sz w:val="24"/>
          <w:szCs w:val="24"/>
          <w14:textFill>
            <w14:solidFill>
              <w14:schemeClr w14:val="tx1"/>
            </w14:solidFill>
          </w14:textFill>
        </w:rPr>
      </w:pPr>
      <w:permStart w:id="6" w:edGrp="everyone"/>
      <w:bookmarkStart w:id="92" w:name="_Toc10977"/>
      <w:bookmarkStart w:id="93" w:name="_Toc19731"/>
      <w:bookmarkStart w:id="94" w:name="_Toc76387241"/>
      <w:r>
        <w:rPr>
          <w:rFonts w:hint="eastAsia" w:cs="宋体"/>
          <w:b/>
          <w:bCs/>
          <w:color w:val="000000" w:themeColor="text1"/>
          <w:sz w:val="24"/>
          <w14:textFill>
            <w14:solidFill>
              <w14:schemeClr w14:val="tx1"/>
            </w14:solidFill>
          </w14:textFill>
        </w:rPr>
        <w:t>（七）其他商务要求内容</w:t>
      </w:r>
      <w:bookmarkEnd w:id="92"/>
      <w:bookmarkEnd w:id="93"/>
      <w:bookmarkEnd w:id="94"/>
      <w:r>
        <w:rPr>
          <w:rFonts w:hint="eastAsia" w:cs="宋体"/>
          <w:b/>
          <w:bCs/>
          <w:color w:val="000000" w:themeColor="text1"/>
          <w:sz w:val="24"/>
          <w14:textFill>
            <w14:solidFill>
              <w14:schemeClr w14:val="tx1"/>
            </w14:solidFill>
          </w14:textFill>
        </w:rPr>
        <w:t>：无</w:t>
      </w:r>
    </w:p>
    <w:p w14:paraId="779191DE">
      <w:pPr>
        <w:jc w:val="both"/>
        <w:rPr>
          <w:rFonts w:hint="eastAsia"/>
          <w:b/>
          <w:bCs/>
          <w:color w:val="000000" w:themeColor="text1"/>
          <w:sz w:val="24"/>
          <w:szCs w:val="18"/>
          <w14:textFill>
            <w14:solidFill>
              <w14:schemeClr w14:val="tx1"/>
            </w14:solidFill>
          </w14:textFill>
        </w:rPr>
      </w:pPr>
    </w:p>
    <w:permEnd w:id="6"/>
    <w:p w14:paraId="440CC209">
      <w:pPr>
        <w:jc w:val="both"/>
        <w:outlineLvl w:val="1"/>
        <w:rPr>
          <w:rFonts w:hint="eastAsia"/>
          <w:b/>
          <w:bCs/>
          <w:color w:val="000000" w:themeColor="text1"/>
          <w:sz w:val="24"/>
          <w:szCs w:val="18"/>
          <w14:textFill>
            <w14:solidFill>
              <w14:schemeClr w14:val="tx1"/>
            </w14:solidFill>
          </w14:textFill>
        </w:rPr>
      </w:pPr>
      <w:bookmarkStart w:id="95" w:name="_Toc25131"/>
      <w:r>
        <w:rPr>
          <w:rFonts w:hint="eastAsia"/>
          <w:b/>
          <w:bCs/>
          <w:color w:val="000000" w:themeColor="text1"/>
          <w:sz w:val="24"/>
          <w:szCs w:val="18"/>
          <w14:textFill>
            <w14:solidFill>
              <w14:schemeClr w14:val="tx1"/>
            </w14:solidFill>
          </w14:textFill>
        </w:rPr>
        <w:t>三、总体要求</w:t>
      </w:r>
      <w:bookmarkEnd w:id="95"/>
    </w:p>
    <w:p w14:paraId="3D0338AA">
      <w:pPr>
        <w:spacing w:line="400" w:lineRule="exact"/>
        <w:ind w:firstLine="480" w:firstLineChars="200"/>
        <w:jc w:val="both"/>
        <w:rPr>
          <w:rFonts w:hint="eastAsia"/>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1.标注“</w:t>
      </w:r>
      <w:r>
        <w:rPr>
          <w:rFonts w:hint="eastAsia" w:ascii="宋体" w:hAnsi="宋体" w:cs="宋体"/>
          <w:color w:val="000000" w:themeColor="text1"/>
          <w:sz w:val="21"/>
          <w:szCs w:val="21"/>
          <w14:textFill>
            <w14:solidFill>
              <w14:schemeClr w14:val="tx1"/>
            </w14:solidFill>
          </w14:textFill>
        </w:rPr>
        <w:t>※</w:t>
      </w:r>
      <w:r>
        <w:rPr>
          <w:rFonts w:hint="eastAsia"/>
          <w:color w:val="000000" w:themeColor="text1"/>
          <w:sz w:val="24"/>
          <w:szCs w:val="18"/>
          <w14:textFill>
            <w14:solidFill>
              <w14:schemeClr w14:val="tx1"/>
            </w14:solidFill>
          </w14:textFill>
        </w:rPr>
        <w:t>”条款为实质性要求，不允许负偏离，否则竞选无效。针对“</w:t>
      </w:r>
      <w:r>
        <w:rPr>
          <w:rFonts w:hint="eastAsia" w:ascii="宋体" w:hAnsi="宋体" w:cs="宋体"/>
          <w:color w:val="000000" w:themeColor="text1"/>
          <w:sz w:val="21"/>
          <w:szCs w:val="21"/>
          <w14:textFill>
            <w14:solidFill>
              <w14:schemeClr w14:val="tx1"/>
            </w14:solidFill>
          </w14:textFill>
        </w:rPr>
        <w:t>※</w:t>
      </w:r>
      <w:r>
        <w:rPr>
          <w:rFonts w:hint="eastAsia"/>
          <w:color w:val="000000" w:themeColor="text1"/>
          <w:sz w:val="24"/>
          <w:szCs w:val="18"/>
          <w14:textFill>
            <w14:solidFill>
              <w14:schemeClr w14:val="tx1"/>
            </w14:solidFill>
          </w14:textFill>
        </w:rPr>
        <w:t>”条款，采购文件已要求提供证明材料的，按照要求提供；未要求提供证明材料的，竞选人可以以应答或承诺方式响应，也可提供证明材料佐证。</w:t>
      </w:r>
    </w:p>
    <w:p w14:paraId="42CF2BBE">
      <w:pPr>
        <w:spacing w:line="400" w:lineRule="exact"/>
        <w:ind w:firstLine="480" w:firstLineChars="200"/>
        <w:jc w:val="both"/>
        <w:rPr>
          <w:rFonts w:hint="eastAsia"/>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2.“▲”条款为重要参数，不满足的将被扣分。</w:t>
      </w:r>
    </w:p>
    <w:p w14:paraId="5DBCAC06">
      <w:pPr>
        <w:snapToGrid w:val="0"/>
        <w:spacing w:line="400" w:lineRule="exact"/>
        <w:jc w:val="center"/>
        <w:outlineLvl w:val="0"/>
        <w:rPr>
          <w:rFonts w:hint="eastAsia" w:ascii="宋体" w:hAnsi="宋体" w:cs="宋体"/>
          <w:b/>
          <w:color w:val="000000" w:themeColor="text1"/>
          <w:szCs w:val="36"/>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96" w:name="_Toc27737"/>
      <w:bookmarkStart w:id="97" w:name="_Toc20263"/>
      <w:bookmarkStart w:id="98" w:name="_Toc20772"/>
      <w:bookmarkStart w:id="99" w:name="_Toc21856"/>
      <w:bookmarkStart w:id="100" w:name="_Toc2258"/>
      <w:bookmarkStart w:id="101" w:name="_Toc76373885"/>
      <w:bookmarkStart w:id="102" w:name="_Toc12384"/>
      <w:r>
        <w:rPr>
          <w:rFonts w:hint="eastAsia" w:ascii="宋体" w:hAnsi="宋体" w:cs="宋体"/>
          <w:b/>
          <w:color w:val="000000" w:themeColor="text1"/>
          <w:szCs w:val="36"/>
          <w14:textFill>
            <w14:solidFill>
              <w14:schemeClr w14:val="tx1"/>
            </w14:solidFill>
          </w14:textFill>
        </w:rPr>
        <w:t>第三篇  资格审查及评价办法</w:t>
      </w:r>
      <w:bookmarkEnd w:id="96"/>
      <w:bookmarkEnd w:id="97"/>
      <w:bookmarkEnd w:id="98"/>
      <w:bookmarkEnd w:id="99"/>
      <w:bookmarkEnd w:id="100"/>
      <w:bookmarkEnd w:id="101"/>
      <w:bookmarkEnd w:id="102"/>
    </w:p>
    <w:p w14:paraId="19CA1699">
      <w:pPr>
        <w:spacing w:line="400" w:lineRule="exact"/>
        <w:jc w:val="both"/>
        <w:rPr>
          <w:rFonts w:hint="eastAsia" w:cs="宋体"/>
          <w:b/>
          <w:color w:val="000000" w:themeColor="text1"/>
          <w:sz w:val="24"/>
          <w14:textFill>
            <w14:solidFill>
              <w14:schemeClr w14:val="tx1"/>
            </w14:solidFill>
          </w14:textFill>
        </w:rPr>
      </w:pPr>
      <w:bookmarkStart w:id="103" w:name="_Toc23699"/>
      <w:bookmarkStart w:id="104" w:name="_Toc7115"/>
      <w:bookmarkStart w:id="105" w:name="_Toc28189"/>
      <w:bookmarkStart w:id="106" w:name="_Toc76373886"/>
      <w:bookmarkStart w:id="107" w:name="_Toc12712"/>
      <w:bookmarkStart w:id="108" w:name="_Toc11052"/>
    </w:p>
    <w:bookmarkEnd w:id="103"/>
    <w:bookmarkEnd w:id="104"/>
    <w:bookmarkEnd w:id="105"/>
    <w:bookmarkEnd w:id="106"/>
    <w:bookmarkEnd w:id="107"/>
    <w:bookmarkEnd w:id="108"/>
    <w:p w14:paraId="5EBDFAF0">
      <w:pPr>
        <w:spacing w:line="400" w:lineRule="exact"/>
        <w:jc w:val="both"/>
        <w:outlineLvl w:val="1"/>
        <w:rPr>
          <w:rFonts w:hint="eastAsia" w:cs="宋体"/>
          <w:b/>
          <w:color w:val="000000" w:themeColor="text1"/>
          <w:sz w:val="24"/>
          <w14:textFill>
            <w14:solidFill>
              <w14:schemeClr w14:val="tx1"/>
            </w14:solidFill>
          </w14:textFill>
        </w:rPr>
      </w:pPr>
      <w:bookmarkStart w:id="109" w:name="_Toc15011"/>
      <w:bookmarkStart w:id="110" w:name="_Toc8127"/>
      <w:r>
        <w:rPr>
          <w:rFonts w:hint="eastAsia" w:cs="宋体"/>
          <w:b/>
          <w:color w:val="000000" w:themeColor="text1"/>
          <w:sz w:val="24"/>
          <w14:textFill>
            <w14:solidFill>
              <w14:schemeClr w14:val="tx1"/>
            </w14:solidFill>
          </w14:textFill>
        </w:rPr>
        <w:t>一、资格审查及符合性审查</w:t>
      </w:r>
      <w:bookmarkEnd w:id="109"/>
      <w:bookmarkEnd w:id="110"/>
    </w:p>
    <w:p w14:paraId="21A39F6C">
      <w:pPr>
        <w:snapToGrid w:val="0"/>
        <w:spacing w:line="400" w:lineRule="atLeas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根据采购邀请文件中的竞选人资格要求对竞选进行资格审查，若未通过资格审查的采购文件，竞选人不得继续参与后续采购活动，竞选文件不得进入评审环节。</w:t>
      </w:r>
    </w:p>
    <w:p w14:paraId="461F6E6B">
      <w:pPr>
        <w:spacing w:line="400" w:lineRule="exact"/>
        <w:jc w:val="both"/>
        <w:outlineLvl w:val="1"/>
        <w:rPr>
          <w:rFonts w:hint="eastAsia" w:cs="宋体"/>
          <w:b/>
          <w:color w:val="000000" w:themeColor="text1"/>
          <w:sz w:val="24"/>
          <w14:textFill>
            <w14:solidFill>
              <w14:schemeClr w14:val="tx1"/>
            </w14:solidFill>
          </w14:textFill>
        </w:rPr>
      </w:pPr>
      <w:bookmarkStart w:id="111" w:name="_Toc76373887"/>
      <w:bookmarkStart w:id="112" w:name="_Toc5535"/>
      <w:bookmarkStart w:id="113" w:name="_Toc31293"/>
      <w:bookmarkStart w:id="114" w:name="_Toc2786"/>
      <w:bookmarkStart w:id="115" w:name="_Toc9147"/>
      <w:bookmarkStart w:id="116" w:name="_Toc13585"/>
      <w:bookmarkStart w:id="117" w:name="_Toc31457"/>
      <w:bookmarkStart w:id="118" w:name="_Toc26754"/>
      <w:r>
        <w:rPr>
          <w:rFonts w:hint="eastAsia" w:cs="宋体"/>
          <w:b/>
          <w:color w:val="000000" w:themeColor="text1"/>
          <w:sz w:val="24"/>
          <w14:textFill>
            <w14:solidFill>
              <w14:schemeClr w14:val="tx1"/>
            </w14:solidFill>
          </w14:textFill>
        </w:rPr>
        <w:t>二、评选方法</w:t>
      </w:r>
      <w:bookmarkEnd w:id="111"/>
      <w:bookmarkEnd w:id="112"/>
      <w:bookmarkEnd w:id="113"/>
      <w:bookmarkEnd w:id="114"/>
      <w:bookmarkEnd w:id="115"/>
      <w:bookmarkEnd w:id="116"/>
      <w:bookmarkEnd w:id="117"/>
      <w:bookmarkEnd w:id="118"/>
    </w:p>
    <w:p w14:paraId="603623FB">
      <w:pPr>
        <w:snapToGrid w:val="0"/>
        <w:spacing w:line="400" w:lineRule="atLeas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采用综合评分法进行评选。满足采购文件全部实质性要求且按照评审因素的量化指标评审得分最高的竞选人为中选人。竞选人总得分为价格、商务、技术（质量）等评定因素分别按照相应权重值计算分项得分后相加，满分为100分。</w:t>
      </w:r>
    </w:p>
    <w:p w14:paraId="2DDDE336">
      <w:pPr>
        <w:spacing w:line="400" w:lineRule="exact"/>
        <w:jc w:val="both"/>
        <w:outlineLvl w:val="1"/>
        <w:rPr>
          <w:rFonts w:hint="eastAsia" w:cs="宋体"/>
          <w:b/>
          <w:color w:val="000000" w:themeColor="text1"/>
          <w:sz w:val="24"/>
          <w14:textFill>
            <w14:solidFill>
              <w14:schemeClr w14:val="tx1"/>
            </w14:solidFill>
          </w14:textFill>
        </w:rPr>
      </w:pPr>
      <w:bookmarkStart w:id="119" w:name="_Toc9221"/>
      <w:bookmarkStart w:id="120" w:name="_Toc76373888"/>
      <w:bookmarkStart w:id="121" w:name="_Toc267320057"/>
      <w:bookmarkStart w:id="122" w:name="_Toc11923"/>
      <w:bookmarkStart w:id="123" w:name="_Toc18448"/>
      <w:bookmarkStart w:id="124" w:name="_Toc3726"/>
      <w:bookmarkStart w:id="125" w:name="_Toc27869"/>
      <w:bookmarkStart w:id="126" w:name="_Toc31727"/>
      <w:r>
        <w:rPr>
          <w:rFonts w:hint="eastAsia" w:cs="宋体"/>
          <w:b/>
          <w:color w:val="000000" w:themeColor="text1"/>
          <w:sz w:val="24"/>
          <w14:textFill>
            <w14:solidFill>
              <w14:schemeClr w14:val="tx1"/>
            </w14:solidFill>
          </w14:textFill>
        </w:rPr>
        <w:t>三、评价标准</w:t>
      </w:r>
      <w:bookmarkEnd w:id="119"/>
      <w:bookmarkEnd w:id="120"/>
      <w:bookmarkEnd w:id="121"/>
      <w:bookmarkEnd w:id="122"/>
      <w:bookmarkEnd w:id="123"/>
      <w:bookmarkEnd w:id="124"/>
      <w:bookmarkEnd w:id="125"/>
      <w:bookmarkEnd w:id="126"/>
    </w:p>
    <w:p w14:paraId="35E13A66">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permStart w:id="7" w:edGrp="everyone"/>
      <w:bookmarkStart w:id="127" w:name="_Toc16925"/>
      <w:bookmarkStart w:id="128" w:name="_Toc30068"/>
      <w:bookmarkStart w:id="129" w:name="_Toc5251"/>
      <w:bookmarkStart w:id="130" w:name="_Toc2900"/>
      <w:bookmarkStart w:id="131" w:name="_Toc76373889"/>
      <w:bookmarkStart w:id="132" w:name="_Toc8546"/>
      <w:r>
        <w:rPr>
          <w:rFonts w:hint="eastAsia" w:ascii="宋体" w:hAnsi="宋体" w:cs="宋体"/>
          <w:color w:val="000000" w:themeColor="text1"/>
          <w:sz w:val="24"/>
          <w:szCs w:val="24"/>
          <w14:textFill>
            <w14:solidFill>
              <w14:schemeClr w14:val="tx1"/>
            </w14:solidFill>
          </w14:textFill>
        </w:rPr>
        <w:t>（一）（综合评分法）</w:t>
      </w:r>
    </w:p>
    <w:tbl>
      <w:tblPr>
        <w:tblStyle w:val="15"/>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459"/>
        <w:gridCol w:w="726"/>
        <w:gridCol w:w="4925"/>
        <w:gridCol w:w="1976"/>
      </w:tblGrid>
      <w:tr w14:paraId="054B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33" w:type="dxa"/>
            <w:noWrap w:val="0"/>
            <w:vAlign w:val="center"/>
          </w:tcPr>
          <w:p w14:paraId="79CA3ED2">
            <w:pPr>
              <w:ind w:firstLine="28"/>
              <w:jc w:val="both"/>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序号</w:t>
            </w:r>
          </w:p>
        </w:tc>
        <w:tc>
          <w:tcPr>
            <w:tcW w:w="1459" w:type="dxa"/>
            <w:noWrap w:val="0"/>
            <w:vAlign w:val="center"/>
          </w:tcPr>
          <w:p w14:paraId="6B59A988">
            <w:pPr>
              <w:ind w:firstLine="28"/>
              <w:jc w:val="both"/>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评分因素</w:t>
            </w:r>
          </w:p>
          <w:p w14:paraId="73C0AA7C">
            <w:pPr>
              <w:ind w:firstLine="28"/>
              <w:jc w:val="both"/>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及权重</w:t>
            </w:r>
          </w:p>
        </w:tc>
        <w:tc>
          <w:tcPr>
            <w:tcW w:w="726" w:type="dxa"/>
            <w:noWrap w:val="0"/>
            <w:vAlign w:val="center"/>
          </w:tcPr>
          <w:p w14:paraId="7632A949">
            <w:pPr>
              <w:ind w:firstLine="28"/>
              <w:jc w:val="both"/>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分值</w:t>
            </w:r>
          </w:p>
        </w:tc>
        <w:tc>
          <w:tcPr>
            <w:tcW w:w="4925" w:type="dxa"/>
            <w:noWrap w:val="0"/>
            <w:vAlign w:val="center"/>
          </w:tcPr>
          <w:p w14:paraId="033D8A82">
            <w:pPr>
              <w:ind w:firstLine="28"/>
              <w:jc w:val="both"/>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评分标准</w:t>
            </w:r>
          </w:p>
        </w:tc>
        <w:tc>
          <w:tcPr>
            <w:tcW w:w="1976" w:type="dxa"/>
            <w:noWrap w:val="0"/>
            <w:vAlign w:val="center"/>
          </w:tcPr>
          <w:p w14:paraId="0A8A49E3">
            <w:pPr>
              <w:pStyle w:val="19"/>
              <w:spacing w:before="0" w:after="0"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说明</w:t>
            </w:r>
          </w:p>
        </w:tc>
      </w:tr>
      <w:tr w14:paraId="4EE2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33" w:type="dxa"/>
            <w:noWrap w:val="0"/>
            <w:vAlign w:val="center"/>
          </w:tcPr>
          <w:p w14:paraId="3D89AEA0">
            <w:pPr>
              <w:ind w:firstLine="28"/>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1459" w:type="dxa"/>
            <w:noWrap w:val="0"/>
            <w:vAlign w:val="center"/>
          </w:tcPr>
          <w:p w14:paraId="35B1CE9F">
            <w:pPr>
              <w:ind w:firstLine="28"/>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竞选报价</w:t>
            </w:r>
          </w:p>
          <w:p w14:paraId="0C15CDFE">
            <w:pPr>
              <w:ind w:firstLine="28"/>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（40%）</w:t>
            </w:r>
          </w:p>
        </w:tc>
        <w:tc>
          <w:tcPr>
            <w:tcW w:w="726" w:type="dxa"/>
            <w:noWrap w:val="0"/>
            <w:vAlign w:val="center"/>
          </w:tcPr>
          <w:p w14:paraId="48A34DAD">
            <w:pPr>
              <w:ind w:firstLine="28"/>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40</w:t>
            </w:r>
          </w:p>
        </w:tc>
        <w:tc>
          <w:tcPr>
            <w:tcW w:w="4925" w:type="dxa"/>
            <w:noWrap w:val="0"/>
            <w:vAlign w:val="center"/>
          </w:tcPr>
          <w:p w14:paraId="06E54F2D">
            <w:pPr>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有效的竞选报价中的最低价为竞选基准价，其价格分为满分。其他竞选人的价格分统一按照下列公式计算：</w:t>
            </w:r>
          </w:p>
          <w:p w14:paraId="00D49C9A">
            <w:pPr>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竞选报价得分＝（竞选基准价/竞选报价）×价格权重×100。</w:t>
            </w:r>
          </w:p>
        </w:tc>
        <w:tc>
          <w:tcPr>
            <w:tcW w:w="1976" w:type="dxa"/>
            <w:noWrap w:val="0"/>
            <w:vAlign w:val="center"/>
          </w:tcPr>
          <w:p w14:paraId="2DB81677">
            <w:pPr>
              <w:ind w:left="-38"/>
              <w:jc w:val="both"/>
              <w:rPr>
                <w:rFonts w:ascii="宋体" w:hAnsi="宋体" w:cs="宋体"/>
                <w:color w:val="000000" w:themeColor="text1"/>
                <w:sz w:val="21"/>
                <w:szCs w:val="21"/>
                <w14:textFill>
                  <w14:solidFill>
                    <w14:schemeClr w14:val="tx1"/>
                  </w14:solidFill>
                </w14:textFill>
              </w:rPr>
            </w:pPr>
          </w:p>
        </w:tc>
      </w:tr>
      <w:tr w14:paraId="4B57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33" w:type="dxa"/>
            <w:vMerge w:val="restart"/>
            <w:noWrap w:val="0"/>
            <w:vAlign w:val="center"/>
          </w:tcPr>
          <w:p w14:paraId="46099605">
            <w:pPr>
              <w:ind w:firstLine="28"/>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1459" w:type="dxa"/>
            <w:vMerge w:val="restart"/>
            <w:noWrap w:val="0"/>
            <w:vAlign w:val="center"/>
          </w:tcPr>
          <w:p w14:paraId="49A9B51B">
            <w:pPr>
              <w:ind w:firstLine="28"/>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技术（质量）部分</w:t>
            </w:r>
          </w:p>
          <w:p w14:paraId="6A083D91">
            <w:pPr>
              <w:ind w:firstLine="28"/>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（50%）</w:t>
            </w:r>
          </w:p>
        </w:tc>
        <w:tc>
          <w:tcPr>
            <w:tcW w:w="726" w:type="dxa"/>
            <w:noWrap w:val="0"/>
            <w:vAlign w:val="center"/>
          </w:tcPr>
          <w:p w14:paraId="68BAD75D">
            <w:pPr>
              <w:ind w:firstLine="28"/>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40</w:t>
            </w:r>
          </w:p>
        </w:tc>
        <w:tc>
          <w:tcPr>
            <w:tcW w:w="4925" w:type="dxa"/>
            <w:noWrap w:val="0"/>
            <w:vAlign w:val="center"/>
          </w:tcPr>
          <w:p w14:paraId="58AD1760">
            <w:pPr>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1.竞选文件应答有一条不满足采购文件重要技术需求的（本采购文件第二篇中带“▲”号标注的部分），扣10分/条，扣完为止。</w:t>
            </w:r>
          </w:p>
          <w:p w14:paraId="0A5AAB80">
            <w:pPr>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2.竞选文件竞选应答有一条不满足采购文件一般性技术需求的（本采购文件第二篇中“▲”或“※”号标注的部分除外），从起评分中扣除5分/条，有5条及以上不满足的，技术（质量）部分得0分。</w:t>
            </w:r>
          </w:p>
        </w:tc>
        <w:tc>
          <w:tcPr>
            <w:tcW w:w="1976" w:type="dxa"/>
            <w:noWrap w:val="0"/>
            <w:vAlign w:val="center"/>
          </w:tcPr>
          <w:p w14:paraId="11EC9CA7">
            <w:pPr>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“▲”或“※”附支撑材料</w:t>
            </w:r>
            <w:r>
              <w:rPr>
                <w:rFonts w:hint="eastAsia"/>
                <w:color w:val="000000" w:themeColor="text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提供截图</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仅限技术需求部分</w:t>
            </w:r>
            <w:r>
              <w:rPr>
                <w:rFonts w:hint="eastAsia" w:ascii="宋体" w:hAnsi="宋体" w:cs="宋体"/>
                <w:color w:val="000000" w:themeColor="text1"/>
                <w:sz w:val="21"/>
                <w:szCs w:val="21"/>
                <w:lang w:eastAsia="zh-CN"/>
                <w14:textFill>
                  <w14:solidFill>
                    <w14:schemeClr w14:val="tx1"/>
                  </w14:solidFill>
                </w14:textFill>
              </w:rPr>
              <w:t>）</w:t>
            </w:r>
          </w:p>
        </w:tc>
      </w:tr>
      <w:tr w14:paraId="4B22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33" w:type="dxa"/>
            <w:vMerge w:val="continue"/>
            <w:noWrap w:val="0"/>
            <w:vAlign w:val="center"/>
          </w:tcPr>
          <w:p w14:paraId="28202AD4">
            <w:pPr>
              <w:ind w:firstLine="28"/>
              <w:jc w:val="both"/>
              <w:rPr>
                <w:rFonts w:hint="eastAsia" w:ascii="宋体" w:hAnsi="宋体" w:cs="宋体"/>
                <w:color w:val="000000" w:themeColor="text1"/>
                <w:sz w:val="21"/>
                <w:szCs w:val="21"/>
                <w14:textFill>
                  <w14:solidFill>
                    <w14:schemeClr w14:val="tx1"/>
                  </w14:solidFill>
                </w14:textFill>
              </w:rPr>
            </w:pPr>
          </w:p>
        </w:tc>
        <w:tc>
          <w:tcPr>
            <w:tcW w:w="1459" w:type="dxa"/>
            <w:vMerge w:val="continue"/>
            <w:noWrap w:val="0"/>
            <w:vAlign w:val="center"/>
          </w:tcPr>
          <w:p w14:paraId="79AE7472">
            <w:pPr>
              <w:ind w:firstLine="28"/>
              <w:jc w:val="both"/>
              <w:rPr>
                <w:rFonts w:hint="eastAsia" w:ascii="宋体" w:hAnsi="宋体" w:cs="宋体"/>
                <w:color w:val="000000" w:themeColor="text1"/>
                <w:sz w:val="21"/>
                <w:szCs w:val="21"/>
                <w14:textFill>
                  <w14:solidFill>
                    <w14:schemeClr w14:val="tx1"/>
                  </w14:solidFill>
                </w14:textFill>
              </w:rPr>
            </w:pPr>
          </w:p>
        </w:tc>
        <w:tc>
          <w:tcPr>
            <w:tcW w:w="726" w:type="dxa"/>
            <w:noWrap w:val="0"/>
            <w:vAlign w:val="center"/>
          </w:tcPr>
          <w:p w14:paraId="1968FC69">
            <w:pPr>
              <w:ind w:firstLine="28"/>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w:t>
            </w:r>
          </w:p>
        </w:tc>
        <w:tc>
          <w:tcPr>
            <w:tcW w:w="4925" w:type="dxa"/>
            <w:noWrap w:val="0"/>
            <w:vAlign w:val="center"/>
          </w:tcPr>
          <w:p w14:paraId="7B7B9F6B">
            <w:pPr>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技术实施方案10分：评价优8-10；良6-8；中4-6；差不得分。</w:t>
            </w:r>
          </w:p>
        </w:tc>
        <w:tc>
          <w:tcPr>
            <w:tcW w:w="1976" w:type="dxa"/>
            <w:noWrap w:val="0"/>
            <w:vAlign w:val="center"/>
          </w:tcPr>
          <w:p w14:paraId="0BBAED0F">
            <w:pPr>
              <w:jc w:val="both"/>
              <w:rPr>
                <w:rFonts w:hint="eastAsia" w:ascii="宋体" w:hAnsi="宋体" w:cs="宋体"/>
                <w:color w:val="000000" w:themeColor="text1"/>
                <w:sz w:val="21"/>
                <w:szCs w:val="21"/>
                <w14:textFill>
                  <w14:solidFill>
                    <w14:schemeClr w14:val="tx1"/>
                  </w14:solidFill>
                </w14:textFill>
              </w:rPr>
            </w:pPr>
          </w:p>
        </w:tc>
      </w:tr>
      <w:tr w14:paraId="4DB5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33" w:type="dxa"/>
            <w:noWrap w:val="0"/>
            <w:vAlign w:val="center"/>
          </w:tcPr>
          <w:p w14:paraId="7F123D8D">
            <w:pPr>
              <w:ind w:firstLine="28"/>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1459" w:type="dxa"/>
            <w:noWrap w:val="0"/>
            <w:vAlign w:val="center"/>
          </w:tcPr>
          <w:p w14:paraId="5B14693E">
            <w:pPr>
              <w:ind w:firstLine="28"/>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商务部分</w:t>
            </w:r>
          </w:p>
          <w:p w14:paraId="042F6242">
            <w:pPr>
              <w:pStyle w:val="12"/>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w:t>
            </w:r>
          </w:p>
        </w:tc>
        <w:tc>
          <w:tcPr>
            <w:tcW w:w="726" w:type="dxa"/>
            <w:noWrap w:val="0"/>
            <w:vAlign w:val="center"/>
          </w:tcPr>
          <w:p w14:paraId="52F30D2E">
            <w:pPr>
              <w:ind w:firstLine="28"/>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10</w:t>
            </w:r>
          </w:p>
        </w:tc>
        <w:tc>
          <w:tcPr>
            <w:tcW w:w="4925" w:type="dxa"/>
            <w:noWrap w:val="0"/>
            <w:vAlign w:val="center"/>
          </w:tcPr>
          <w:p w14:paraId="585E09D8">
            <w:pPr>
              <w:ind w:left="-38"/>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业绩（</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cs="宋体"/>
                <w:color w:val="000000" w:themeColor="text1"/>
                <w:sz w:val="21"/>
                <w:szCs w:val="21"/>
                <w14:textFill>
                  <w14:solidFill>
                    <w14:schemeClr w14:val="tx1"/>
                  </w14:solidFill>
                </w14:textFill>
              </w:rPr>
              <w:t>分）</w:t>
            </w:r>
          </w:p>
          <w:p w14:paraId="35A1BCC4">
            <w:pPr>
              <w:ind w:left="-38"/>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提供</w:t>
            </w:r>
            <w:r>
              <w:rPr>
                <w:rFonts w:hint="eastAsia" w:ascii="宋体" w:hAnsi="宋体" w:cs="宋体"/>
                <w:color w:val="000000" w:themeColor="text1"/>
                <w:sz w:val="21"/>
                <w:szCs w:val="21"/>
                <w:lang w:val="en-US" w:eastAsia="zh-CN"/>
                <w14:textFill>
                  <w14:solidFill>
                    <w14:schemeClr w14:val="tx1"/>
                  </w14:solidFill>
                </w14:textFill>
              </w:rPr>
              <w:t>2022年1月1日至今类似</w:t>
            </w:r>
            <w:r>
              <w:rPr>
                <w:rFonts w:hint="eastAsia" w:ascii="宋体" w:hAnsi="宋体" w:cs="宋体"/>
                <w:color w:val="000000" w:themeColor="text1"/>
                <w:sz w:val="21"/>
                <w:szCs w:val="21"/>
                <w:lang w:eastAsia="zh-CN"/>
                <w14:textFill>
                  <w14:solidFill>
                    <w14:schemeClr w14:val="tx1"/>
                  </w14:solidFill>
                </w14:textFill>
              </w:rPr>
              <w:t>业绩，</w:t>
            </w:r>
            <w:r>
              <w:rPr>
                <w:rFonts w:hint="eastAsia" w:ascii="宋体" w:hAnsi="宋体" w:cs="宋体"/>
                <w:color w:val="000000" w:themeColor="text1"/>
                <w:sz w:val="21"/>
                <w:szCs w:val="21"/>
                <w:lang w:val="en-US" w:eastAsia="zh-CN"/>
                <w14:textFill>
                  <w14:solidFill>
                    <w14:schemeClr w14:val="tx1"/>
                  </w14:solidFill>
                </w14:textFill>
              </w:rPr>
              <w:t>每提供</w:t>
            </w:r>
            <w:r>
              <w:rPr>
                <w:rFonts w:hint="eastAsia" w:ascii="宋体" w:hAnsi="宋体" w:cs="宋体"/>
                <w:color w:val="000000" w:themeColor="text1"/>
                <w:sz w:val="21"/>
                <w:szCs w:val="21"/>
                <w14:textFill>
                  <w14:solidFill>
                    <w14:schemeClr w14:val="tx1"/>
                  </w14:solidFill>
                </w14:textFill>
              </w:rPr>
              <w:t>1个</w:t>
            </w:r>
            <w:r>
              <w:rPr>
                <w:rFonts w:hint="eastAsia" w:ascii="宋体" w:hAnsi="宋体" w:cs="宋体"/>
                <w:color w:val="000000" w:themeColor="text1"/>
                <w:sz w:val="21"/>
                <w:szCs w:val="21"/>
                <w:lang w:val="en-US" w:eastAsia="zh-CN"/>
                <w14:textFill>
                  <w14:solidFill>
                    <w14:schemeClr w14:val="tx1"/>
                  </w14:solidFill>
                </w14:textFill>
              </w:rPr>
              <w:t>中医类小程序开发</w:t>
            </w:r>
            <w:r>
              <w:rPr>
                <w:rFonts w:hint="eastAsia" w:ascii="宋体" w:hAnsi="宋体" w:cs="宋体"/>
                <w:color w:val="000000" w:themeColor="text1"/>
                <w:sz w:val="21"/>
                <w:szCs w:val="21"/>
                <w14:textFill>
                  <w14:solidFill>
                    <w14:schemeClr w14:val="tx1"/>
                  </w14:solidFill>
                </w14:textFill>
              </w:rPr>
              <w:t>合同得</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分，</w:t>
            </w:r>
            <w:r>
              <w:rPr>
                <w:rFonts w:hint="eastAsia" w:ascii="宋体" w:hAnsi="宋体" w:cs="宋体"/>
                <w:color w:val="000000" w:themeColor="text1"/>
                <w:sz w:val="21"/>
                <w:szCs w:val="21"/>
                <w:lang w:val="en-US" w:eastAsia="zh-CN"/>
                <w14:textFill>
                  <w14:solidFill>
                    <w14:schemeClr w14:val="tx1"/>
                  </w14:solidFill>
                </w14:textFill>
              </w:rPr>
              <w:t>每提供</w:t>
            </w:r>
            <w:r>
              <w:rPr>
                <w:rFonts w:hint="eastAsia" w:ascii="宋体" w:hAnsi="宋体" w:cs="宋体"/>
                <w:color w:val="000000" w:themeColor="text1"/>
                <w:sz w:val="21"/>
                <w:szCs w:val="21"/>
                <w14:textFill>
                  <w14:solidFill>
                    <w14:schemeClr w14:val="tx1"/>
                  </w14:solidFill>
                </w14:textFill>
              </w:rPr>
              <w:t>1个</w:t>
            </w:r>
            <w:r>
              <w:rPr>
                <w:rFonts w:hint="eastAsia" w:ascii="宋体" w:hAnsi="宋体" w:cs="宋体"/>
                <w:color w:val="000000" w:themeColor="text1"/>
                <w:sz w:val="21"/>
                <w:szCs w:val="21"/>
                <w:lang w:val="en-US" w:eastAsia="zh-CN"/>
                <w14:textFill>
                  <w14:solidFill>
                    <w14:schemeClr w14:val="tx1"/>
                  </w14:solidFill>
                </w14:textFill>
              </w:rPr>
              <w:t>名医矩阵式营销打造类合同得2分，共</w:t>
            </w:r>
            <w:r>
              <w:rPr>
                <w:rFonts w:hint="eastAsia" w:ascii="宋体" w:hAnsi="宋体" w:cs="宋体"/>
                <w:color w:val="000000" w:themeColor="text1"/>
                <w:sz w:val="21"/>
                <w:szCs w:val="21"/>
                <w14:textFill>
                  <w14:solidFill>
                    <w14:schemeClr w14:val="tx1"/>
                  </w14:solidFill>
                </w14:textFill>
              </w:rPr>
              <w:t>分</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分。</w:t>
            </w:r>
          </w:p>
        </w:tc>
        <w:tc>
          <w:tcPr>
            <w:tcW w:w="1976" w:type="dxa"/>
            <w:noWrap w:val="0"/>
            <w:vAlign w:val="center"/>
          </w:tcPr>
          <w:p w14:paraId="48F4F6D5">
            <w:pPr>
              <w:ind w:left="-38"/>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提供合同关键页复印件，关键页包括体现合同标的、合同金额、签字盖章页</w:t>
            </w:r>
          </w:p>
        </w:tc>
      </w:tr>
      <w:permEnd w:id="7"/>
    </w:tbl>
    <w:p w14:paraId="3F085A59">
      <w:pPr>
        <w:snapToGrid w:val="0"/>
        <w:spacing w:line="400" w:lineRule="exact"/>
        <w:ind w:firstLine="465"/>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w:t>
      </w:r>
      <w:r>
        <w:rPr>
          <w:rFonts w:hint="eastAsia" w:ascii="宋体" w:hAnsi="宋体" w:cs="宋体"/>
          <w:color w:val="000000" w:themeColor="text1"/>
          <w:sz w:val="24"/>
          <w:szCs w:val="24"/>
          <w:lang w:eastAsia="zh-CN"/>
          <w14:textFill>
            <w14:solidFill>
              <w14:schemeClr w14:val="tx1"/>
            </w14:solidFill>
          </w14:textFill>
        </w:rPr>
        <w:t>家应</w:t>
      </w:r>
      <w:r>
        <w:rPr>
          <w:rFonts w:hint="eastAsia" w:ascii="宋体" w:hAnsi="宋体" w:cs="宋体"/>
          <w:color w:val="000000" w:themeColor="text1"/>
          <w:sz w:val="24"/>
          <w:szCs w:val="24"/>
          <w14:textFill>
            <w14:solidFill>
              <w14:schemeClr w14:val="tx1"/>
            </w14:solidFill>
          </w14:textFill>
        </w:rPr>
        <w:t>当将其作为无效竞选处理。</w:t>
      </w:r>
    </w:p>
    <w:p w14:paraId="54884FF8">
      <w:pPr>
        <w:spacing w:line="400" w:lineRule="exact"/>
        <w:jc w:val="both"/>
        <w:outlineLvl w:val="1"/>
        <w:rPr>
          <w:rFonts w:hint="eastAsia" w:cs="宋体"/>
          <w:b/>
          <w:color w:val="000000" w:themeColor="text1"/>
          <w:sz w:val="24"/>
          <w14:textFill>
            <w14:solidFill>
              <w14:schemeClr w14:val="tx1"/>
            </w14:solidFill>
          </w14:textFill>
        </w:rPr>
      </w:pPr>
      <w:bookmarkStart w:id="133" w:name="_Toc32046"/>
      <w:r>
        <w:rPr>
          <w:rFonts w:hint="eastAsia" w:cs="宋体"/>
          <w:b/>
          <w:color w:val="000000" w:themeColor="text1"/>
          <w:sz w:val="24"/>
          <w14:textFill>
            <w14:solidFill>
              <w14:schemeClr w14:val="tx1"/>
            </w14:solidFill>
          </w14:textFill>
        </w:rPr>
        <w:t>四、无效竞选条款</w:t>
      </w:r>
      <w:bookmarkEnd w:id="127"/>
      <w:bookmarkEnd w:id="128"/>
      <w:bookmarkEnd w:id="129"/>
      <w:bookmarkEnd w:id="130"/>
      <w:bookmarkEnd w:id="131"/>
      <w:bookmarkEnd w:id="132"/>
      <w:bookmarkEnd w:id="133"/>
    </w:p>
    <w:p w14:paraId="292B1A78">
      <w:pPr>
        <w:snapToGrid w:val="0"/>
        <w:spacing w:line="400" w:lineRule="exact"/>
        <w:ind w:firstLine="482" w:firstLineChars="200"/>
        <w:jc w:val="both"/>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竞选人或其</w:t>
      </w:r>
      <w:r>
        <w:rPr>
          <w:rFonts w:hint="eastAsia" w:cs="宋体"/>
          <w:b/>
          <w:bCs/>
          <w:color w:val="000000" w:themeColor="text1"/>
          <w:sz w:val="24"/>
          <w14:textFill>
            <w14:solidFill>
              <w14:schemeClr w14:val="tx1"/>
            </w14:solidFill>
          </w14:textFill>
        </w:rPr>
        <w:t>竞选</w:t>
      </w:r>
      <w:r>
        <w:rPr>
          <w:rFonts w:hint="eastAsia" w:ascii="宋体" w:hAnsi="宋体" w:cs="宋体"/>
          <w:b/>
          <w:bCs/>
          <w:color w:val="000000" w:themeColor="text1"/>
          <w:sz w:val="24"/>
          <w:szCs w:val="24"/>
          <w14:textFill>
            <w14:solidFill>
              <w14:schemeClr w14:val="tx1"/>
            </w14:solidFill>
          </w14:textFill>
        </w:rPr>
        <w:t>文件出现下列情况之一者，经评审专家组讨论后，可做出无效竞选：</w:t>
      </w:r>
    </w:p>
    <w:p w14:paraId="2F005BA9">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（一）未按照采购文件制作竞选文件，在技术与服务需求中提供的支撑材料不符的；</w:t>
      </w:r>
    </w:p>
    <w:p w14:paraId="3676A818">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（二）竞选文件未按采购文件要求签署、盖章的；</w:t>
      </w:r>
    </w:p>
    <w:p w14:paraId="711C3BAF">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（三）不具备采购文件中规定的资格要求的；</w:t>
      </w:r>
    </w:p>
    <w:p w14:paraId="6C5476D9">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（四）报价超过采购文件中规定的预算金额或者最高限价或者单价最高限价的；</w:t>
      </w:r>
    </w:p>
    <w:p w14:paraId="3BC499CA">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（五）竞选文件含有采购人不能接受的附加条件的；</w:t>
      </w:r>
    </w:p>
    <w:p w14:paraId="3788AB57">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（六）竞选人串通竞选的；</w:t>
      </w:r>
    </w:p>
    <w:p w14:paraId="486501AD">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（七）法律、法规和采购文件规定的其他无效情形。</w:t>
      </w:r>
    </w:p>
    <w:p w14:paraId="715866D6">
      <w:pPr>
        <w:spacing w:line="400" w:lineRule="exact"/>
        <w:jc w:val="both"/>
        <w:outlineLvl w:val="1"/>
        <w:rPr>
          <w:rFonts w:hint="eastAsia" w:cs="宋体"/>
          <w:b/>
          <w:color w:val="000000" w:themeColor="text1"/>
          <w:sz w:val="24"/>
          <w14:textFill>
            <w14:solidFill>
              <w14:schemeClr w14:val="tx1"/>
            </w14:solidFill>
          </w14:textFill>
        </w:rPr>
      </w:pPr>
      <w:bookmarkStart w:id="134" w:name="_Toc27443"/>
      <w:bookmarkStart w:id="135" w:name="_Toc11342"/>
      <w:bookmarkStart w:id="136" w:name="_Toc20034"/>
      <w:bookmarkStart w:id="137" w:name="_Toc76373890"/>
      <w:bookmarkStart w:id="138" w:name="_Toc26071"/>
      <w:bookmarkStart w:id="139" w:name="_Toc32104"/>
      <w:r>
        <w:rPr>
          <w:rFonts w:hint="eastAsia" w:cs="宋体"/>
          <w:b/>
          <w:color w:val="000000" w:themeColor="text1"/>
          <w:sz w:val="24"/>
          <w14:textFill>
            <w14:solidFill>
              <w14:schemeClr w14:val="tx1"/>
            </w14:solidFill>
          </w14:textFill>
        </w:rPr>
        <w:t>五、废标条款</w:t>
      </w:r>
      <w:bookmarkEnd w:id="134"/>
      <w:bookmarkEnd w:id="135"/>
      <w:bookmarkEnd w:id="136"/>
      <w:bookmarkEnd w:id="137"/>
      <w:bookmarkEnd w:id="138"/>
      <w:bookmarkEnd w:id="139"/>
    </w:p>
    <w:p w14:paraId="44CAAD0D">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在采购中，出现下列情形之一的，具体分包项目应予作废处理：</w:t>
      </w:r>
    </w:p>
    <w:p w14:paraId="61D793B8">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（一）符合专业条件的竞选人或者对采购文件作实质响应的竞选人不足三家的，经二次挂网仍为两家，并经主管院领导</w:t>
      </w:r>
      <w:r>
        <w:rPr>
          <w:rFonts w:hint="eastAsia" w:ascii="宋体" w:hAnsi="宋体" w:cs="宋体"/>
          <w:color w:val="000000" w:themeColor="text1"/>
          <w:sz w:val="24"/>
          <w:szCs w:val="24"/>
          <w:lang w:eastAsia="zh-CN"/>
          <w14:textFill>
            <w14:solidFill>
              <w14:schemeClr w14:val="tx1"/>
            </w14:solidFill>
          </w14:textFill>
        </w:rPr>
        <w:t>审批</w:t>
      </w:r>
      <w:r>
        <w:rPr>
          <w:rFonts w:hint="eastAsia" w:ascii="宋体" w:hAnsi="宋体" w:cs="宋体"/>
          <w:color w:val="000000" w:themeColor="text1"/>
          <w:sz w:val="24"/>
          <w:szCs w:val="24"/>
          <w14:textFill>
            <w14:solidFill>
              <w14:schemeClr w14:val="tx1"/>
            </w14:solidFill>
          </w14:textFill>
        </w:rPr>
        <w:t>通过的除外；</w:t>
      </w:r>
    </w:p>
    <w:p w14:paraId="4DA31198">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（二）竞选人的报价均超过了采购预算，采购人不能支付的；</w:t>
      </w:r>
    </w:p>
    <w:p w14:paraId="2F4DF999">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（三）出现影响采购公正的违法、违规行为的；</w:t>
      </w:r>
    </w:p>
    <w:p w14:paraId="2F96A846">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（四）因重大变故，采购任务取消的。</w:t>
      </w:r>
    </w:p>
    <w:p w14:paraId="736BE04B">
      <w:pPr>
        <w:snapToGrid w:val="0"/>
        <w:spacing w:line="400" w:lineRule="exact"/>
        <w:jc w:val="both"/>
        <w:rPr>
          <w:rFonts w:hint="eastAsia" w:ascii="宋体" w:hAnsi="宋体" w:cs="宋体"/>
          <w:color w:val="000000" w:themeColor="text1"/>
          <w:sz w:val="24"/>
          <w:szCs w:val="24"/>
          <w14:textFill>
            <w14:solidFill>
              <w14:schemeClr w14:val="tx1"/>
            </w14:solidFill>
          </w14:textFill>
        </w:rPr>
      </w:pPr>
    </w:p>
    <w:p w14:paraId="0EECB7D4">
      <w:pPr>
        <w:widowControl/>
        <w:spacing w:line="360" w:lineRule="auto"/>
        <w:jc w:val="center"/>
        <w:outlineLvl w:val="0"/>
        <w:rPr>
          <w:rFonts w:ascii="宋体" w:hAnsi="宋体" w:cs="宋体"/>
          <w:b/>
          <w:bCs/>
          <w:color w:val="000000" w:themeColor="text1"/>
          <w:kern w:val="36"/>
          <w:sz w:val="32"/>
          <w:szCs w:val="2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140" w:name="_Toc32075"/>
      <w:bookmarkStart w:id="141" w:name="_Toc20391"/>
      <w:bookmarkStart w:id="142" w:name="_Toc76373891"/>
      <w:bookmarkStart w:id="143" w:name="_Toc10864"/>
      <w:bookmarkStart w:id="144" w:name="_Toc25199"/>
      <w:bookmarkStart w:id="145" w:name="_Toc27646"/>
      <w:r>
        <w:rPr>
          <w:rFonts w:hint="eastAsia" w:ascii="宋体" w:hAnsi="宋体" w:cs="宋体"/>
          <w:b/>
          <w:color w:val="000000" w:themeColor="text1"/>
          <w:szCs w:val="36"/>
          <w14:textFill>
            <w14:solidFill>
              <w14:schemeClr w14:val="tx1"/>
            </w14:solidFill>
          </w14:textFill>
        </w:rPr>
        <w:t xml:space="preserve">第四篇  </w:t>
      </w:r>
      <w:bookmarkStart w:id="146" w:name="_Toc349642178"/>
      <w:bookmarkStart w:id="147" w:name="_Toc258354120"/>
      <w:r>
        <w:rPr>
          <w:rFonts w:hint="eastAsia" w:ascii="宋体" w:hAnsi="宋体" w:cs="宋体"/>
          <w:b/>
          <w:bCs/>
          <w:color w:val="000000" w:themeColor="text1"/>
          <w:kern w:val="36"/>
          <w:sz w:val="32"/>
          <w:szCs w:val="21"/>
          <w14:textFill>
            <w14:solidFill>
              <w14:schemeClr w14:val="tx1"/>
            </w14:solidFill>
          </w14:textFill>
        </w:rPr>
        <w:t>中选通知及合同</w:t>
      </w:r>
      <w:bookmarkEnd w:id="146"/>
      <w:bookmarkEnd w:id="147"/>
      <w:r>
        <w:rPr>
          <w:rFonts w:hint="eastAsia" w:ascii="宋体" w:hAnsi="宋体" w:cs="宋体"/>
          <w:b/>
          <w:bCs/>
          <w:color w:val="000000" w:themeColor="text1"/>
          <w:kern w:val="36"/>
          <w:sz w:val="32"/>
          <w:szCs w:val="21"/>
          <w14:textFill>
            <w14:solidFill>
              <w14:schemeClr w14:val="tx1"/>
            </w14:solidFill>
          </w14:textFill>
        </w:rPr>
        <w:t>签订</w:t>
      </w:r>
      <w:bookmarkEnd w:id="140"/>
    </w:p>
    <w:bookmarkEnd w:id="141"/>
    <w:bookmarkEnd w:id="142"/>
    <w:bookmarkEnd w:id="143"/>
    <w:bookmarkEnd w:id="144"/>
    <w:bookmarkEnd w:id="145"/>
    <w:p w14:paraId="1F8E6EEB">
      <w:pPr>
        <w:snapToGrid w:val="0"/>
        <w:spacing w:line="400" w:lineRule="exact"/>
        <w:ind w:firstLine="470" w:firstLineChars="196"/>
        <w:jc w:val="both"/>
        <w:rPr>
          <w:rFonts w:hint="eastAsia" w:ascii="宋体" w:hAnsi="宋体" w:cs="宋体"/>
          <w:bCs/>
          <w:color w:val="000000" w:themeColor="text1"/>
          <w:sz w:val="24"/>
          <w14:textFill>
            <w14:solidFill>
              <w14:schemeClr w14:val="tx1"/>
            </w14:solidFill>
          </w14:textFill>
        </w:rPr>
      </w:pPr>
    </w:p>
    <w:p w14:paraId="0341BA8D">
      <w:pPr>
        <w:snapToGrid w:val="0"/>
        <w:spacing w:line="400" w:lineRule="exact"/>
        <w:ind w:firstLine="482" w:firstLineChars="200"/>
        <w:jc w:val="both"/>
        <w:outlineLvl w:val="1"/>
        <w:rPr>
          <w:rFonts w:hint="eastAsia" w:ascii="宋体" w:hAnsi="宋体" w:cs="宋体"/>
          <w:b/>
          <w:bCs/>
          <w:color w:val="000000" w:themeColor="text1"/>
          <w:sz w:val="24"/>
          <w:szCs w:val="24"/>
          <w14:textFill>
            <w14:solidFill>
              <w14:schemeClr w14:val="tx1"/>
            </w14:solidFill>
          </w14:textFill>
        </w:rPr>
      </w:pPr>
      <w:bookmarkStart w:id="148" w:name="_Toc20703"/>
      <w:r>
        <w:rPr>
          <w:rFonts w:hint="eastAsia" w:ascii="宋体" w:hAnsi="宋体" w:cs="宋体"/>
          <w:b/>
          <w:bCs/>
          <w:color w:val="000000" w:themeColor="text1"/>
          <w:sz w:val="24"/>
          <w:szCs w:val="24"/>
          <w14:textFill>
            <w14:solidFill>
              <w14:schemeClr w14:val="tx1"/>
            </w14:solidFill>
          </w14:textFill>
        </w:rPr>
        <w:t>一</w:t>
      </w:r>
      <w:r>
        <w:rPr>
          <w:rFonts w:hint="eastAsia" w:cs="宋体"/>
          <w:b/>
          <w:color w:val="000000" w:themeColor="text1"/>
          <w:sz w:val="24"/>
          <w14:textFill>
            <w14:solidFill>
              <w14:schemeClr w14:val="tx1"/>
            </w14:solidFill>
          </w14:textFill>
        </w:rPr>
        <w:t>、中选通知</w:t>
      </w:r>
      <w:bookmarkEnd w:id="148"/>
    </w:p>
    <w:p w14:paraId="0FC329E6">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1.采购人只通过官网发布中选公告，且不对未中选人作任何解释；</w:t>
      </w:r>
    </w:p>
    <w:p w14:paraId="695B0772">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2.中选人须在中选公告结束后，两个工作日内领取中选通知书。</w:t>
      </w:r>
    </w:p>
    <w:p w14:paraId="4EB63F77">
      <w:pPr>
        <w:snapToGrid w:val="0"/>
        <w:spacing w:line="400" w:lineRule="exact"/>
        <w:ind w:firstLine="482" w:firstLineChars="200"/>
        <w:jc w:val="both"/>
        <w:outlineLvl w:val="1"/>
        <w:rPr>
          <w:rFonts w:hint="eastAsia" w:ascii="宋体" w:hAnsi="宋体" w:cs="宋体"/>
          <w:b/>
          <w:bCs/>
          <w:color w:val="000000" w:themeColor="text1"/>
          <w:sz w:val="24"/>
          <w:szCs w:val="24"/>
          <w14:textFill>
            <w14:solidFill>
              <w14:schemeClr w14:val="tx1"/>
            </w14:solidFill>
          </w14:textFill>
        </w:rPr>
      </w:pPr>
      <w:bookmarkStart w:id="149" w:name="_Toc7577"/>
      <w:bookmarkStart w:id="150" w:name="_Toc6514"/>
      <w:r>
        <w:rPr>
          <w:rFonts w:hint="eastAsia" w:ascii="宋体" w:hAnsi="宋体" w:cs="宋体"/>
          <w:b/>
          <w:bCs/>
          <w:color w:val="000000" w:themeColor="text1"/>
          <w:sz w:val="24"/>
          <w:szCs w:val="24"/>
          <w14:textFill>
            <w14:solidFill>
              <w14:schemeClr w14:val="tx1"/>
            </w14:solidFill>
          </w14:textFill>
        </w:rPr>
        <w:t>二、采购人有拒绝任何或所有竞选的权力</w:t>
      </w:r>
      <w:bookmarkEnd w:id="149"/>
      <w:bookmarkEnd w:id="150"/>
    </w:p>
    <w:p w14:paraId="51355726">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1.在发布中选通知书发出前，采购人有权对竞选人资格、竞选文件、应答支撑材料等真实性进行现场复核，对竞选产品提出性能验证等要求，若竞选人拒绝，视作放弃本次竞选资格。</w:t>
      </w:r>
    </w:p>
    <w:p w14:paraId="4ACAD3D7">
      <w:pPr>
        <w:widowControl/>
        <w:spacing w:line="400" w:lineRule="exact"/>
        <w:ind w:firstLine="480" w:firstLineChars="200"/>
        <w:jc w:val="both"/>
        <w:rPr>
          <w:rFonts w:hint="eastAsia"/>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2.在发布中选通知书发出前，采购人可以依据院内采购小组及评审专家的评价建议接受或拒绝任何竞选。</w:t>
      </w:r>
    </w:p>
    <w:p w14:paraId="3C795000">
      <w:pPr>
        <w:snapToGrid w:val="0"/>
        <w:spacing w:line="400" w:lineRule="exact"/>
        <w:ind w:firstLine="482" w:firstLineChars="200"/>
        <w:jc w:val="both"/>
        <w:outlineLvl w:val="1"/>
        <w:rPr>
          <w:rFonts w:hint="eastAsia" w:ascii="宋体" w:hAnsi="宋体" w:cs="宋体"/>
          <w:b/>
          <w:bCs/>
          <w:color w:val="000000" w:themeColor="text1"/>
          <w:sz w:val="24"/>
          <w:szCs w:val="24"/>
          <w14:textFill>
            <w14:solidFill>
              <w14:schemeClr w14:val="tx1"/>
            </w14:solidFill>
          </w14:textFill>
        </w:rPr>
      </w:pPr>
      <w:bookmarkStart w:id="151" w:name="_Toc23932"/>
      <w:r>
        <w:rPr>
          <w:rFonts w:hint="eastAsia" w:ascii="宋体" w:hAnsi="宋体" w:cs="宋体"/>
          <w:b/>
          <w:bCs/>
          <w:color w:val="000000" w:themeColor="text1"/>
          <w:sz w:val="24"/>
          <w:szCs w:val="24"/>
          <w14:textFill>
            <w14:solidFill>
              <w14:schemeClr w14:val="tx1"/>
            </w14:solidFill>
          </w14:textFill>
        </w:rPr>
        <w:t>三、合同协议书的签订</w:t>
      </w:r>
      <w:bookmarkEnd w:id="151"/>
    </w:p>
    <w:p w14:paraId="45A6D06D">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按照采购文件和中选人的竞选文件签订采购合同，中选人未在10个工作日内递交合同或放弃中选人资格的，则采购人将有充分的理由废除该中选人资格，并将该中选人纳入医院失信供应商名单，两年之内不得参与医院任何级别的采购项目。采购人可顺延第二中选候选人为本项目的中选人或重新组织竞选；</w:t>
      </w:r>
    </w:p>
    <w:p w14:paraId="70C23783">
      <w:pPr>
        <w:snapToGrid w:val="0"/>
        <w:spacing w:line="400" w:lineRule="exact"/>
        <w:ind w:firstLine="480" w:firstLineChars="200"/>
        <w:jc w:val="both"/>
        <w:rPr>
          <w:rFonts w:hint="eastAsia"/>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2.如采购人因中选人未按时递交合同或放弃中选资格而造成损失，中选人应予以赔偿，同时依法承担相应法律责任；</w:t>
      </w:r>
    </w:p>
    <w:p w14:paraId="5502A7A3">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3.中选人应当按照合同约定履行义务，完成中选项目，不得将中选项目转让(转包)给他人。</w:t>
      </w:r>
    </w:p>
    <w:p w14:paraId="740B0526">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4.交货期限是指自确定中选之日起，乙方按竞选现场承诺的时间，在甲方指定地点交付本合同约定的所有货品。</w:t>
      </w:r>
    </w:p>
    <w:p w14:paraId="3ABAC0A8">
      <w:pPr>
        <w:snapToGrid w:val="0"/>
        <w:spacing w:line="400" w:lineRule="exact"/>
        <w:ind w:firstLine="482" w:firstLineChars="200"/>
        <w:jc w:val="both"/>
        <w:outlineLvl w:val="1"/>
        <w:rPr>
          <w:rFonts w:hint="eastAsia" w:ascii="宋体" w:hAnsi="宋体" w:cs="宋体"/>
          <w:b/>
          <w:bCs/>
          <w:color w:val="000000" w:themeColor="text1"/>
          <w:sz w:val="24"/>
          <w:szCs w:val="24"/>
          <w14:textFill>
            <w14:solidFill>
              <w14:schemeClr w14:val="tx1"/>
            </w14:solidFill>
          </w14:textFill>
        </w:rPr>
      </w:pPr>
      <w:bookmarkStart w:id="152" w:name="_Toc30283"/>
      <w:r>
        <w:rPr>
          <w:rFonts w:hint="eastAsia" w:ascii="宋体" w:hAnsi="宋体" w:cs="宋体"/>
          <w:b/>
          <w:bCs/>
          <w:color w:val="000000" w:themeColor="text1"/>
          <w:sz w:val="24"/>
          <w:szCs w:val="24"/>
          <w14:textFill>
            <w14:solidFill>
              <w14:schemeClr w14:val="tx1"/>
            </w14:solidFill>
          </w14:textFill>
        </w:rPr>
        <w:t>四、其它</w:t>
      </w:r>
      <w:bookmarkEnd w:id="152"/>
    </w:p>
    <w:p w14:paraId="599BCEB1">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1.竞选时，所有解释均依据本采购文件及有关文件规定。</w:t>
      </w:r>
    </w:p>
    <w:p w14:paraId="5821CEDB">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2.本采购文件最终解释权归采购人。</w:t>
      </w:r>
    </w:p>
    <w:p w14:paraId="3BF25C6E">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3.竞选后，无论中选与否，所有竞选文件采购人不予退还。</w:t>
      </w:r>
    </w:p>
    <w:p w14:paraId="3F0F583A">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4.本采购文件未尽事宜可按现行的有关法律法规和规定参照执行。</w:t>
      </w:r>
    </w:p>
    <w:p w14:paraId="4F2E0ABD">
      <w:pPr>
        <w:tabs>
          <w:tab w:val="left" w:pos="3360"/>
        </w:tabs>
        <w:spacing w:line="360" w:lineRule="auto"/>
        <w:jc w:val="center"/>
        <w:outlineLvl w:val="0"/>
        <w:rPr>
          <w:rFonts w:hint="eastAsia" w:ascii="宋体" w:hAnsi="宋体" w:cs="宋体"/>
          <w:b/>
          <w:color w:val="000000" w:themeColor="text1"/>
          <w:sz w:val="32"/>
          <w:szCs w:val="40"/>
          <w14:textFill>
            <w14:solidFill>
              <w14:schemeClr w14:val="tx1"/>
            </w14:solidFill>
          </w14:textFill>
        </w:rPr>
      </w:pPr>
      <w:bookmarkStart w:id="153" w:name="_Toc10152"/>
      <w:bookmarkStart w:id="154" w:name="_Toc76373904"/>
      <w:bookmarkStart w:id="155" w:name="_Toc24088"/>
      <w:bookmarkStart w:id="156" w:name="_Toc2975"/>
      <w:bookmarkStart w:id="157" w:name="_Toc19409"/>
      <w:bookmarkStart w:id="158" w:name="_Toc20762"/>
      <w:bookmarkStart w:id="159" w:name="_Toc617"/>
      <w:r>
        <w:rPr>
          <w:rFonts w:hint="eastAsia" w:ascii="宋体" w:hAnsi="宋体" w:cs="宋体"/>
          <w:b/>
          <w:color w:val="000000" w:themeColor="text1"/>
          <w:szCs w:val="36"/>
          <w14:textFill>
            <w14:solidFill>
              <w14:schemeClr w14:val="tx1"/>
            </w14:solidFill>
          </w14:textFill>
        </w:rPr>
        <w:br w:type="column"/>
      </w:r>
      <w:bookmarkEnd w:id="153"/>
      <w:bookmarkEnd w:id="154"/>
      <w:bookmarkEnd w:id="155"/>
      <w:bookmarkEnd w:id="156"/>
      <w:bookmarkEnd w:id="157"/>
      <w:bookmarkEnd w:id="158"/>
      <w:bookmarkStart w:id="160" w:name="_Toc12863"/>
      <w:bookmarkStart w:id="161" w:name="_Toc11763"/>
      <w:bookmarkStart w:id="162" w:name="_Toc11892"/>
      <w:bookmarkStart w:id="163" w:name="_Toc8684"/>
      <w:bookmarkStart w:id="164" w:name="_Toc76373907"/>
      <w:bookmarkStart w:id="165" w:name="_Toc7750"/>
      <w:bookmarkStart w:id="166" w:name="_Toc16112"/>
      <w:r>
        <w:rPr>
          <w:rFonts w:hint="eastAsia" w:ascii="宋体" w:hAnsi="宋体" w:cs="宋体"/>
          <w:b/>
          <w:color w:val="000000" w:themeColor="text1"/>
          <w:sz w:val="32"/>
          <w:szCs w:val="40"/>
          <w14:textFill>
            <w14:solidFill>
              <w14:schemeClr w14:val="tx1"/>
            </w14:solidFill>
          </w14:textFill>
        </w:rPr>
        <w:t>第</w:t>
      </w:r>
      <w:r>
        <w:rPr>
          <w:rFonts w:hint="eastAsia" w:ascii="宋体" w:hAnsi="宋体" w:cs="宋体"/>
          <w:b/>
          <w:color w:val="000000" w:themeColor="text1"/>
          <w:sz w:val="32"/>
          <w:szCs w:val="40"/>
          <w:lang w:val="en-US" w:eastAsia="zh-CN"/>
          <w14:textFill>
            <w14:solidFill>
              <w14:schemeClr w14:val="tx1"/>
            </w14:solidFill>
          </w14:textFill>
        </w:rPr>
        <w:t>五</w:t>
      </w:r>
      <w:r>
        <w:rPr>
          <w:rFonts w:hint="eastAsia" w:ascii="宋体" w:hAnsi="宋体" w:cs="宋体"/>
          <w:b/>
          <w:color w:val="000000" w:themeColor="text1"/>
          <w:sz w:val="32"/>
          <w:szCs w:val="40"/>
          <w14:textFill>
            <w14:solidFill>
              <w14:schemeClr w14:val="tx1"/>
            </w14:solidFill>
          </w14:textFill>
        </w:rPr>
        <w:t>篇  采购文件格式</w:t>
      </w:r>
      <w:bookmarkEnd w:id="159"/>
      <w:bookmarkEnd w:id="160"/>
      <w:bookmarkEnd w:id="161"/>
      <w:bookmarkEnd w:id="162"/>
      <w:bookmarkEnd w:id="163"/>
      <w:bookmarkEnd w:id="164"/>
      <w:bookmarkEnd w:id="165"/>
      <w:bookmarkEnd w:id="166"/>
    </w:p>
    <w:p w14:paraId="685DBD3F">
      <w:pPr>
        <w:spacing w:line="400" w:lineRule="exact"/>
        <w:ind w:firstLine="482" w:firstLineChars="200"/>
        <w:jc w:val="both"/>
        <w:rPr>
          <w:rFonts w:hint="eastAsia" w:ascii="宋体" w:hAnsi="宋体" w:cs="宋体"/>
          <w:b/>
          <w:bCs/>
          <w:color w:val="000000" w:themeColor="text1"/>
          <w:sz w:val="24"/>
          <w:szCs w:val="24"/>
          <w14:textFill>
            <w14:solidFill>
              <w14:schemeClr w14:val="tx1"/>
            </w14:solidFill>
          </w14:textFill>
        </w:rPr>
      </w:pPr>
      <w:bookmarkStart w:id="167" w:name="_Toc6437"/>
      <w:r>
        <w:rPr>
          <w:rFonts w:hint="eastAsia" w:ascii="宋体" w:hAnsi="宋体" w:cs="宋体"/>
          <w:b/>
          <w:bCs/>
          <w:color w:val="000000" w:themeColor="text1"/>
          <w:sz w:val="24"/>
          <w:szCs w:val="24"/>
          <w14:textFill>
            <w14:solidFill>
              <w14:schemeClr w14:val="tx1"/>
            </w14:solidFill>
          </w14:textFill>
        </w:rPr>
        <w:t>一、竞选文件的份数和签署</w:t>
      </w:r>
    </w:p>
    <w:p w14:paraId="3D6FD4C5">
      <w:pPr>
        <w:tabs>
          <w:tab w:val="left" w:pos="0"/>
        </w:tabs>
        <w:spacing w:line="400" w:lineRule="exact"/>
        <w:ind w:firstLine="480" w:firstLineChars="200"/>
        <w:jc w:val="both"/>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1.竞选文件须按照以下</w:t>
      </w:r>
      <w:r>
        <w:rPr>
          <w:rFonts w:hint="eastAsia" w:ascii="宋体" w:hAnsi="宋体" w:cs="宋体"/>
          <w:color w:val="000000" w:themeColor="text1"/>
          <w:sz w:val="24"/>
          <w:lang w:eastAsia="zh-CN"/>
          <w14:textFill>
            <w14:solidFill>
              <w14:schemeClr w14:val="tx1"/>
            </w14:solidFill>
          </w14:textFill>
        </w:rPr>
        <w:t>顺序</w:t>
      </w:r>
      <w:r>
        <w:rPr>
          <w:rFonts w:hint="eastAsia" w:ascii="宋体" w:hAnsi="宋体" w:cs="宋体"/>
          <w:color w:val="000000" w:themeColor="text1"/>
          <w:sz w:val="24"/>
          <w14:textFill>
            <w14:solidFill>
              <w14:schemeClr w14:val="tx1"/>
            </w14:solidFill>
          </w14:textFill>
        </w:rPr>
        <w:t>制作竞选文件。</w:t>
      </w:r>
    </w:p>
    <w:p w14:paraId="4D216F33">
      <w:pPr>
        <w:tabs>
          <w:tab w:val="left" w:pos="0"/>
        </w:tabs>
        <w:spacing w:line="400" w:lineRule="exact"/>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竞选文件正本一份，副本</w:t>
      </w:r>
      <w:r>
        <w:rPr>
          <w:rFonts w:hint="eastAsia" w:ascii="宋体" w:hAnsi="宋体" w:cs="宋体"/>
          <w:color w:val="000000" w:themeColor="text1"/>
          <w:sz w:val="24"/>
          <w:lang w:val="en-US" w:eastAsia="zh-CN"/>
          <w14:textFill>
            <w14:solidFill>
              <w14:schemeClr w14:val="tx1"/>
            </w14:solidFill>
          </w14:textFill>
        </w:rPr>
        <w:t>三</w:t>
      </w:r>
      <w:r>
        <w:rPr>
          <w:rFonts w:hint="eastAsia" w:ascii="宋体" w:hAnsi="宋体" w:cs="宋体"/>
          <w:color w:val="000000" w:themeColor="text1"/>
          <w:sz w:val="24"/>
          <w14:textFill>
            <w14:solidFill>
              <w14:schemeClr w14:val="tx1"/>
            </w14:solidFill>
          </w14:textFill>
        </w:rPr>
        <w:t>份，均为纸质件。每套竞选文件须在封面清楚地标明“正本”、“副本”，副本应为正本的完整复印件，副本与正本不一致时以正本为准。</w:t>
      </w:r>
    </w:p>
    <w:p w14:paraId="50C04BD7">
      <w:pPr>
        <w:tabs>
          <w:tab w:val="left" w:pos="0"/>
        </w:tabs>
        <w:spacing w:line="400" w:lineRule="exact"/>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2.在竞选文件正本中，规定签署、盖章的地方必须按其规定签署、盖章。</w:t>
      </w:r>
    </w:p>
    <w:p w14:paraId="48DAED71">
      <w:pPr>
        <w:tabs>
          <w:tab w:val="left" w:pos="0"/>
        </w:tabs>
        <w:spacing w:line="400" w:lineRule="exact"/>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3.若竞选人对竞选文件的错处作必要修改，则应在修改处加盖竞选人公章或由</w:t>
      </w:r>
      <w:r>
        <w:rPr>
          <w:rFonts w:hint="eastAsia" w:ascii="宋体" w:hAnsi="宋体" w:cs="宋体"/>
          <w:color w:val="000000" w:themeColor="text1"/>
          <w:sz w:val="24"/>
          <w:szCs w:val="28"/>
          <w14:textFill>
            <w14:solidFill>
              <w14:schemeClr w14:val="tx1"/>
            </w14:solidFill>
          </w14:textFill>
        </w:rPr>
        <w:t>法定代表人（或其授权代表）或自然人（竞选人为自然人）</w:t>
      </w:r>
      <w:r>
        <w:rPr>
          <w:rFonts w:hint="eastAsia" w:ascii="宋体" w:hAnsi="宋体" w:cs="宋体"/>
          <w:color w:val="000000" w:themeColor="text1"/>
          <w:sz w:val="24"/>
          <w14:textFill>
            <w14:solidFill>
              <w14:schemeClr w14:val="tx1"/>
            </w14:solidFill>
          </w14:textFill>
        </w:rPr>
        <w:t>签署确认。</w:t>
      </w:r>
    </w:p>
    <w:p w14:paraId="6DEB9786">
      <w:pPr>
        <w:snapToGrid w:val="0"/>
        <w:spacing w:line="400" w:lineRule="exact"/>
        <w:ind w:firstLine="470" w:firstLineChars="196"/>
        <w:jc w:val="both"/>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4.竞选文件均为纸质件，其它形式的竞选文件概不接受。</w:t>
      </w:r>
    </w:p>
    <w:p w14:paraId="0EE4598E">
      <w:pPr>
        <w:spacing w:line="400" w:lineRule="exact"/>
        <w:ind w:firstLine="482" w:firstLineChars="200"/>
        <w:jc w:val="both"/>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二、封面格式</w:t>
      </w:r>
    </w:p>
    <w:p w14:paraId="6444154A">
      <w:pPr>
        <w:spacing w:line="400" w:lineRule="exact"/>
        <w:ind w:firstLine="482" w:firstLineChars="200"/>
        <w:jc w:val="both"/>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三、经济文件</w:t>
      </w:r>
      <w:bookmarkEnd w:id="167"/>
      <w:r>
        <w:rPr>
          <w:rFonts w:hint="eastAsia" w:ascii="宋体" w:hAnsi="宋体" w:cs="宋体"/>
          <w:b/>
          <w:bCs/>
          <w:color w:val="000000" w:themeColor="text1"/>
          <w:sz w:val="24"/>
          <w:szCs w:val="24"/>
          <w14:textFill>
            <w14:solidFill>
              <w14:schemeClr w14:val="tx1"/>
            </w14:solidFill>
          </w14:textFill>
        </w:rPr>
        <w:t>格式</w:t>
      </w:r>
    </w:p>
    <w:p w14:paraId="0168DA29">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（一）报价一览表</w:t>
      </w:r>
    </w:p>
    <w:p w14:paraId="0CFA78DD">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（二）易损件与零配件报价表</w:t>
      </w:r>
    </w:p>
    <w:p w14:paraId="3622E18C">
      <w:pPr>
        <w:spacing w:line="400" w:lineRule="exact"/>
        <w:ind w:firstLine="482" w:firstLineChars="200"/>
        <w:jc w:val="both"/>
        <w:rPr>
          <w:rFonts w:hint="eastAsia" w:ascii="宋体" w:hAnsi="宋体" w:cs="宋体"/>
          <w:b/>
          <w:bCs/>
          <w:color w:val="000000" w:themeColor="text1"/>
          <w:sz w:val="24"/>
          <w:szCs w:val="24"/>
          <w14:textFill>
            <w14:solidFill>
              <w14:schemeClr w14:val="tx1"/>
            </w14:solidFill>
          </w14:textFill>
        </w:rPr>
      </w:pPr>
      <w:bookmarkStart w:id="168" w:name="_Toc17664"/>
      <w:r>
        <w:rPr>
          <w:rFonts w:hint="eastAsia" w:ascii="宋体" w:hAnsi="宋体" w:cs="宋体"/>
          <w:b/>
          <w:bCs/>
          <w:color w:val="000000" w:themeColor="text1"/>
          <w:sz w:val="24"/>
          <w:szCs w:val="24"/>
          <w14:textFill>
            <w14:solidFill>
              <w14:schemeClr w14:val="tx1"/>
            </w14:solidFill>
          </w14:textFill>
        </w:rPr>
        <w:t>四、技术（质量）文件</w:t>
      </w:r>
      <w:bookmarkEnd w:id="168"/>
      <w:r>
        <w:rPr>
          <w:rFonts w:hint="eastAsia" w:ascii="宋体" w:hAnsi="宋体" w:cs="宋体"/>
          <w:b/>
          <w:bCs/>
          <w:color w:val="000000" w:themeColor="text1"/>
          <w:sz w:val="24"/>
          <w:szCs w:val="24"/>
          <w14:textFill>
            <w14:solidFill>
              <w14:schemeClr w14:val="tx1"/>
            </w14:solidFill>
          </w14:textFill>
        </w:rPr>
        <w:t>格式</w:t>
      </w:r>
    </w:p>
    <w:p w14:paraId="14F9ACC1">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（一）技术（质量）条款差异表</w:t>
      </w:r>
    </w:p>
    <w:p w14:paraId="6A67377D">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（二）其他技术（质量）资料</w:t>
      </w:r>
    </w:p>
    <w:p w14:paraId="74CECB41">
      <w:pPr>
        <w:spacing w:line="400" w:lineRule="exact"/>
        <w:ind w:firstLine="482" w:firstLineChars="200"/>
        <w:jc w:val="both"/>
        <w:rPr>
          <w:rFonts w:hint="eastAsia" w:ascii="宋体" w:hAnsi="宋体" w:cs="宋体"/>
          <w:b/>
          <w:bCs/>
          <w:color w:val="000000" w:themeColor="text1"/>
          <w:sz w:val="24"/>
          <w:szCs w:val="24"/>
          <w14:textFill>
            <w14:solidFill>
              <w14:schemeClr w14:val="tx1"/>
            </w14:solidFill>
          </w14:textFill>
        </w:rPr>
      </w:pPr>
      <w:bookmarkStart w:id="169" w:name="_Toc4012"/>
      <w:bookmarkStart w:id="170" w:name="_Toc24824"/>
      <w:r>
        <w:rPr>
          <w:rFonts w:hint="eastAsia" w:ascii="宋体" w:hAnsi="宋体" w:cs="宋体"/>
          <w:b/>
          <w:bCs/>
          <w:color w:val="000000" w:themeColor="text1"/>
          <w:sz w:val="24"/>
          <w:szCs w:val="24"/>
          <w14:textFill>
            <w14:solidFill>
              <w14:schemeClr w14:val="tx1"/>
            </w14:solidFill>
          </w14:textFill>
        </w:rPr>
        <w:t>五、</w:t>
      </w:r>
      <w:bookmarkEnd w:id="169"/>
      <w:r>
        <w:rPr>
          <w:rFonts w:hint="eastAsia" w:ascii="宋体" w:hAnsi="宋体" w:cs="宋体"/>
          <w:b/>
          <w:bCs/>
          <w:color w:val="000000" w:themeColor="text1"/>
          <w:sz w:val="24"/>
          <w:szCs w:val="24"/>
          <w14:textFill>
            <w14:solidFill>
              <w14:schemeClr w14:val="tx1"/>
            </w14:solidFill>
          </w14:textFill>
        </w:rPr>
        <w:t>商务文件</w:t>
      </w:r>
      <w:bookmarkEnd w:id="170"/>
      <w:r>
        <w:rPr>
          <w:rFonts w:hint="eastAsia" w:ascii="宋体" w:hAnsi="宋体" w:cs="宋体"/>
          <w:b/>
          <w:bCs/>
          <w:color w:val="000000" w:themeColor="text1"/>
          <w:sz w:val="24"/>
          <w:szCs w:val="24"/>
          <w14:textFill>
            <w14:solidFill>
              <w14:schemeClr w14:val="tx1"/>
            </w14:solidFill>
          </w14:textFill>
        </w:rPr>
        <w:t>格式</w:t>
      </w:r>
    </w:p>
    <w:p w14:paraId="1F5C87F4">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（一）竞选函（格式）</w:t>
      </w:r>
    </w:p>
    <w:p w14:paraId="66C4787F">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（二）商务条款差异表</w:t>
      </w:r>
    </w:p>
    <w:p w14:paraId="40884F26">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r>
        <w:rPr>
          <w:rFonts w:hint="eastAsia" w:ascii="宋体" w:hAnsi="宋体" w:cs="宋体"/>
          <w:color w:val="000000" w:themeColor="text1"/>
          <w:sz w:val="24"/>
          <w:szCs w:val="28"/>
          <w14:textFill>
            <w14:solidFill>
              <w14:schemeClr w14:val="tx1"/>
            </w14:solidFill>
          </w14:textFill>
        </w:rPr>
        <w:t>其他商务资料</w:t>
      </w:r>
    </w:p>
    <w:p w14:paraId="35A1746C">
      <w:pPr>
        <w:spacing w:line="400" w:lineRule="exact"/>
        <w:ind w:firstLine="482" w:firstLineChars="200"/>
        <w:jc w:val="both"/>
        <w:rPr>
          <w:rFonts w:hint="eastAsia" w:ascii="宋体" w:hAnsi="宋体" w:cs="宋体"/>
          <w:b/>
          <w:bCs/>
          <w:color w:val="000000" w:themeColor="text1"/>
          <w:sz w:val="24"/>
          <w:szCs w:val="24"/>
          <w14:textFill>
            <w14:solidFill>
              <w14:schemeClr w14:val="tx1"/>
            </w14:solidFill>
          </w14:textFill>
        </w:rPr>
      </w:pPr>
      <w:bookmarkStart w:id="171" w:name="_Toc6185"/>
      <w:r>
        <w:rPr>
          <w:rFonts w:hint="eastAsia" w:cs="宋体"/>
          <w:b/>
          <w:bCs/>
          <w:color w:val="000000" w:themeColor="text1"/>
          <w:sz w:val="24"/>
          <w:szCs w:val="24"/>
          <w14:textFill>
            <w14:solidFill>
              <w14:schemeClr w14:val="tx1"/>
            </w14:solidFill>
          </w14:textFill>
        </w:rPr>
        <w:t>六、</w:t>
      </w:r>
      <w:r>
        <w:rPr>
          <w:rFonts w:hint="eastAsia" w:ascii="宋体" w:hAnsi="宋体" w:cs="宋体"/>
          <w:b/>
          <w:bCs/>
          <w:color w:val="000000" w:themeColor="text1"/>
          <w:sz w:val="24"/>
          <w:szCs w:val="24"/>
          <w14:textFill>
            <w14:solidFill>
              <w14:schemeClr w14:val="tx1"/>
            </w14:solidFill>
          </w14:textFill>
        </w:rPr>
        <w:t>资格文件</w:t>
      </w:r>
      <w:bookmarkEnd w:id="171"/>
      <w:r>
        <w:rPr>
          <w:rFonts w:hint="eastAsia" w:ascii="宋体" w:hAnsi="宋体" w:cs="宋体"/>
          <w:b/>
          <w:bCs/>
          <w:color w:val="000000" w:themeColor="text1"/>
          <w:sz w:val="24"/>
          <w:szCs w:val="24"/>
          <w14:textFill>
            <w14:solidFill>
              <w14:schemeClr w14:val="tx1"/>
            </w14:solidFill>
          </w14:textFill>
        </w:rPr>
        <w:t>格式</w:t>
      </w:r>
    </w:p>
    <w:p w14:paraId="1AFD5AEF">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（一）法人营业执照（副本）或事业单位法人证书（副本）或个体工商户营业执照或有效的自然人身份证明或社会团体法人登记证书复印件</w:t>
      </w:r>
    </w:p>
    <w:p w14:paraId="639F1D32">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（二）法定代表人身份证明书（格式）</w:t>
      </w:r>
    </w:p>
    <w:p w14:paraId="4B1BBC2E">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（三）法定代表人授权委托书（格式）</w:t>
      </w:r>
    </w:p>
    <w:p w14:paraId="7EBCF210">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（四）基本资格条件承诺函（格式）</w:t>
      </w:r>
    </w:p>
    <w:p w14:paraId="149736BA">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（五）特定资格条件证书或证明文件</w:t>
      </w:r>
    </w:p>
    <w:p w14:paraId="71A220FC">
      <w:pPr>
        <w:snapToGrid w:val="0"/>
        <w:spacing w:line="400" w:lineRule="exact"/>
        <w:ind w:firstLine="472" w:firstLineChars="196"/>
        <w:jc w:val="both"/>
        <w:rPr>
          <w:rFonts w:hint="eastAsia"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七、</w:t>
      </w:r>
      <w:r>
        <w:rPr>
          <w:rFonts w:hint="eastAsia" w:cs="宋体"/>
          <w:b/>
          <w:bCs/>
          <w:color w:val="000000" w:themeColor="text1"/>
          <w:sz w:val="24"/>
          <w:szCs w:val="24"/>
          <w14:textFill>
            <w14:solidFill>
              <w14:schemeClr w14:val="tx1"/>
            </w14:solidFill>
          </w14:textFill>
        </w:rPr>
        <w:t>商业活动廉洁经营承诺书</w:t>
      </w:r>
    </w:p>
    <w:p w14:paraId="47311C36">
      <w:pPr>
        <w:widowControl/>
        <w:spacing w:line="520" w:lineRule="exact"/>
        <w:jc w:val="both"/>
        <w:rPr>
          <w:rFonts w:hint="eastAsia" w:ascii="宋体" w:hAnsi="宋体" w:cs="宋体"/>
          <w:color w:val="000000" w:themeColor="text1"/>
          <w:sz w:val="24"/>
          <w:szCs w:val="24"/>
          <w14:textFill>
            <w14:solidFill>
              <w14:schemeClr w14:val="tx1"/>
            </w14:solidFill>
          </w14:textFill>
        </w:rPr>
      </w:pPr>
    </w:p>
    <w:p w14:paraId="0DD3FBCB">
      <w:pPr>
        <w:widowControl/>
        <w:spacing w:line="520" w:lineRule="exact"/>
        <w:jc w:val="both"/>
        <w:outlineLvl w:val="1"/>
        <w:rPr>
          <w:rFonts w:hint="eastAsia" w:ascii="黑体" w:hAnsi="黑体" w:eastAsia="黑体" w:cs="黑体"/>
          <w:b/>
          <w:color w:val="000000" w:themeColor="text1"/>
          <w:sz w:val="36"/>
          <w:szCs w:val="32"/>
          <w14:textFill>
            <w14:solidFill>
              <w14:schemeClr w14:val="tx1"/>
            </w14:solidFill>
          </w14:textFill>
        </w:rPr>
      </w:pPr>
      <w:bookmarkStart w:id="172" w:name="_Toc29871"/>
      <w:bookmarkStart w:id="173" w:name="_Toc31391"/>
      <w:r>
        <w:rPr>
          <w:rFonts w:hint="eastAsia" w:ascii="宋体" w:hAnsi="宋体" w:cs="宋体"/>
          <w:color w:val="000000" w:themeColor="text1"/>
          <w:sz w:val="24"/>
          <w:szCs w:val="24"/>
          <w14:textFill>
            <w14:solidFill>
              <w14:schemeClr w14:val="tx1"/>
            </w14:solidFill>
          </w14:textFill>
        </w:rPr>
        <w:br w:type="column"/>
      </w:r>
      <w:bookmarkStart w:id="174" w:name="_Toc22827"/>
      <w:bookmarkStart w:id="175" w:name="_Toc10063"/>
      <w:bookmarkStart w:id="176" w:name="_Toc3094"/>
      <w:r>
        <w:rPr>
          <w:rFonts w:hint="eastAsia" w:ascii="宋体" w:hAnsi="宋体" w:cs="宋体"/>
          <w:b/>
          <w:bCs/>
          <w:color w:val="000000" w:themeColor="text1"/>
          <w:sz w:val="32"/>
          <w:szCs w:val="32"/>
          <w14:textFill>
            <w14:solidFill>
              <w14:schemeClr w14:val="tx1"/>
            </w14:solidFill>
          </w14:textFill>
        </w:rPr>
        <w:t>竞选文件</w:t>
      </w:r>
      <w:bookmarkEnd w:id="174"/>
      <w:bookmarkEnd w:id="175"/>
      <w:bookmarkEnd w:id="176"/>
      <w:r>
        <w:rPr>
          <w:rFonts w:hint="eastAsia" w:ascii="宋体" w:hAnsi="宋体" w:cs="宋体"/>
          <w:b/>
          <w:bCs/>
          <w:color w:val="000000" w:themeColor="text1"/>
          <w:sz w:val="32"/>
          <w:szCs w:val="32"/>
          <w14:textFill>
            <w14:solidFill>
              <w14:schemeClr w14:val="tx1"/>
            </w14:solidFill>
          </w14:textFill>
        </w:rPr>
        <w:t>封面</w:t>
      </w:r>
      <w:bookmarkEnd w:id="172"/>
      <w:bookmarkEnd w:id="173"/>
    </w:p>
    <w:p w14:paraId="14BBF76A">
      <w:pPr>
        <w:spacing w:line="700" w:lineRule="exact"/>
        <w:jc w:val="both"/>
        <w:rPr>
          <w:rFonts w:ascii="仿宋" w:hAnsi="仿宋" w:eastAsia="仿宋" w:cs="仿宋"/>
          <w:b/>
          <w:bCs/>
          <w:color w:val="000000" w:themeColor="text1"/>
          <w:sz w:val="32"/>
          <w:szCs w:val="32"/>
          <w14:textFill>
            <w14:solidFill>
              <w14:schemeClr w14:val="tx1"/>
            </w14:solidFill>
          </w14:textFill>
        </w:rPr>
      </w:pPr>
    </w:p>
    <w:p w14:paraId="7CCDC5FC">
      <w:pPr>
        <w:pStyle w:val="20"/>
        <w:jc w:val="both"/>
        <w:rPr>
          <w:rFonts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XXXX采购项目</w:t>
      </w:r>
    </w:p>
    <w:p w14:paraId="7F95638D">
      <w:pPr>
        <w:pStyle w:val="20"/>
        <w:jc w:val="both"/>
        <w:rPr>
          <w:rFonts w:ascii="宋体" w:hAnsi="宋体" w:eastAsia="宋体" w:cs="宋体"/>
          <w:b/>
          <w:color w:val="000000" w:themeColor="text1"/>
          <w:sz w:val="44"/>
          <w:szCs w:val="44"/>
          <w14:textFill>
            <w14:solidFill>
              <w14:schemeClr w14:val="tx1"/>
            </w14:solidFill>
          </w14:textFill>
        </w:rPr>
      </w:pPr>
    </w:p>
    <w:p w14:paraId="153967D3">
      <w:pPr>
        <w:pStyle w:val="20"/>
        <w:jc w:val="center"/>
        <w:rPr>
          <w:rFonts w:hint="eastAsia" w:ascii="宋体" w:hAnsi="宋体" w:eastAsia="宋体" w:cs="宋体"/>
          <w:b/>
          <w:color w:val="000000" w:themeColor="text1"/>
          <w:sz w:val="96"/>
          <w:szCs w:val="96"/>
          <w14:textFill>
            <w14:solidFill>
              <w14:schemeClr w14:val="tx1"/>
            </w14:solidFill>
          </w14:textFill>
        </w:rPr>
      </w:pPr>
      <w:r>
        <w:rPr>
          <w:rFonts w:hint="eastAsia" w:ascii="宋体" w:hAnsi="宋体" w:eastAsia="宋体" w:cs="宋体"/>
          <w:b/>
          <w:color w:val="000000" w:themeColor="text1"/>
          <w:sz w:val="96"/>
          <w:szCs w:val="96"/>
          <w14:textFill>
            <w14:solidFill>
              <w14:schemeClr w14:val="tx1"/>
            </w14:solidFill>
          </w14:textFill>
        </w:rPr>
        <w:t>竞</w:t>
      </w:r>
    </w:p>
    <w:p w14:paraId="580D9FDF">
      <w:pPr>
        <w:pStyle w:val="20"/>
        <w:jc w:val="center"/>
        <w:rPr>
          <w:rFonts w:hint="eastAsia" w:ascii="宋体" w:hAnsi="宋体" w:eastAsia="宋体" w:cs="宋体"/>
          <w:b/>
          <w:color w:val="000000" w:themeColor="text1"/>
          <w:sz w:val="96"/>
          <w:szCs w:val="96"/>
          <w14:textFill>
            <w14:solidFill>
              <w14:schemeClr w14:val="tx1"/>
            </w14:solidFill>
          </w14:textFill>
        </w:rPr>
      </w:pPr>
      <w:r>
        <w:rPr>
          <w:rFonts w:hint="eastAsia" w:ascii="宋体" w:hAnsi="宋体" w:eastAsia="宋体" w:cs="宋体"/>
          <w:b/>
          <w:color w:val="000000" w:themeColor="text1"/>
          <w:sz w:val="96"/>
          <w:szCs w:val="96"/>
          <w14:textFill>
            <w14:solidFill>
              <w14:schemeClr w14:val="tx1"/>
            </w14:solidFill>
          </w14:textFill>
        </w:rPr>
        <w:t>选</w:t>
      </w:r>
    </w:p>
    <w:p w14:paraId="3A85432D">
      <w:pPr>
        <w:pStyle w:val="20"/>
        <w:jc w:val="center"/>
        <w:rPr>
          <w:rFonts w:ascii="宋体" w:hAnsi="宋体" w:eastAsia="宋体" w:cs="宋体"/>
          <w:b/>
          <w:color w:val="000000" w:themeColor="text1"/>
          <w:sz w:val="96"/>
          <w:szCs w:val="96"/>
          <w14:textFill>
            <w14:solidFill>
              <w14:schemeClr w14:val="tx1"/>
            </w14:solidFill>
          </w14:textFill>
        </w:rPr>
      </w:pPr>
      <w:r>
        <w:rPr>
          <w:rFonts w:hint="eastAsia" w:ascii="宋体" w:hAnsi="宋体" w:eastAsia="宋体" w:cs="宋体"/>
          <w:b/>
          <w:color w:val="000000" w:themeColor="text1"/>
          <w:sz w:val="96"/>
          <w:szCs w:val="96"/>
          <w14:textFill>
            <w14:solidFill>
              <w14:schemeClr w14:val="tx1"/>
            </w14:solidFill>
          </w14:textFill>
        </w:rPr>
        <w:t>文</w:t>
      </w:r>
    </w:p>
    <w:p w14:paraId="0068420B">
      <w:pPr>
        <w:pStyle w:val="20"/>
        <w:jc w:val="center"/>
        <w:rPr>
          <w:rFonts w:ascii="宋体" w:hAnsi="宋体" w:eastAsia="宋体" w:cs="宋体"/>
          <w:b/>
          <w:color w:val="000000" w:themeColor="text1"/>
          <w:sz w:val="96"/>
          <w:szCs w:val="96"/>
          <w14:textFill>
            <w14:solidFill>
              <w14:schemeClr w14:val="tx1"/>
            </w14:solidFill>
          </w14:textFill>
        </w:rPr>
      </w:pPr>
      <w:r>
        <w:rPr>
          <w:rFonts w:hint="eastAsia" w:ascii="宋体" w:hAnsi="宋体" w:eastAsia="宋体" w:cs="宋体"/>
          <w:b/>
          <w:color w:val="000000" w:themeColor="text1"/>
          <w:sz w:val="96"/>
          <w:szCs w:val="96"/>
          <w14:textFill>
            <w14:solidFill>
              <w14:schemeClr w14:val="tx1"/>
            </w14:solidFill>
          </w14:textFill>
        </w:rPr>
        <w:t>件</w:t>
      </w:r>
    </w:p>
    <w:p w14:paraId="412C1955">
      <w:pPr>
        <w:pStyle w:val="20"/>
        <w:jc w:val="both"/>
        <w:rPr>
          <w:rFonts w:hint="eastAsia" w:ascii="宋体" w:hAnsi="宋体" w:eastAsia="宋体" w:cs="宋体"/>
          <w:color w:val="000000" w:themeColor="text1"/>
          <w:sz w:val="24"/>
          <w14:textFill>
            <w14:solidFill>
              <w14:schemeClr w14:val="tx1"/>
            </w14:solidFill>
          </w14:textFill>
        </w:rPr>
      </w:pPr>
    </w:p>
    <w:p w14:paraId="3B355D08">
      <w:pPr>
        <w:pStyle w:val="20"/>
        <w:ind w:firstLine="1285" w:firstLineChars="400"/>
        <w:jc w:val="both"/>
        <w:rPr>
          <w:rFonts w:hint="eastAsia" w:ascii="宋体" w:hAnsi="宋体" w:eastAsia="宋体" w:cs="宋体"/>
          <w:b/>
          <w:bCs/>
          <w:color w:val="000000" w:themeColor="text1"/>
          <w:sz w:val="32"/>
          <w:szCs w:val="32"/>
          <w14:textFill>
            <w14:solidFill>
              <w14:schemeClr w14:val="tx1"/>
            </w14:solidFill>
          </w14:textFill>
        </w:rPr>
      </w:pPr>
    </w:p>
    <w:p w14:paraId="2483E3C2">
      <w:pPr>
        <w:pStyle w:val="20"/>
        <w:ind w:firstLine="1285" w:firstLineChars="400"/>
        <w:jc w:val="both"/>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竞选人（加盖公章）：XXXX</w:t>
      </w:r>
    </w:p>
    <w:p w14:paraId="3AAFB179">
      <w:pPr>
        <w:pStyle w:val="20"/>
        <w:ind w:firstLine="1285" w:firstLineChars="400"/>
        <w:jc w:val="both"/>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法定代表人或其委托代理人签字：XXXX</w:t>
      </w:r>
    </w:p>
    <w:p w14:paraId="46712DB5">
      <w:pPr>
        <w:pStyle w:val="20"/>
        <w:ind w:firstLine="1285" w:firstLineChars="400"/>
        <w:jc w:val="both"/>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联系方式：XXXX</w:t>
      </w:r>
    </w:p>
    <w:p w14:paraId="4936069F">
      <w:pPr>
        <w:spacing w:line="360" w:lineRule="auto"/>
        <w:jc w:val="both"/>
        <w:rPr>
          <w:rFonts w:ascii="仿宋" w:hAnsi="仿宋" w:eastAsia="仿宋" w:cs="仿宋"/>
          <w:b/>
          <w:bCs/>
          <w:color w:val="000000" w:themeColor="text1"/>
          <w14:textFill>
            <w14:solidFill>
              <w14:schemeClr w14:val="tx1"/>
            </w14:solidFill>
          </w14:textFill>
        </w:rPr>
      </w:pPr>
      <w:r>
        <w:rPr>
          <w:rFonts w:hint="eastAsia" w:ascii="宋体" w:hAnsi="宋体" w:cs="宋体"/>
          <w:b/>
          <w:bCs/>
          <w:color w:val="000000" w:themeColor="text1"/>
          <w:sz w:val="32"/>
          <w:szCs w:val="32"/>
          <w:u w:val="single"/>
          <w14:textFill>
            <w14:solidFill>
              <w14:schemeClr w14:val="tx1"/>
            </w14:solidFill>
          </w14:textFill>
        </w:rPr>
        <w:t>_____</w:t>
      </w:r>
      <w:r>
        <w:rPr>
          <w:rFonts w:hint="eastAsia" w:ascii="宋体" w:hAnsi="宋体" w:cs="宋体"/>
          <w:b/>
          <w:bCs/>
          <w:color w:val="000000" w:themeColor="text1"/>
          <w:sz w:val="32"/>
          <w:szCs w:val="32"/>
          <w14:textFill>
            <w14:solidFill>
              <w14:schemeClr w14:val="tx1"/>
            </w14:solidFill>
          </w14:textFill>
        </w:rPr>
        <w:t>年</w:t>
      </w:r>
      <w:r>
        <w:rPr>
          <w:rFonts w:hint="eastAsia" w:ascii="宋体" w:hAnsi="宋体" w:cs="宋体"/>
          <w:b/>
          <w:bCs/>
          <w:color w:val="000000" w:themeColor="text1"/>
          <w:sz w:val="32"/>
          <w:szCs w:val="32"/>
          <w:u w:val="single"/>
          <w14:textFill>
            <w14:solidFill>
              <w14:schemeClr w14:val="tx1"/>
            </w14:solidFill>
          </w14:textFill>
        </w:rPr>
        <w:t xml:space="preserve">  </w:t>
      </w:r>
      <w:r>
        <w:rPr>
          <w:rFonts w:hint="eastAsia" w:ascii="宋体" w:hAnsi="宋体" w:cs="宋体"/>
          <w:b/>
          <w:bCs/>
          <w:color w:val="000000" w:themeColor="text1"/>
          <w:sz w:val="32"/>
          <w:szCs w:val="32"/>
          <w14:textFill>
            <w14:solidFill>
              <w14:schemeClr w14:val="tx1"/>
            </w14:solidFill>
          </w14:textFill>
        </w:rPr>
        <w:t>月</w:t>
      </w:r>
      <w:r>
        <w:rPr>
          <w:rFonts w:hint="eastAsia" w:ascii="宋体" w:hAnsi="宋体" w:cs="宋体"/>
          <w:b/>
          <w:bCs/>
          <w:color w:val="000000" w:themeColor="text1"/>
          <w:sz w:val="32"/>
          <w:szCs w:val="32"/>
          <w:u w:val="single"/>
          <w14:textFill>
            <w14:solidFill>
              <w14:schemeClr w14:val="tx1"/>
            </w14:solidFill>
          </w14:textFill>
        </w:rPr>
        <w:t xml:space="preserve">  </w:t>
      </w:r>
      <w:r>
        <w:rPr>
          <w:rFonts w:hint="eastAsia" w:ascii="宋体" w:hAnsi="宋体" w:cs="宋体"/>
          <w:b/>
          <w:bCs/>
          <w:color w:val="000000" w:themeColor="text1"/>
          <w:sz w:val="32"/>
          <w:szCs w:val="32"/>
          <w14:textFill>
            <w14:solidFill>
              <w14:schemeClr w14:val="tx1"/>
            </w14:solidFill>
          </w14:textFill>
        </w:rPr>
        <w:t>日</w:t>
      </w:r>
    </w:p>
    <w:p w14:paraId="5BFBF1D9">
      <w:pPr>
        <w:pageBreakBefore/>
        <w:spacing w:line="500" w:lineRule="exact"/>
        <w:ind w:firstLine="562" w:firstLineChars="200"/>
        <w:jc w:val="both"/>
        <w:outlineLvl w:val="1"/>
        <w:rPr>
          <w:rFonts w:hint="eastAsia" w:cs="宋体"/>
          <w:b/>
          <w:color w:val="000000" w:themeColor="text1"/>
          <w:szCs w:val="28"/>
          <w14:textFill>
            <w14:solidFill>
              <w14:schemeClr w14:val="tx1"/>
            </w14:solidFill>
          </w14:textFill>
        </w:rPr>
      </w:pPr>
      <w:bookmarkStart w:id="177" w:name="_Toc7098"/>
      <w:bookmarkStart w:id="178" w:name="_Toc1217"/>
      <w:bookmarkStart w:id="179" w:name="_Toc24423"/>
      <w:bookmarkStart w:id="180" w:name="_Toc1215"/>
      <w:bookmarkStart w:id="181" w:name="_Toc4248"/>
      <w:bookmarkStart w:id="182" w:name="_Toc76373908"/>
      <w:bookmarkStart w:id="183" w:name="_Toc11154"/>
      <w:bookmarkStart w:id="184" w:name="_Toc429584884"/>
      <w:bookmarkStart w:id="185" w:name="_Toc12051"/>
      <w:r>
        <w:rPr>
          <w:rFonts w:hint="eastAsia" w:cs="宋体"/>
          <w:b/>
          <w:color w:val="000000" w:themeColor="text1"/>
          <w:szCs w:val="28"/>
          <w14:textFill>
            <w14:solidFill>
              <w14:schemeClr w14:val="tx1"/>
            </w14:solidFill>
          </w14:textFill>
        </w:rPr>
        <w:t>一、经济文件</w:t>
      </w:r>
      <w:bookmarkEnd w:id="177"/>
      <w:bookmarkEnd w:id="178"/>
      <w:bookmarkEnd w:id="179"/>
      <w:bookmarkEnd w:id="180"/>
      <w:bookmarkEnd w:id="181"/>
      <w:bookmarkEnd w:id="182"/>
      <w:bookmarkEnd w:id="183"/>
      <w:bookmarkEnd w:id="184"/>
      <w:bookmarkEnd w:id="185"/>
    </w:p>
    <w:p w14:paraId="1FAC2FEA">
      <w:pPr>
        <w:snapToGrid w:val="0"/>
        <w:spacing w:line="500" w:lineRule="exact"/>
        <w:rPr>
          <w:rFonts w:hint="eastAsia" w:ascii="宋体" w:hAnsi="宋体" w:cs="宋体"/>
          <w:color w:val="000000" w:themeColor="text1"/>
          <w:szCs w:val="36"/>
          <w14:textFill>
            <w14:solidFill>
              <w14:schemeClr w14:val="tx1"/>
            </w14:solidFill>
          </w14:textFill>
        </w:rPr>
      </w:pPr>
      <w:bookmarkStart w:id="186" w:name="_Toc21431"/>
      <w:bookmarkStart w:id="187" w:name="_Toc9795"/>
      <w:bookmarkStart w:id="188" w:name="_Toc76373909"/>
      <w:bookmarkStart w:id="189" w:name="_Toc493178790"/>
      <w:bookmarkStart w:id="190" w:name="_Toc27306"/>
      <w:bookmarkStart w:id="191" w:name="_Toc21830"/>
      <w:bookmarkStart w:id="192" w:name="_Toc23879"/>
      <w:bookmarkStart w:id="193" w:name="_Toc14840"/>
      <w:r>
        <w:rPr>
          <w:rFonts w:hint="eastAsia" w:ascii="宋体" w:hAnsi="宋体" w:cs="宋体"/>
          <w:color w:val="000000" w:themeColor="text1"/>
          <w:szCs w:val="36"/>
          <w14:textFill>
            <w14:solidFill>
              <w14:schemeClr w14:val="tx1"/>
            </w14:solidFill>
          </w14:textFill>
        </w:rPr>
        <w:t>（一）报价一览表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3594"/>
        <w:gridCol w:w="2339"/>
        <w:gridCol w:w="2181"/>
      </w:tblGrid>
      <w:tr w14:paraId="2B9E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785" w:type="pct"/>
            <w:noWrap w:val="0"/>
            <w:vAlign w:val="center"/>
          </w:tcPr>
          <w:p w14:paraId="487E28FD">
            <w:pPr>
              <w:snapToGrid w:val="0"/>
              <w:spacing w:line="400" w:lineRule="exact"/>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竞选人名称</w:t>
            </w:r>
          </w:p>
        </w:tc>
        <w:tc>
          <w:tcPr>
            <w:tcW w:w="4214" w:type="pct"/>
            <w:gridSpan w:val="3"/>
            <w:noWrap w:val="0"/>
            <w:vAlign w:val="center"/>
          </w:tcPr>
          <w:p w14:paraId="4BB9C257">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r>
      <w:tr w14:paraId="5122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652" w:type="pct"/>
            <w:gridSpan w:val="2"/>
            <w:noWrap w:val="0"/>
            <w:vAlign w:val="center"/>
          </w:tcPr>
          <w:p w14:paraId="6C39C5A5">
            <w:pPr>
              <w:snapToGrid w:val="0"/>
              <w:spacing w:line="400" w:lineRule="exact"/>
              <w:ind w:firstLine="480" w:firstLineChars="200"/>
              <w:jc w:val="center"/>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项目</w:t>
            </w:r>
            <w:r>
              <w:rPr>
                <w:rFonts w:hint="eastAsia" w:ascii="宋体" w:hAnsi="宋体" w:cs="宋体"/>
                <w:color w:val="000000" w:themeColor="text1"/>
                <w:sz w:val="24"/>
                <w:szCs w:val="28"/>
                <w14:textFill>
                  <w14:solidFill>
                    <w14:schemeClr w14:val="tx1"/>
                  </w14:solidFill>
                </w14:textFill>
              </w:rPr>
              <w:t>名称</w:t>
            </w:r>
          </w:p>
        </w:tc>
        <w:tc>
          <w:tcPr>
            <w:tcW w:w="1215" w:type="pct"/>
            <w:noWrap w:val="0"/>
            <w:vAlign w:val="center"/>
          </w:tcPr>
          <w:p w14:paraId="1C79DB90">
            <w:pPr>
              <w:snapToGrid w:val="0"/>
              <w:spacing w:line="400" w:lineRule="exact"/>
              <w:jc w:val="center"/>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报价（小写）</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元/天</w:t>
            </w:r>
            <w:r>
              <w:rPr>
                <w:rFonts w:hint="eastAsia" w:ascii="宋体" w:hAnsi="宋体" w:cs="宋体"/>
                <w:color w:val="000000" w:themeColor="text1"/>
                <w:sz w:val="24"/>
                <w:szCs w:val="28"/>
                <w:lang w:eastAsia="zh-CN"/>
                <w14:textFill>
                  <w14:solidFill>
                    <w14:schemeClr w14:val="tx1"/>
                  </w14:solidFill>
                </w14:textFill>
              </w:rPr>
              <w:t>）</w:t>
            </w:r>
          </w:p>
        </w:tc>
        <w:tc>
          <w:tcPr>
            <w:tcW w:w="1132" w:type="pct"/>
            <w:noWrap w:val="0"/>
            <w:vAlign w:val="center"/>
          </w:tcPr>
          <w:p w14:paraId="2D87646A">
            <w:pPr>
              <w:snapToGrid w:val="0"/>
              <w:spacing w:line="400" w:lineRule="exact"/>
              <w:jc w:val="center"/>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报价（大写）</w:t>
            </w:r>
          </w:p>
        </w:tc>
      </w:tr>
      <w:tr w14:paraId="5216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652" w:type="pct"/>
            <w:gridSpan w:val="2"/>
            <w:tcBorders>
              <w:bottom w:val="single" w:color="auto" w:sz="4" w:space="0"/>
            </w:tcBorders>
            <w:noWrap w:val="0"/>
            <w:vAlign w:val="center"/>
          </w:tcPr>
          <w:p w14:paraId="49B381A9">
            <w:pPr>
              <w:spacing w:line="360" w:lineRule="auto"/>
              <w:ind w:left="0" w:leftChars="0" w:firstLine="0" w:firstLineChars="0"/>
              <w:jc w:val="left"/>
              <w:rPr>
                <w:rFonts w:hint="eastAsia" w:ascii="宋体" w:hAnsi="宋体" w:cs="宋体"/>
                <w:color w:val="000000" w:themeColor="text1"/>
                <w:sz w:val="24"/>
                <w:szCs w:val="28"/>
                <w14:textFill>
                  <w14:solidFill>
                    <w14:schemeClr w14:val="tx1"/>
                  </w14:solidFill>
                </w14:textFill>
              </w:rPr>
            </w:pPr>
          </w:p>
        </w:tc>
        <w:tc>
          <w:tcPr>
            <w:tcW w:w="1215" w:type="pct"/>
            <w:tcBorders>
              <w:bottom w:val="single" w:color="auto" w:sz="4" w:space="0"/>
            </w:tcBorders>
            <w:noWrap w:val="0"/>
            <w:vAlign w:val="top"/>
          </w:tcPr>
          <w:p w14:paraId="2E8F0848">
            <w:pPr>
              <w:spacing w:line="360" w:lineRule="auto"/>
              <w:ind w:left="0" w:leftChars="0" w:firstLine="0" w:firstLineChars="0"/>
              <w:jc w:val="both"/>
              <w:rPr>
                <w:rFonts w:hint="eastAsia" w:ascii="宋体" w:hAnsi="宋体" w:cs="宋体"/>
                <w:color w:val="000000" w:themeColor="text1"/>
                <w:sz w:val="24"/>
                <w:szCs w:val="28"/>
                <w14:textFill>
                  <w14:solidFill>
                    <w14:schemeClr w14:val="tx1"/>
                  </w14:solidFill>
                </w14:textFill>
              </w:rPr>
            </w:pPr>
          </w:p>
        </w:tc>
        <w:tc>
          <w:tcPr>
            <w:tcW w:w="1132" w:type="pct"/>
            <w:tcBorders>
              <w:bottom w:val="single" w:color="auto" w:sz="4" w:space="0"/>
            </w:tcBorders>
            <w:noWrap w:val="0"/>
            <w:vAlign w:val="top"/>
          </w:tcPr>
          <w:p w14:paraId="02DB50A5">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r>
      <w:tr w14:paraId="3C95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652" w:type="pct"/>
            <w:gridSpan w:val="2"/>
            <w:tcBorders>
              <w:bottom w:val="single" w:color="auto" w:sz="4" w:space="0"/>
            </w:tcBorders>
            <w:noWrap w:val="0"/>
            <w:vAlign w:val="center"/>
          </w:tcPr>
          <w:p w14:paraId="19A352FB">
            <w:pPr>
              <w:snapToGrid w:val="0"/>
              <w:spacing w:line="400" w:lineRule="exact"/>
              <w:jc w:val="left"/>
              <w:rPr>
                <w:rFonts w:hint="eastAsia" w:ascii="宋体" w:hAnsi="宋体" w:cs="宋体"/>
                <w:color w:val="000000" w:themeColor="text1"/>
                <w:sz w:val="24"/>
                <w:szCs w:val="28"/>
                <w14:textFill>
                  <w14:solidFill>
                    <w14:schemeClr w14:val="tx1"/>
                  </w14:solidFill>
                </w14:textFill>
              </w:rPr>
            </w:pPr>
          </w:p>
        </w:tc>
        <w:tc>
          <w:tcPr>
            <w:tcW w:w="1215" w:type="pct"/>
            <w:tcBorders>
              <w:bottom w:val="single" w:color="auto" w:sz="4" w:space="0"/>
            </w:tcBorders>
            <w:noWrap w:val="0"/>
            <w:vAlign w:val="top"/>
          </w:tcPr>
          <w:p w14:paraId="36126B54">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c>
          <w:tcPr>
            <w:tcW w:w="1132" w:type="pct"/>
            <w:tcBorders>
              <w:bottom w:val="single" w:color="auto" w:sz="4" w:space="0"/>
            </w:tcBorders>
            <w:noWrap w:val="0"/>
            <w:vAlign w:val="top"/>
          </w:tcPr>
          <w:p w14:paraId="7A543A1B">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r>
      <w:tr w14:paraId="12AF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000" w:type="pct"/>
            <w:gridSpan w:val="4"/>
            <w:noWrap w:val="0"/>
            <w:vAlign w:val="top"/>
          </w:tcPr>
          <w:p w14:paraId="676D4754">
            <w:pPr>
              <w:snapToGrid w:val="0"/>
              <w:spacing w:line="400" w:lineRule="exact"/>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备注：</w:t>
            </w:r>
          </w:p>
        </w:tc>
      </w:tr>
    </w:tbl>
    <w:p w14:paraId="41CC19F0">
      <w:pPr>
        <w:pStyle w:val="21"/>
        <w:ind w:left="1600" w:hanging="480"/>
        <w:jc w:val="both"/>
        <w:rPr>
          <w:color w:val="000000" w:themeColor="text1"/>
          <w14:textFill>
            <w14:solidFill>
              <w14:schemeClr w14:val="tx1"/>
            </w14:solidFill>
          </w14:textFill>
        </w:rPr>
      </w:pPr>
    </w:p>
    <w:p w14:paraId="02B985D9">
      <w:pPr>
        <w:snapToGrid w:val="0"/>
        <w:spacing w:line="500" w:lineRule="exact"/>
        <w:rPr>
          <w:rFonts w:hint="eastAsia" w:ascii="宋体" w:hAnsi="宋体" w:cs="宋体"/>
          <w:color w:val="000000" w:themeColor="text1"/>
          <w:sz w:val="24"/>
          <w:szCs w:val="28"/>
          <w14:textFill>
            <w14:solidFill>
              <w14:schemeClr w14:val="tx1"/>
            </w14:solidFill>
          </w14:textFill>
        </w:rPr>
      </w:pPr>
    </w:p>
    <w:p w14:paraId="2FEEDE95">
      <w:pPr>
        <w:spacing w:line="500" w:lineRule="exact"/>
        <w:ind w:firstLine="480" w:firstLineChars="20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竞选人：                          法定代表人或法定代表人授权代表：</w:t>
      </w:r>
    </w:p>
    <w:p w14:paraId="4154A93F">
      <w:pPr>
        <w:spacing w:line="500" w:lineRule="exact"/>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 xml:space="preserve">  （竞选人公章）                               （签署或盖章）</w:t>
      </w:r>
    </w:p>
    <w:p w14:paraId="6A485310">
      <w:pPr>
        <w:spacing w:line="500" w:lineRule="exact"/>
        <w:rPr>
          <w:rFonts w:hint="eastAsia" w:ascii="宋体" w:hAnsi="宋体" w:cs="宋体"/>
          <w:color w:val="000000" w:themeColor="text1"/>
          <w:sz w:val="24"/>
          <w:szCs w:val="28"/>
          <w14:textFill>
            <w14:solidFill>
              <w14:schemeClr w14:val="tx1"/>
            </w14:solidFill>
          </w14:textFill>
        </w:rPr>
      </w:pPr>
    </w:p>
    <w:p w14:paraId="77DB8D49">
      <w:pPr>
        <w:spacing w:line="500" w:lineRule="exact"/>
        <w:rPr>
          <w:rFonts w:hint="eastAsia" w:ascii="宋体" w:hAnsi="宋体" w:cs="宋体"/>
          <w:color w:val="000000" w:themeColor="text1"/>
          <w:sz w:val="24"/>
          <w:szCs w:val="28"/>
          <w14:textFill>
            <w14:solidFill>
              <w14:schemeClr w14:val="tx1"/>
            </w14:solidFill>
          </w14:textFill>
        </w:rPr>
      </w:pPr>
    </w:p>
    <w:p w14:paraId="3A5FD489">
      <w:pPr>
        <w:spacing w:line="500" w:lineRule="exact"/>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 xml:space="preserve">                                            年     月     日</w:t>
      </w:r>
    </w:p>
    <w:p w14:paraId="4F6708D1">
      <w:pPr>
        <w:snapToGrid w:val="0"/>
        <w:spacing w:line="500" w:lineRule="exact"/>
        <w:ind w:firstLine="480" w:firstLineChars="200"/>
        <w:rPr>
          <w:rFonts w:hint="eastAsia" w:ascii="宋体" w:hAnsi="宋体" w:cs="宋体"/>
          <w:color w:val="000000" w:themeColor="text1"/>
          <w:sz w:val="24"/>
          <w:szCs w:val="28"/>
          <w14:textFill>
            <w14:solidFill>
              <w14:schemeClr w14:val="tx1"/>
            </w14:solidFill>
          </w14:textFill>
        </w:rPr>
      </w:pPr>
    </w:p>
    <w:p w14:paraId="25742899">
      <w:pPr>
        <w:snapToGrid w:val="0"/>
        <w:spacing w:line="500" w:lineRule="exact"/>
        <w:ind w:firstLine="480" w:firstLineChars="200"/>
        <w:rPr>
          <w:rFonts w:hint="eastAsia" w:ascii="宋体" w:hAnsi="宋体" w:cs="宋体"/>
          <w:color w:val="000000" w:themeColor="text1"/>
          <w:sz w:val="24"/>
          <w:szCs w:val="28"/>
          <w14:textFill>
            <w14:solidFill>
              <w14:schemeClr w14:val="tx1"/>
            </w14:solidFill>
          </w14:textFill>
        </w:rPr>
      </w:pPr>
    </w:p>
    <w:p w14:paraId="68C820ED">
      <w:pPr>
        <w:snapToGrid w:val="0"/>
        <w:spacing w:line="500" w:lineRule="exact"/>
        <w:ind w:firstLine="480" w:firstLineChars="200"/>
        <w:rPr>
          <w:rFonts w:hint="eastAsia" w:ascii="宋体" w:hAnsi="宋体" w:cs="宋体"/>
          <w:color w:val="000000" w:themeColor="text1"/>
          <w:sz w:val="24"/>
          <w:szCs w:val="28"/>
          <w14:textFill>
            <w14:solidFill>
              <w14:schemeClr w14:val="tx1"/>
            </w14:solidFill>
          </w14:textFill>
        </w:rPr>
      </w:pPr>
    </w:p>
    <w:p w14:paraId="3D5ECEFB">
      <w:pPr>
        <w:snapToGrid w:val="0"/>
        <w:ind w:firstLine="480" w:firstLineChars="20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说明：1.报价一览表按格式填列；务必填写清楚，准确无误。</w:t>
      </w:r>
    </w:p>
    <w:p w14:paraId="1E68A97E">
      <w:pPr>
        <w:snapToGrid w:val="0"/>
        <w:rPr>
          <w:rFonts w:hint="eastAsia" w:ascii="宋体" w:hAnsi="宋体" w:cs="宋体"/>
          <w:color w:val="000000" w:themeColor="text1"/>
          <w:sz w:val="24"/>
          <w:szCs w:val="28"/>
          <w14:textFill>
            <w14:solidFill>
              <w14:schemeClr w14:val="tx1"/>
            </w14:solidFill>
          </w14:textFill>
        </w:rPr>
      </w:pPr>
    </w:p>
    <w:p w14:paraId="24A0DE77">
      <w:pPr>
        <w:snapToGrid w:val="0"/>
        <w:spacing w:line="500" w:lineRule="exact"/>
        <w:rPr>
          <w:rFonts w:hint="eastAsia" w:ascii="宋体" w:hAnsi="宋体" w:cs="宋体"/>
          <w:color w:val="000000" w:themeColor="text1"/>
          <w:szCs w:val="36"/>
          <w14:textFill>
            <w14:solidFill>
              <w14:schemeClr w14:val="tx1"/>
            </w14:solidFill>
          </w14:textFill>
        </w:rPr>
      </w:pPr>
    </w:p>
    <w:p w14:paraId="63DC1AD8">
      <w:pPr>
        <w:snapToGrid w:val="0"/>
        <w:spacing w:line="500" w:lineRule="exact"/>
        <w:rPr>
          <w:rFonts w:hint="eastAsia" w:ascii="宋体" w:hAnsi="宋体" w:cs="宋体"/>
          <w:color w:val="000000" w:themeColor="text1"/>
          <w:szCs w:val="36"/>
          <w14:textFill>
            <w14:solidFill>
              <w14:schemeClr w14:val="tx1"/>
            </w14:solidFill>
          </w14:textFill>
        </w:rPr>
      </w:pPr>
    </w:p>
    <w:p w14:paraId="380CF68E">
      <w:pPr>
        <w:snapToGrid w:val="0"/>
        <w:spacing w:line="500" w:lineRule="exact"/>
        <w:rPr>
          <w:rFonts w:hint="eastAsia" w:ascii="宋体" w:hAnsi="宋体" w:cs="宋体"/>
          <w:color w:val="000000" w:themeColor="text1"/>
          <w:szCs w:val="36"/>
          <w14:textFill>
            <w14:solidFill>
              <w14:schemeClr w14:val="tx1"/>
            </w14:solidFill>
          </w14:textFill>
        </w:rPr>
      </w:pPr>
    </w:p>
    <w:p w14:paraId="0C7A03B4">
      <w:pPr>
        <w:snapToGrid w:val="0"/>
        <w:spacing w:line="500" w:lineRule="exact"/>
        <w:rPr>
          <w:rFonts w:hint="eastAsia" w:ascii="宋体" w:hAnsi="宋体" w:cs="宋体"/>
          <w:color w:val="000000" w:themeColor="text1"/>
          <w:szCs w:val="36"/>
          <w14:textFill>
            <w14:solidFill>
              <w14:schemeClr w14:val="tx1"/>
            </w14:solidFill>
          </w14:textFill>
        </w:rPr>
      </w:pPr>
    </w:p>
    <w:p w14:paraId="324BABFD">
      <w:pPr>
        <w:snapToGrid w:val="0"/>
        <w:spacing w:line="500" w:lineRule="exact"/>
        <w:rPr>
          <w:rFonts w:hint="eastAsia" w:ascii="宋体" w:hAnsi="宋体" w:cs="宋体"/>
          <w:color w:val="000000" w:themeColor="text1"/>
          <w:szCs w:val="36"/>
          <w14:textFill>
            <w14:solidFill>
              <w14:schemeClr w14:val="tx1"/>
            </w14:solidFill>
          </w14:textFill>
        </w:rPr>
      </w:pPr>
    </w:p>
    <w:p w14:paraId="3440FB34">
      <w:pPr>
        <w:snapToGrid w:val="0"/>
        <w:spacing w:line="500" w:lineRule="exact"/>
        <w:rPr>
          <w:rFonts w:hint="eastAsia" w:ascii="宋体" w:hAnsi="宋体" w:cs="宋体"/>
          <w:color w:val="000000" w:themeColor="text1"/>
          <w:szCs w:val="36"/>
          <w14:textFill>
            <w14:solidFill>
              <w14:schemeClr w14:val="tx1"/>
            </w14:solidFill>
          </w14:textFill>
        </w:rPr>
      </w:pPr>
    </w:p>
    <w:p w14:paraId="779A0619">
      <w:pPr>
        <w:snapToGrid w:val="0"/>
        <w:spacing w:line="500" w:lineRule="exact"/>
        <w:rPr>
          <w:rFonts w:hint="eastAsia" w:ascii="宋体" w:hAnsi="宋体" w:cs="宋体"/>
          <w:color w:val="000000" w:themeColor="text1"/>
          <w:szCs w:val="36"/>
          <w14:textFill>
            <w14:solidFill>
              <w14:schemeClr w14:val="tx1"/>
            </w14:solidFill>
          </w14:textFill>
        </w:rPr>
      </w:pPr>
    </w:p>
    <w:p w14:paraId="176D9EF4">
      <w:pPr>
        <w:snapToGrid w:val="0"/>
        <w:spacing w:line="500" w:lineRule="exact"/>
        <w:rPr>
          <w:rFonts w:hint="eastAsia" w:ascii="宋体" w:hAnsi="宋体" w:cs="宋体"/>
          <w:color w:val="000000" w:themeColor="text1"/>
          <w:szCs w:val="36"/>
          <w14:textFill>
            <w14:solidFill>
              <w14:schemeClr w14:val="tx1"/>
            </w14:solidFill>
          </w14:textFill>
        </w:rPr>
      </w:pPr>
    </w:p>
    <w:p w14:paraId="6BAD837A">
      <w:pPr>
        <w:snapToGrid w:val="0"/>
        <w:spacing w:line="500" w:lineRule="exact"/>
        <w:rPr>
          <w:rFonts w:hint="eastAsia" w:ascii="宋体" w:hAnsi="宋体" w:cs="宋体"/>
          <w:color w:val="000000" w:themeColor="text1"/>
          <w:szCs w:val="36"/>
          <w14:textFill>
            <w14:solidFill>
              <w14:schemeClr w14:val="tx1"/>
            </w14:solidFill>
          </w14:textFill>
        </w:rPr>
      </w:pPr>
      <w:r>
        <w:rPr>
          <w:rFonts w:hint="eastAsia" w:ascii="宋体" w:hAnsi="宋体" w:cs="宋体"/>
          <w:color w:val="000000" w:themeColor="text1"/>
          <w:szCs w:val="36"/>
          <w14:textFill>
            <w14:solidFill>
              <w14:schemeClr w14:val="tx1"/>
            </w14:solidFill>
          </w14:textFill>
        </w:rPr>
        <w:t>（</w:t>
      </w:r>
      <w:r>
        <w:rPr>
          <w:rFonts w:hint="eastAsia" w:ascii="宋体" w:hAnsi="宋体" w:cs="宋体"/>
          <w:color w:val="000000" w:themeColor="text1"/>
          <w:szCs w:val="36"/>
          <w:lang w:val="en-US" w:eastAsia="zh-CN"/>
          <w14:textFill>
            <w14:solidFill>
              <w14:schemeClr w14:val="tx1"/>
            </w14:solidFill>
          </w14:textFill>
        </w:rPr>
        <w:t>二</w:t>
      </w:r>
      <w:r>
        <w:rPr>
          <w:rFonts w:hint="eastAsia" w:ascii="宋体" w:hAnsi="宋体" w:cs="宋体"/>
          <w:color w:val="000000" w:themeColor="text1"/>
          <w:szCs w:val="36"/>
          <w14:textFill>
            <w14:solidFill>
              <w14:schemeClr w14:val="tx1"/>
            </w14:solidFill>
          </w14:textFill>
        </w:rPr>
        <w:t>）</w:t>
      </w:r>
      <w:r>
        <w:rPr>
          <w:rFonts w:hint="eastAsia" w:ascii="宋体" w:hAnsi="宋体" w:cs="宋体"/>
          <w:color w:val="000000" w:themeColor="text1"/>
          <w:szCs w:val="36"/>
          <w:lang w:val="en-US" w:eastAsia="zh-CN"/>
          <w14:textFill>
            <w14:solidFill>
              <w14:schemeClr w14:val="tx1"/>
            </w14:solidFill>
          </w14:textFill>
        </w:rPr>
        <w:t>分项</w:t>
      </w:r>
      <w:r>
        <w:rPr>
          <w:rFonts w:hint="eastAsia" w:ascii="宋体" w:hAnsi="宋体" w:cs="宋体"/>
          <w:color w:val="000000" w:themeColor="text1"/>
          <w:szCs w:val="36"/>
          <w14:textFill>
            <w14:solidFill>
              <w14:schemeClr w14:val="tx1"/>
            </w14:solidFill>
          </w14:textFill>
        </w:rPr>
        <w:t>报价一览表</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3591"/>
        <w:gridCol w:w="2338"/>
        <w:gridCol w:w="2182"/>
      </w:tblGrid>
      <w:tr w14:paraId="766E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784" w:type="pct"/>
            <w:noWrap w:val="0"/>
            <w:vAlign w:val="center"/>
          </w:tcPr>
          <w:p w14:paraId="6050EB3D">
            <w:pPr>
              <w:snapToGrid w:val="0"/>
              <w:spacing w:line="400" w:lineRule="exact"/>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竞选人名称</w:t>
            </w:r>
          </w:p>
        </w:tc>
        <w:tc>
          <w:tcPr>
            <w:tcW w:w="4215" w:type="pct"/>
            <w:gridSpan w:val="3"/>
            <w:noWrap w:val="0"/>
            <w:vAlign w:val="center"/>
          </w:tcPr>
          <w:p w14:paraId="57E3DE45">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r>
      <w:tr w14:paraId="7501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784" w:type="pct"/>
            <w:noWrap w:val="0"/>
            <w:vAlign w:val="center"/>
          </w:tcPr>
          <w:p w14:paraId="58E8B959">
            <w:pPr>
              <w:snapToGrid w:val="0"/>
              <w:spacing w:line="400" w:lineRule="exact"/>
              <w:jc w:val="center"/>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序号</w:t>
            </w:r>
          </w:p>
        </w:tc>
        <w:tc>
          <w:tcPr>
            <w:tcW w:w="1866" w:type="pct"/>
            <w:noWrap w:val="0"/>
            <w:vAlign w:val="center"/>
          </w:tcPr>
          <w:p w14:paraId="47AE4876">
            <w:pPr>
              <w:snapToGrid w:val="0"/>
              <w:spacing w:line="400" w:lineRule="exact"/>
              <w:jc w:val="center"/>
              <w:rPr>
                <w:rFonts w:hint="eastAsia" w:ascii="宋体" w:hAnsi="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项目</w:t>
            </w:r>
            <w:r>
              <w:rPr>
                <w:rFonts w:hint="eastAsia" w:ascii="宋体" w:hAnsi="宋体" w:cs="宋体"/>
                <w:color w:val="000000" w:themeColor="text1"/>
                <w:sz w:val="24"/>
                <w:szCs w:val="28"/>
                <w14:textFill>
                  <w14:solidFill>
                    <w14:schemeClr w14:val="tx1"/>
                  </w14:solidFill>
                </w14:textFill>
              </w:rPr>
              <w:t>名称</w:t>
            </w:r>
          </w:p>
        </w:tc>
        <w:tc>
          <w:tcPr>
            <w:tcW w:w="1215" w:type="pct"/>
            <w:noWrap w:val="0"/>
            <w:vAlign w:val="center"/>
          </w:tcPr>
          <w:p w14:paraId="035C18D9">
            <w:pPr>
              <w:snapToGrid w:val="0"/>
              <w:spacing w:line="400" w:lineRule="exact"/>
              <w:jc w:val="center"/>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报价（小写）</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元/天</w:t>
            </w:r>
            <w:r>
              <w:rPr>
                <w:rFonts w:hint="eastAsia" w:ascii="宋体" w:hAnsi="宋体" w:cs="宋体"/>
                <w:color w:val="000000" w:themeColor="text1"/>
                <w:sz w:val="24"/>
                <w:szCs w:val="28"/>
                <w:lang w:eastAsia="zh-CN"/>
                <w14:textFill>
                  <w14:solidFill>
                    <w14:schemeClr w14:val="tx1"/>
                  </w14:solidFill>
                </w14:textFill>
              </w:rPr>
              <w:t>）</w:t>
            </w:r>
          </w:p>
        </w:tc>
        <w:tc>
          <w:tcPr>
            <w:tcW w:w="1133" w:type="pct"/>
            <w:noWrap w:val="0"/>
            <w:vAlign w:val="center"/>
          </w:tcPr>
          <w:p w14:paraId="48DD6458">
            <w:pPr>
              <w:snapToGrid w:val="0"/>
              <w:spacing w:line="400" w:lineRule="exact"/>
              <w:jc w:val="center"/>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报价（大写）</w:t>
            </w:r>
          </w:p>
        </w:tc>
      </w:tr>
      <w:tr w14:paraId="26C3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784" w:type="pct"/>
            <w:tcBorders>
              <w:bottom w:val="single" w:color="auto" w:sz="4" w:space="0"/>
            </w:tcBorders>
            <w:noWrap w:val="0"/>
            <w:vAlign w:val="center"/>
          </w:tcPr>
          <w:p w14:paraId="19475579">
            <w:pPr>
              <w:spacing w:line="360" w:lineRule="auto"/>
              <w:ind w:left="0" w:leftChars="0" w:firstLine="0" w:firstLineChars="0"/>
              <w:jc w:val="left"/>
              <w:rPr>
                <w:rFonts w:hint="eastAsia" w:ascii="宋体" w:hAnsi="宋体" w:cs="宋体"/>
                <w:color w:val="000000" w:themeColor="text1"/>
                <w:sz w:val="24"/>
                <w:szCs w:val="28"/>
                <w14:textFill>
                  <w14:solidFill>
                    <w14:schemeClr w14:val="tx1"/>
                  </w14:solidFill>
                </w14:textFill>
              </w:rPr>
            </w:pPr>
          </w:p>
        </w:tc>
        <w:tc>
          <w:tcPr>
            <w:tcW w:w="1866" w:type="pct"/>
            <w:tcBorders>
              <w:bottom w:val="single" w:color="auto" w:sz="4" w:space="0"/>
            </w:tcBorders>
            <w:noWrap w:val="0"/>
            <w:vAlign w:val="center"/>
          </w:tcPr>
          <w:p w14:paraId="1189EF23">
            <w:pPr>
              <w:spacing w:line="360" w:lineRule="auto"/>
              <w:ind w:left="0" w:leftChars="0" w:firstLine="0" w:firstLineChars="0"/>
              <w:jc w:val="left"/>
              <w:rPr>
                <w:rFonts w:hint="eastAsia" w:ascii="宋体" w:hAnsi="宋体" w:cs="宋体"/>
                <w:color w:val="000000" w:themeColor="text1"/>
                <w:sz w:val="24"/>
                <w:szCs w:val="28"/>
                <w14:textFill>
                  <w14:solidFill>
                    <w14:schemeClr w14:val="tx1"/>
                  </w14:solidFill>
                </w14:textFill>
              </w:rPr>
            </w:pPr>
          </w:p>
        </w:tc>
        <w:tc>
          <w:tcPr>
            <w:tcW w:w="1215" w:type="pct"/>
            <w:tcBorders>
              <w:bottom w:val="single" w:color="auto" w:sz="4" w:space="0"/>
            </w:tcBorders>
            <w:noWrap w:val="0"/>
            <w:vAlign w:val="top"/>
          </w:tcPr>
          <w:p w14:paraId="73210ADE">
            <w:pPr>
              <w:spacing w:line="360" w:lineRule="auto"/>
              <w:ind w:left="0" w:leftChars="0" w:firstLine="0" w:firstLineChars="0"/>
              <w:jc w:val="both"/>
              <w:rPr>
                <w:rFonts w:hint="eastAsia" w:ascii="宋体" w:hAnsi="宋体" w:cs="宋体"/>
                <w:color w:val="000000" w:themeColor="text1"/>
                <w:sz w:val="24"/>
                <w:szCs w:val="28"/>
                <w14:textFill>
                  <w14:solidFill>
                    <w14:schemeClr w14:val="tx1"/>
                  </w14:solidFill>
                </w14:textFill>
              </w:rPr>
            </w:pPr>
          </w:p>
        </w:tc>
        <w:tc>
          <w:tcPr>
            <w:tcW w:w="1133" w:type="pct"/>
            <w:tcBorders>
              <w:bottom w:val="single" w:color="auto" w:sz="4" w:space="0"/>
            </w:tcBorders>
            <w:noWrap w:val="0"/>
            <w:vAlign w:val="top"/>
          </w:tcPr>
          <w:p w14:paraId="169A4697">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r>
      <w:tr w14:paraId="726F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784" w:type="pct"/>
            <w:noWrap w:val="0"/>
            <w:vAlign w:val="center"/>
          </w:tcPr>
          <w:p w14:paraId="0D486D0B">
            <w:pPr>
              <w:snapToGrid w:val="0"/>
              <w:spacing w:line="400" w:lineRule="exact"/>
              <w:jc w:val="left"/>
              <w:rPr>
                <w:rFonts w:hint="eastAsia" w:ascii="宋体" w:hAnsi="宋体" w:cs="宋体"/>
                <w:color w:val="000000" w:themeColor="text1"/>
                <w:sz w:val="24"/>
                <w:szCs w:val="28"/>
                <w14:textFill>
                  <w14:solidFill>
                    <w14:schemeClr w14:val="tx1"/>
                  </w14:solidFill>
                </w14:textFill>
              </w:rPr>
            </w:pPr>
          </w:p>
        </w:tc>
        <w:tc>
          <w:tcPr>
            <w:tcW w:w="1866" w:type="pct"/>
            <w:noWrap w:val="0"/>
            <w:vAlign w:val="center"/>
          </w:tcPr>
          <w:p w14:paraId="73AE3A2B">
            <w:pPr>
              <w:snapToGrid w:val="0"/>
              <w:spacing w:line="400" w:lineRule="exact"/>
              <w:jc w:val="left"/>
              <w:rPr>
                <w:rFonts w:hint="eastAsia" w:ascii="宋体" w:hAnsi="宋体" w:cs="宋体"/>
                <w:color w:val="000000" w:themeColor="text1"/>
                <w:sz w:val="24"/>
                <w:szCs w:val="28"/>
                <w14:textFill>
                  <w14:solidFill>
                    <w14:schemeClr w14:val="tx1"/>
                  </w14:solidFill>
                </w14:textFill>
              </w:rPr>
            </w:pPr>
          </w:p>
        </w:tc>
        <w:tc>
          <w:tcPr>
            <w:tcW w:w="1215" w:type="pct"/>
            <w:noWrap w:val="0"/>
            <w:vAlign w:val="top"/>
          </w:tcPr>
          <w:p w14:paraId="764F4A0E">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c>
          <w:tcPr>
            <w:tcW w:w="1133" w:type="pct"/>
            <w:noWrap w:val="0"/>
            <w:vAlign w:val="top"/>
          </w:tcPr>
          <w:p w14:paraId="718F633B">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r>
      <w:tr w14:paraId="2BCC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784" w:type="pct"/>
            <w:tcBorders>
              <w:bottom w:val="single" w:color="auto" w:sz="4" w:space="0"/>
            </w:tcBorders>
            <w:noWrap w:val="0"/>
            <w:vAlign w:val="center"/>
          </w:tcPr>
          <w:p w14:paraId="66627957">
            <w:pPr>
              <w:snapToGrid w:val="0"/>
              <w:spacing w:line="400" w:lineRule="exact"/>
              <w:jc w:val="left"/>
              <w:rPr>
                <w:rFonts w:hint="eastAsia" w:ascii="宋体" w:hAnsi="宋体" w:cs="宋体"/>
                <w:color w:val="000000" w:themeColor="text1"/>
                <w:sz w:val="24"/>
                <w:szCs w:val="28"/>
                <w14:textFill>
                  <w14:solidFill>
                    <w14:schemeClr w14:val="tx1"/>
                  </w14:solidFill>
                </w14:textFill>
              </w:rPr>
            </w:pPr>
          </w:p>
        </w:tc>
        <w:tc>
          <w:tcPr>
            <w:tcW w:w="1866" w:type="pct"/>
            <w:tcBorders>
              <w:bottom w:val="single" w:color="auto" w:sz="4" w:space="0"/>
            </w:tcBorders>
            <w:noWrap w:val="0"/>
            <w:vAlign w:val="center"/>
          </w:tcPr>
          <w:p w14:paraId="6055D0F1">
            <w:pPr>
              <w:snapToGrid w:val="0"/>
              <w:spacing w:line="400" w:lineRule="exact"/>
              <w:jc w:val="left"/>
              <w:rPr>
                <w:rFonts w:hint="eastAsia" w:ascii="宋体" w:hAnsi="宋体" w:cs="宋体"/>
                <w:color w:val="000000" w:themeColor="text1"/>
                <w:sz w:val="24"/>
                <w:szCs w:val="28"/>
                <w14:textFill>
                  <w14:solidFill>
                    <w14:schemeClr w14:val="tx1"/>
                  </w14:solidFill>
                </w14:textFill>
              </w:rPr>
            </w:pPr>
          </w:p>
        </w:tc>
        <w:tc>
          <w:tcPr>
            <w:tcW w:w="1215" w:type="pct"/>
            <w:tcBorders>
              <w:bottom w:val="single" w:color="auto" w:sz="4" w:space="0"/>
            </w:tcBorders>
            <w:noWrap w:val="0"/>
            <w:vAlign w:val="top"/>
          </w:tcPr>
          <w:p w14:paraId="56F2B862">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c>
          <w:tcPr>
            <w:tcW w:w="1133" w:type="pct"/>
            <w:tcBorders>
              <w:bottom w:val="single" w:color="auto" w:sz="4" w:space="0"/>
            </w:tcBorders>
            <w:noWrap w:val="0"/>
            <w:vAlign w:val="top"/>
          </w:tcPr>
          <w:p w14:paraId="414F0F60">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r>
    </w:tbl>
    <w:p w14:paraId="45792276">
      <w:pPr>
        <w:spacing w:line="500" w:lineRule="exact"/>
        <w:ind w:firstLine="480" w:firstLineChars="200"/>
        <w:rPr>
          <w:rFonts w:hint="eastAsia" w:ascii="宋体" w:hAnsi="宋体" w:cs="宋体"/>
          <w:color w:val="000000" w:themeColor="text1"/>
          <w:sz w:val="24"/>
          <w:szCs w:val="28"/>
          <w14:textFill>
            <w14:solidFill>
              <w14:schemeClr w14:val="tx1"/>
            </w14:solidFill>
          </w14:textFill>
        </w:rPr>
      </w:pPr>
    </w:p>
    <w:p w14:paraId="0B45FD90">
      <w:pPr>
        <w:spacing w:line="500" w:lineRule="exact"/>
        <w:ind w:firstLine="480" w:firstLineChars="20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竞选人：                          法定代表人或法定代表人授权代表：</w:t>
      </w:r>
    </w:p>
    <w:p w14:paraId="23CEAC10">
      <w:pPr>
        <w:spacing w:line="500" w:lineRule="exact"/>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 xml:space="preserve">  （竞选人公章）                               （签署或盖章）</w:t>
      </w:r>
    </w:p>
    <w:p w14:paraId="3E2589B1">
      <w:pPr>
        <w:spacing w:line="500" w:lineRule="exact"/>
        <w:rPr>
          <w:rFonts w:hint="eastAsia" w:ascii="宋体" w:hAnsi="宋体" w:cs="宋体"/>
          <w:color w:val="000000" w:themeColor="text1"/>
          <w:sz w:val="24"/>
          <w:szCs w:val="28"/>
          <w14:textFill>
            <w14:solidFill>
              <w14:schemeClr w14:val="tx1"/>
            </w14:solidFill>
          </w14:textFill>
        </w:rPr>
      </w:pPr>
    </w:p>
    <w:p w14:paraId="1ACB77B1">
      <w:pPr>
        <w:spacing w:line="500" w:lineRule="exact"/>
        <w:rPr>
          <w:rFonts w:hint="eastAsia" w:ascii="宋体" w:hAnsi="宋体" w:cs="宋体"/>
          <w:color w:val="000000" w:themeColor="text1"/>
          <w:sz w:val="24"/>
          <w:szCs w:val="28"/>
          <w14:textFill>
            <w14:solidFill>
              <w14:schemeClr w14:val="tx1"/>
            </w14:solidFill>
          </w14:textFill>
        </w:rPr>
      </w:pPr>
    </w:p>
    <w:p w14:paraId="42013C5F">
      <w:pPr>
        <w:spacing w:line="500" w:lineRule="exact"/>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 xml:space="preserve">                                            年     月     日</w:t>
      </w:r>
    </w:p>
    <w:p w14:paraId="0C50625B">
      <w:pPr>
        <w:snapToGrid w:val="0"/>
        <w:spacing w:line="500" w:lineRule="exact"/>
        <w:ind w:firstLine="480" w:firstLineChars="200"/>
        <w:rPr>
          <w:rFonts w:hint="eastAsia" w:ascii="宋体" w:hAnsi="宋体" w:cs="宋体"/>
          <w:color w:val="000000" w:themeColor="text1"/>
          <w:sz w:val="24"/>
          <w:szCs w:val="28"/>
          <w14:textFill>
            <w14:solidFill>
              <w14:schemeClr w14:val="tx1"/>
            </w14:solidFill>
          </w14:textFill>
        </w:rPr>
      </w:pPr>
    </w:p>
    <w:p w14:paraId="026F45EB">
      <w:pPr>
        <w:snapToGrid w:val="0"/>
        <w:spacing w:line="500" w:lineRule="exact"/>
        <w:ind w:firstLine="480" w:firstLineChars="200"/>
        <w:rPr>
          <w:rFonts w:hint="eastAsia" w:ascii="宋体" w:hAnsi="宋体" w:cs="宋体"/>
          <w:color w:val="000000" w:themeColor="text1"/>
          <w:sz w:val="24"/>
          <w:szCs w:val="28"/>
          <w14:textFill>
            <w14:solidFill>
              <w14:schemeClr w14:val="tx1"/>
            </w14:solidFill>
          </w14:textFill>
        </w:rPr>
      </w:pPr>
    </w:p>
    <w:p w14:paraId="4D483380">
      <w:pPr>
        <w:snapToGrid w:val="0"/>
        <w:spacing w:line="500" w:lineRule="exact"/>
        <w:ind w:firstLine="480" w:firstLineChars="200"/>
        <w:rPr>
          <w:rFonts w:hint="eastAsia" w:ascii="宋体" w:hAnsi="宋体" w:cs="宋体"/>
          <w:color w:val="000000" w:themeColor="text1"/>
          <w:sz w:val="24"/>
          <w:szCs w:val="28"/>
          <w14:textFill>
            <w14:solidFill>
              <w14:schemeClr w14:val="tx1"/>
            </w14:solidFill>
          </w14:textFill>
        </w:rPr>
      </w:pPr>
    </w:p>
    <w:p w14:paraId="412F96AA">
      <w:pPr>
        <w:snapToGrid w:val="0"/>
        <w:ind w:firstLine="480" w:firstLineChars="20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说明：1.报价一览表按格式填列；务必填写清楚，准确无误。</w:t>
      </w:r>
    </w:p>
    <w:p w14:paraId="17E1570B">
      <w:pPr>
        <w:keepNext/>
        <w:keepLines/>
        <w:adjustRightInd w:val="0"/>
        <w:snapToGrid w:val="0"/>
        <w:jc w:val="both"/>
        <w:rPr>
          <w:rFonts w:hint="eastAsia"/>
          <w:color w:val="000000" w:themeColor="text1"/>
          <w14:textFill>
            <w14:solidFill>
              <w14:schemeClr w14:val="tx1"/>
            </w14:solidFill>
          </w14:textFill>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cs="宋体"/>
          <w:color w:val="000000" w:themeColor="text1"/>
          <w:sz w:val="24"/>
          <w:szCs w:val="28"/>
          <w14:textFill>
            <w14:solidFill>
              <w14:schemeClr w14:val="tx1"/>
            </w14:solidFill>
          </w14:textFill>
        </w:rPr>
        <w:t xml:space="preserve">  月   日  </w:t>
      </w:r>
    </w:p>
    <w:p w14:paraId="602D81E9">
      <w:pPr>
        <w:pageBreakBefore/>
        <w:spacing w:line="500" w:lineRule="exact"/>
        <w:jc w:val="both"/>
        <w:outlineLvl w:val="1"/>
        <w:rPr>
          <w:rFonts w:hint="eastAsia" w:cs="宋体"/>
          <w:b/>
          <w:color w:val="000000" w:themeColor="text1"/>
          <w:szCs w:val="28"/>
          <w14:textFill>
            <w14:solidFill>
              <w14:schemeClr w14:val="tx1"/>
            </w14:solidFill>
          </w14:textFill>
        </w:rPr>
      </w:pPr>
      <w:bookmarkStart w:id="194" w:name="_Toc15588"/>
      <w:r>
        <w:rPr>
          <w:rFonts w:hint="eastAsia" w:cs="宋体"/>
          <w:b/>
          <w:color w:val="000000" w:themeColor="text1"/>
          <w:szCs w:val="28"/>
          <w14:textFill>
            <w14:solidFill>
              <w14:schemeClr w14:val="tx1"/>
            </w14:solidFill>
          </w14:textFill>
        </w:rPr>
        <w:t>二、</w:t>
      </w:r>
      <w:bookmarkEnd w:id="186"/>
      <w:bookmarkEnd w:id="187"/>
      <w:bookmarkEnd w:id="188"/>
      <w:bookmarkEnd w:id="189"/>
      <w:bookmarkEnd w:id="190"/>
      <w:bookmarkEnd w:id="191"/>
      <w:r>
        <w:rPr>
          <w:rFonts w:hint="eastAsia" w:cs="宋体"/>
          <w:b/>
          <w:color w:val="000000" w:themeColor="text1"/>
          <w:szCs w:val="28"/>
          <w14:textFill>
            <w14:solidFill>
              <w14:schemeClr w14:val="tx1"/>
            </w14:solidFill>
          </w14:textFill>
        </w:rPr>
        <w:t>技术（质量）文件</w:t>
      </w:r>
      <w:bookmarkEnd w:id="192"/>
      <w:bookmarkEnd w:id="193"/>
      <w:bookmarkEnd w:id="194"/>
    </w:p>
    <w:p w14:paraId="429B3CE0">
      <w:pPr>
        <w:snapToGrid w:val="0"/>
        <w:spacing w:line="4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（一）技术（质量）条款差异表</w:t>
      </w:r>
    </w:p>
    <w:p w14:paraId="708E2567">
      <w:pPr>
        <w:snapToGrid w:val="0"/>
        <w:spacing w:line="4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项目号：</w:t>
      </w:r>
    </w:p>
    <w:p w14:paraId="783CC183">
      <w:pPr>
        <w:snapToGrid w:val="0"/>
        <w:spacing w:line="4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采购项目名称：</w:t>
      </w:r>
    </w:p>
    <w:tbl>
      <w:tblPr>
        <w:tblStyle w:val="1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4EC1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12618768">
            <w:pPr>
              <w:tabs>
                <w:tab w:val="left" w:pos="6300"/>
              </w:tabs>
              <w:snapToGrid w:val="0"/>
              <w:spacing w:line="50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244" w:type="pct"/>
            <w:noWrap w:val="0"/>
            <w:vAlign w:val="center"/>
          </w:tcPr>
          <w:p w14:paraId="456A70A6">
            <w:pPr>
              <w:tabs>
                <w:tab w:val="left" w:pos="6300"/>
              </w:tabs>
              <w:snapToGrid w:val="0"/>
              <w:spacing w:line="500" w:lineRule="exact"/>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参数需求</w:t>
            </w:r>
          </w:p>
        </w:tc>
        <w:tc>
          <w:tcPr>
            <w:tcW w:w="1522" w:type="pct"/>
            <w:noWrap w:val="0"/>
            <w:vAlign w:val="center"/>
          </w:tcPr>
          <w:p w14:paraId="660A9A4A">
            <w:pPr>
              <w:tabs>
                <w:tab w:val="left" w:pos="6300"/>
              </w:tabs>
              <w:snapToGrid w:val="0"/>
              <w:spacing w:line="50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竞选应答</w:t>
            </w:r>
          </w:p>
        </w:tc>
        <w:tc>
          <w:tcPr>
            <w:tcW w:w="805" w:type="pct"/>
            <w:noWrap w:val="0"/>
            <w:vAlign w:val="center"/>
          </w:tcPr>
          <w:p w14:paraId="7FDBF46F">
            <w:pPr>
              <w:tabs>
                <w:tab w:val="left" w:pos="6300"/>
              </w:tabs>
              <w:snapToGrid w:val="0"/>
              <w:spacing w:line="50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偏离情况</w:t>
            </w:r>
          </w:p>
        </w:tc>
        <w:tc>
          <w:tcPr>
            <w:tcW w:w="897" w:type="pct"/>
            <w:noWrap w:val="0"/>
            <w:vAlign w:val="center"/>
          </w:tcPr>
          <w:p w14:paraId="191AC572">
            <w:pPr>
              <w:tabs>
                <w:tab w:val="left" w:pos="6300"/>
              </w:tabs>
              <w:snapToGrid w:val="0"/>
              <w:spacing w:line="50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TW" w:eastAsia="zh-TW"/>
                <w14:textFill>
                  <w14:solidFill>
                    <w14:schemeClr w14:val="tx1"/>
                  </w14:solidFill>
                </w14:textFill>
              </w:rPr>
              <w:t>佐证材料对应</w:t>
            </w:r>
            <w:r>
              <w:rPr>
                <w:rFonts w:hint="eastAsia" w:ascii="宋体" w:hAnsi="宋体" w:cs="宋体"/>
                <w:color w:val="000000" w:themeColor="text1"/>
                <w:sz w:val="24"/>
                <w:szCs w:val="24"/>
                <w14:textFill>
                  <w14:solidFill>
                    <w14:schemeClr w14:val="tx1"/>
                  </w14:solidFill>
                </w14:textFill>
              </w:rPr>
              <w:t>竞选</w:t>
            </w:r>
            <w:r>
              <w:rPr>
                <w:rFonts w:hint="eastAsia" w:ascii="宋体" w:hAnsi="宋体" w:cs="宋体"/>
                <w:color w:val="000000" w:themeColor="text1"/>
                <w:sz w:val="24"/>
                <w:szCs w:val="24"/>
                <w:lang w:val="zh-TW" w:eastAsia="zh-TW"/>
                <w14:textFill>
                  <w14:solidFill>
                    <w14:schemeClr w14:val="tx1"/>
                  </w14:solidFill>
                </w14:textFill>
              </w:rPr>
              <w:t>文件页码</w:t>
            </w:r>
          </w:p>
        </w:tc>
      </w:tr>
      <w:tr w14:paraId="6FDB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4D989FB">
            <w:pPr>
              <w:tabs>
                <w:tab w:val="left" w:pos="6300"/>
              </w:tabs>
              <w:snapToGrid w:val="0"/>
              <w:spacing w:line="500" w:lineRule="exact"/>
              <w:ind w:firstLine="570"/>
              <w:jc w:val="both"/>
              <w:rPr>
                <w:rFonts w:hint="eastAsia" w:ascii="宋体" w:hAnsi="宋体" w:cs="宋体"/>
                <w:color w:val="000000" w:themeColor="text1"/>
                <w:sz w:val="24"/>
                <w:szCs w:val="24"/>
                <w14:textFill>
                  <w14:solidFill>
                    <w14:schemeClr w14:val="tx1"/>
                  </w14:solidFill>
                </w14:textFill>
              </w:rPr>
            </w:pPr>
          </w:p>
        </w:tc>
        <w:tc>
          <w:tcPr>
            <w:tcW w:w="1244" w:type="pct"/>
            <w:noWrap w:val="0"/>
            <w:vAlign w:val="center"/>
          </w:tcPr>
          <w:p w14:paraId="3E55EF09">
            <w:pPr>
              <w:tabs>
                <w:tab w:val="left" w:pos="6300"/>
              </w:tabs>
              <w:snapToGrid w:val="0"/>
              <w:spacing w:line="500" w:lineRule="exact"/>
              <w:ind w:firstLine="570"/>
              <w:jc w:val="both"/>
              <w:rPr>
                <w:rFonts w:hint="eastAsia" w:ascii="宋体" w:hAnsi="宋体" w:cs="宋体"/>
                <w:color w:val="000000" w:themeColor="text1"/>
                <w:sz w:val="24"/>
                <w:szCs w:val="24"/>
                <w14:textFill>
                  <w14:solidFill>
                    <w14:schemeClr w14:val="tx1"/>
                  </w14:solidFill>
                </w14:textFill>
              </w:rPr>
            </w:pPr>
          </w:p>
        </w:tc>
        <w:tc>
          <w:tcPr>
            <w:tcW w:w="1522" w:type="pct"/>
            <w:noWrap w:val="0"/>
            <w:vAlign w:val="center"/>
          </w:tcPr>
          <w:p w14:paraId="1E40EE59">
            <w:pPr>
              <w:tabs>
                <w:tab w:val="left" w:pos="6300"/>
              </w:tabs>
              <w:snapToGrid w:val="0"/>
              <w:spacing w:line="50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提醒：请注明自身技术参数或具体内容，不得照搬参数需求</w:t>
            </w:r>
          </w:p>
        </w:tc>
        <w:tc>
          <w:tcPr>
            <w:tcW w:w="805" w:type="pct"/>
            <w:noWrap w:val="0"/>
            <w:vAlign w:val="center"/>
          </w:tcPr>
          <w:p w14:paraId="73D9D91B">
            <w:pPr>
              <w:tabs>
                <w:tab w:val="left" w:pos="6300"/>
              </w:tabs>
              <w:snapToGrid w:val="0"/>
              <w:spacing w:line="500" w:lineRule="exact"/>
              <w:ind w:firstLine="570"/>
              <w:jc w:val="both"/>
              <w:rPr>
                <w:rFonts w:hint="eastAsia" w:ascii="宋体" w:hAnsi="宋体" w:cs="宋体"/>
                <w:color w:val="000000" w:themeColor="text1"/>
                <w:sz w:val="24"/>
                <w:szCs w:val="24"/>
                <w14:textFill>
                  <w14:solidFill>
                    <w14:schemeClr w14:val="tx1"/>
                  </w14:solidFill>
                </w14:textFill>
              </w:rPr>
            </w:pPr>
          </w:p>
        </w:tc>
        <w:tc>
          <w:tcPr>
            <w:tcW w:w="897" w:type="pct"/>
            <w:noWrap w:val="0"/>
            <w:vAlign w:val="center"/>
          </w:tcPr>
          <w:p w14:paraId="1BC8F379">
            <w:pPr>
              <w:tabs>
                <w:tab w:val="left" w:pos="6300"/>
              </w:tabs>
              <w:snapToGrid w:val="0"/>
              <w:spacing w:line="500" w:lineRule="exact"/>
              <w:ind w:firstLine="570"/>
              <w:jc w:val="both"/>
              <w:rPr>
                <w:rFonts w:hint="eastAsia" w:ascii="宋体" w:hAnsi="宋体" w:cs="宋体"/>
                <w:color w:val="000000" w:themeColor="text1"/>
                <w:sz w:val="24"/>
                <w:szCs w:val="24"/>
                <w14:textFill>
                  <w14:solidFill>
                    <w14:schemeClr w14:val="tx1"/>
                  </w14:solidFill>
                </w14:textFill>
              </w:rPr>
            </w:pPr>
          </w:p>
        </w:tc>
      </w:tr>
      <w:tr w14:paraId="42ED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1D812F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23D6686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421D91B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06A5920A">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2F24035E">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5A97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228E6A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475F5CED">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4209D688">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38E6513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12151F88">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7886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971DE3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13AB86C1">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47B3FE50">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57EEBDC0">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044FEF13">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6A5E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27550FA">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0A1F4935">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626E7DF0">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2DD56A43">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5408FB6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4C9B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9CF0F26">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77F431FA">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336E86B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02DBD848">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61AAD3F9">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6868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6981EEE">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1AEEBF10">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05F5A6E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668B2426">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4509027E">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46FF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609FA7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4A6F3649">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7FC97733">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7955E00B">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324B6985">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7718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B963CCC">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0484CAE8">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72390DD6">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4D266FE3">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05B7F70D">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1519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92BE94C">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3A9A2625">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11D9C0C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20C4EA97">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1598732A">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bl>
    <w:p w14:paraId="5EF8C0F1">
      <w:pPr>
        <w:tabs>
          <w:tab w:val="left" w:pos="6300"/>
        </w:tabs>
        <w:snapToGrid w:val="0"/>
        <w:spacing w:line="400" w:lineRule="atLeast"/>
        <w:ind w:firstLine="570"/>
        <w:jc w:val="both"/>
        <w:rPr>
          <w:rFonts w:hint="eastAsia" w:ascii="宋体" w:hAnsi="宋体" w:cs="宋体"/>
          <w:color w:val="000000" w:themeColor="text1"/>
          <w:sz w:val="24"/>
          <w:szCs w:val="24"/>
          <w14:textFill>
            <w14:solidFill>
              <w14:schemeClr w14:val="tx1"/>
            </w14:solidFill>
          </w14:textFill>
        </w:rPr>
      </w:pPr>
      <w:bookmarkStart w:id="195" w:name="_Toc493178791"/>
      <w:bookmarkStart w:id="196" w:name="_Toc20258"/>
      <w:bookmarkStart w:id="197" w:name="_Toc20875"/>
      <w:bookmarkStart w:id="198" w:name="_Toc411"/>
      <w:bookmarkStart w:id="199" w:name="_Toc492721039"/>
      <w:bookmarkStart w:id="200" w:name="_Toc76373910"/>
      <w:bookmarkStart w:id="201" w:name="_Toc12647"/>
      <w:bookmarkStart w:id="202" w:name="_Toc16487"/>
      <w:r>
        <w:rPr>
          <w:rFonts w:hint="eastAsia" w:ascii="宋体" w:hAnsi="宋体" w:cs="宋体"/>
          <w:color w:val="000000" w:themeColor="text1"/>
          <w:sz w:val="24"/>
          <w14:textFill>
            <w14:solidFill>
              <w14:schemeClr w14:val="tx1"/>
            </w14:solidFill>
          </w14:textFill>
        </w:rPr>
        <w:t>注：</w:t>
      </w:r>
      <w:r>
        <w:rPr>
          <w:rFonts w:hint="eastAsia" w:ascii="宋体" w:hAnsi="宋体" w:cs="宋体"/>
          <w:color w:val="000000" w:themeColor="text1"/>
          <w:sz w:val="24"/>
          <w:szCs w:val="24"/>
          <w14:textFill>
            <w14:solidFill>
              <w14:schemeClr w14:val="tx1"/>
            </w14:solidFill>
          </w14:textFill>
        </w:rPr>
        <w:t>1.本表即为对本项目“第二篇  项目技术（质量）及商务需求”中所列条款进行比较和响应；</w:t>
      </w:r>
    </w:p>
    <w:p w14:paraId="479FC952">
      <w:pPr>
        <w:tabs>
          <w:tab w:val="left" w:pos="6300"/>
        </w:tabs>
        <w:snapToGrid w:val="0"/>
        <w:spacing w:line="400" w:lineRule="atLeast"/>
        <w:ind w:firstLine="57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2.本表可扩展，相关技术支撑材料应附本表后。（格式自定）</w:t>
      </w:r>
    </w:p>
    <w:p w14:paraId="1ACAAC12">
      <w:pPr>
        <w:tabs>
          <w:tab w:val="left" w:pos="6300"/>
        </w:tabs>
        <w:snapToGrid w:val="0"/>
        <w:spacing w:line="400" w:lineRule="atLeast"/>
        <w:ind w:firstLine="57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3.竞选应答栏中应当注明技术参数或具体内容。表中必须标注技术参数或具体内容在竞选文件中的位置（页码）。</w:t>
      </w:r>
    </w:p>
    <w:p w14:paraId="6CB2D118">
      <w:pPr>
        <w:keepNext/>
        <w:keepLines/>
        <w:adjustRightInd w:val="0"/>
        <w:snapToGrid w:val="0"/>
        <w:spacing w:line="400" w:lineRule="atLeast"/>
        <w:ind w:firstLine="480" w:firstLineChars="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4.偏离情况请填写“无偏离”、“正偏离”或“负偏离”。</w:t>
      </w:r>
    </w:p>
    <w:p w14:paraId="5E95CCCF">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（二）</w:t>
      </w:r>
      <w:r>
        <w:rPr>
          <w:rFonts w:hint="eastAsia" w:ascii="宋体" w:hAnsi="宋体" w:cs="宋体"/>
          <w:color w:val="000000" w:themeColor="text1"/>
          <w:sz w:val="24"/>
          <w:szCs w:val="24"/>
          <w14:textFill>
            <w14:solidFill>
              <w14:schemeClr w14:val="tx1"/>
            </w14:solidFill>
          </w14:textFill>
        </w:rPr>
        <w:t>产品配置清单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167"/>
        <w:gridCol w:w="1383"/>
        <w:gridCol w:w="1817"/>
        <w:gridCol w:w="1050"/>
        <w:gridCol w:w="982"/>
        <w:gridCol w:w="1374"/>
      </w:tblGrid>
      <w:tr w14:paraId="271B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center"/>
          </w:tcPr>
          <w:p w14:paraId="682FA718">
            <w:pPr>
              <w:pStyle w:val="14"/>
              <w:ind w:firstLine="0"/>
              <w:jc w:val="both"/>
              <w:rPr>
                <w:rFonts w:eastAsia="宋体" w:cs="宋体"/>
                <w:color w:val="000000" w:themeColor="text1"/>
                <w:szCs w:val="24"/>
                <w14:textFill>
                  <w14:solidFill>
                    <w14:schemeClr w14:val="tx1"/>
                  </w14:solidFill>
                </w14:textFill>
              </w:rPr>
            </w:pPr>
            <w:r>
              <w:rPr>
                <w:rFonts w:hint="eastAsia" w:eastAsia="宋体" w:cs="宋体"/>
                <w:color w:val="000000" w:themeColor="text1"/>
                <w:szCs w:val="24"/>
                <w14:textFill>
                  <w14:solidFill>
                    <w14:schemeClr w14:val="tx1"/>
                  </w14:solidFill>
                </w14:textFill>
              </w:rPr>
              <w:t>序号</w:t>
            </w:r>
          </w:p>
        </w:tc>
        <w:tc>
          <w:tcPr>
            <w:tcW w:w="2167" w:type="dxa"/>
            <w:noWrap w:val="0"/>
            <w:vAlign w:val="center"/>
          </w:tcPr>
          <w:p w14:paraId="4AC466AE">
            <w:pPr>
              <w:pStyle w:val="14"/>
              <w:ind w:firstLine="0"/>
              <w:jc w:val="both"/>
              <w:rPr>
                <w:rFonts w:eastAsia="宋体" w:cs="宋体"/>
                <w:color w:val="000000" w:themeColor="text1"/>
                <w:szCs w:val="24"/>
                <w14:textFill>
                  <w14:solidFill>
                    <w14:schemeClr w14:val="tx1"/>
                  </w14:solidFill>
                </w14:textFill>
              </w:rPr>
            </w:pPr>
            <w:r>
              <w:rPr>
                <w:rFonts w:hint="eastAsia" w:eastAsia="宋体" w:cs="宋体"/>
                <w:color w:val="000000" w:themeColor="text1"/>
                <w:szCs w:val="24"/>
                <w14:textFill>
                  <w14:solidFill>
                    <w14:schemeClr w14:val="tx1"/>
                  </w14:solidFill>
                </w14:textFill>
              </w:rPr>
              <w:t>配置名称</w:t>
            </w:r>
          </w:p>
        </w:tc>
        <w:tc>
          <w:tcPr>
            <w:tcW w:w="1383" w:type="dxa"/>
            <w:noWrap w:val="0"/>
            <w:vAlign w:val="center"/>
          </w:tcPr>
          <w:p w14:paraId="48A1E49B">
            <w:pPr>
              <w:pStyle w:val="14"/>
              <w:ind w:firstLine="0"/>
              <w:jc w:val="both"/>
              <w:rPr>
                <w:rFonts w:eastAsia="宋体" w:cs="宋体"/>
                <w:color w:val="000000" w:themeColor="text1"/>
                <w:szCs w:val="24"/>
                <w14:textFill>
                  <w14:solidFill>
                    <w14:schemeClr w14:val="tx1"/>
                  </w14:solidFill>
                </w14:textFill>
              </w:rPr>
            </w:pPr>
            <w:r>
              <w:rPr>
                <w:rFonts w:hint="eastAsia" w:eastAsia="宋体" w:cs="宋体"/>
                <w:color w:val="000000" w:themeColor="text1"/>
                <w:szCs w:val="24"/>
                <w14:textFill>
                  <w14:solidFill>
                    <w14:schemeClr w14:val="tx1"/>
                  </w14:solidFill>
                </w14:textFill>
              </w:rPr>
              <w:t>品牌</w:t>
            </w:r>
          </w:p>
        </w:tc>
        <w:tc>
          <w:tcPr>
            <w:tcW w:w="1817" w:type="dxa"/>
            <w:noWrap w:val="0"/>
            <w:vAlign w:val="center"/>
          </w:tcPr>
          <w:p w14:paraId="2C1B4DE1">
            <w:pPr>
              <w:pStyle w:val="14"/>
              <w:ind w:firstLine="0"/>
              <w:jc w:val="both"/>
              <w:rPr>
                <w:rFonts w:eastAsia="宋体" w:cs="宋体"/>
                <w:color w:val="000000" w:themeColor="text1"/>
                <w:szCs w:val="24"/>
                <w14:textFill>
                  <w14:solidFill>
                    <w14:schemeClr w14:val="tx1"/>
                  </w14:solidFill>
                </w14:textFill>
              </w:rPr>
            </w:pPr>
            <w:r>
              <w:rPr>
                <w:rFonts w:hint="eastAsia" w:eastAsia="宋体" w:cs="宋体"/>
                <w:color w:val="000000" w:themeColor="text1"/>
                <w:szCs w:val="24"/>
                <w14:textFill>
                  <w14:solidFill>
                    <w14:schemeClr w14:val="tx1"/>
                  </w14:solidFill>
                </w14:textFill>
              </w:rPr>
              <w:t>型号</w:t>
            </w:r>
          </w:p>
        </w:tc>
        <w:tc>
          <w:tcPr>
            <w:tcW w:w="1050" w:type="dxa"/>
            <w:noWrap w:val="0"/>
            <w:vAlign w:val="center"/>
          </w:tcPr>
          <w:p w14:paraId="10A7C80D">
            <w:pPr>
              <w:pStyle w:val="14"/>
              <w:ind w:firstLine="0"/>
              <w:jc w:val="both"/>
              <w:rPr>
                <w:rFonts w:eastAsia="宋体" w:cs="宋体"/>
                <w:color w:val="000000" w:themeColor="text1"/>
                <w:szCs w:val="24"/>
                <w14:textFill>
                  <w14:solidFill>
                    <w14:schemeClr w14:val="tx1"/>
                  </w14:solidFill>
                </w14:textFill>
              </w:rPr>
            </w:pPr>
            <w:r>
              <w:rPr>
                <w:rFonts w:hint="eastAsia" w:eastAsia="宋体" w:cs="宋体"/>
                <w:color w:val="000000" w:themeColor="text1"/>
                <w:szCs w:val="24"/>
                <w14:textFill>
                  <w14:solidFill>
                    <w14:schemeClr w14:val="tx1"/>
                  </w14:solidFill>
                </w14:textFill>
              </w:rPr>
              <w:t>数量</w:t>
            </w:r>
          </w:p>
        </w:tc>
        <w:tc>
          <w:tcPr>
            <w:tcW w:w="982" w:type="dxa"/>
            <w:noWrap w:val="0"/>
            <w:vAlign w:val="center"/>
          </w:tcPr>
          <w:p w14:paraId="1BFAC25B">
            <w:pPr>
              <w:pStyle w:val="14"/>
              <w:ind w:firstLine="0"/>
              <w:jc w:val="both"/>
              <w:rPr>
                <w:rFonts w:eastAsia="宋体" w:cs="宋体"/>
                <w:color w:val="000000" w:themeColor="text1"/>
                <w:szCs w:val="24"/>
                <w14:textFill>
                  <w14:solidFill>
                    <w14:schemeClr w14:val="tx1"/>
                  </w14:solidFill>
                </w14:textFill>
              </w:rPr>
            </w:pPr>
            <w:r>
              <w:rPr>
                <w:rFonts w:hint="eastAsia" w:eastAsia="宋体" w:cs="宋体"/>
                <w:color w:val="000000" w:themeColor="text1"/>
                <w:szCs w:val="24"/>
                <w14:textFill>
                  <w14:solidFill>
                    <w14:schemeClr w14:val="tx1"/>
                  </w14:solidFill>
                </w14:textFill>
              </w:rPr>
              <w:t>产地</w:t>
            </w:r>
          </w:p>
        </w:tc>
        <w:tc>
          <w:tcPr>
            <w:tcW w:w="1374" w:type="dxa"/>
            <w:noWrap w:val="0"/>
            <w:vAlign w:val="center"/>
          </w:tcPr>
          <w:p w14:paraId="37DABCBE">
            <w:pPr>
              <w:pStyle w:val="14"/>
              <w:ind w:firstLine="0"/>
              <w:jc w:val="both"/>
              <w:rPr>
                <w:rFonts w:eastAsia="宋体" w:cs="宋体"/>
                <w:color w:val="000000" w:themeColor="text1"/>
                <w:szCs w:val="24"/>
                <w14:textFill>
                  <w14:solidFill>
                    <w14:schemeClr w14:val="tx1"/>
                  </w14:solidFill>
                </w14:textFill>
              </w:rPr>
            </w:pPr>
            <w:r>
              <w:rPr>
                <w:rFonts w:hint="eastAsia" w:eastAsia="宋体" w:cs="宋体"/>
                <w:color w:val="000000" w:themeColor="text1"/>
                <w:szCs w:val="24"/>
                <w14:textFill>
                  <w14:solidFill>
                    <w14:schemeClr w14:val="tx1"/>
                  </w14:solidFill>
                </w14:textFill>
              </w:rPr>
              <w:t>备注</w:t>
            </w:r>
          </w:p>
        </w:tc>
      </w:tr>
      <w:tr w14:paraId="2CF9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54A6E55A">
            <w:pPr>
              <w:pStyle w:val="14"/>
              <w:jc w:val="both"/>
              <w:rPr>
                <w:color w:val="000000" w:themeColor="text1"/>
                <w14:textFill>
                  <w14:solidFill>
                    <w14:schemeClr w14:val="tx1"/>
                  </w14:solidFill>
                </w14:textFill>
              </w:rPr>
            </w:pPr>
          </w:p>
        </w:tc>
        <w:tc>
          <w:tcPr>
            <w:tcW w:w="2167" w:type="dxa"/>
            <w:noWrap w:val="0"/>
            <w:vAlign w:val="top"/>
          </w:tcPr>
          <w:p w14:paraId="526DDACC">
            <w:pPr>
              <w:pStyle w:val="14"/>
              <w:jc w:val="both"/>
              <w:rPr>
                <w:color w:val="000000" w:themeColor="text1"/>
                <w14:textFill>
                  <w14:solidFill>
                    <w14:schemeClr w14:val="tx1"/>
                  </w14:solidFill>
                </w14:textFill>
              </w:rPr>
            </w:pPr>
          </w:p>
        </w:tc>
        <w:tc>
          <w:tcPr>
            <w:tcW w:w="1383" w:type="dxa"/>
            <w:noWrap w:val="0"/>
            <w:vAlign w:val="top"/>
          </w:tcPr>
          <w:p w14:paraId="10C3E286">
            <w:pPr>
              <w:pStyle w:val="14"/>
              <w:jc w:val="both"/>
              <w:rPr>
                <w:color w:val="000000" w:themeColor="text1"/>
                <w14:textFill>
                  <w14:solidFill>
                    <w14:schemeClr w14:val="tx1"/>
                  </w14:solidFill>
                </w14:textFill>
              </w:rPr>
            </w:pPr>
          </w:p>
        </w:tc>
        <w:tc>
          <w:tcPr>
            <w:tcW w:w="1817" w:type="dxa"/>
            <w:noWrap w:val="0"/>
            <w:vAlign w:val="top"/>
          </w:tcPr>
          <w:p w14:paraId="640C71F0">
            <w:pPr>
              <w:pStyle w:val="14"/>
              <w:jc w:val="both"/>
              <w:rPr>
                <w:color w:val="000000" w:themeColor="text1"/>
                <w14:textFill>
                  <w14:solidFill>
                    <w14:schemeClr w14:val="tx1"/>
                  </w14:solidFill>
                </w14:textFill>
              </w:rPr>
            </w:pPr>
          </w:p>
        </w:tc>
        <w:tc>
          <w:tcPr>
            <w:tcW w:w="1050" w:type="dxa"/>
            <w:noWrap w:val="0"/>
            <w:vAlign w:val="top"/>
          </w:tcPr>
          <w:p w14:paraId="08A5D638">
            <w:pPr>
              <w:pStyle w:val="14"/>
              <w:jc w:val="both"/>
              <w:rPr>
                <w:color w:val="000000" w:themeColor="text1"/>
                <w14:textFill>
                  <w14:solidFill>
                    <w14:schemeClr w14:val="tx1"/>
                  </w14:solidFill>
                </w14:textFill>
              </w:rPr>
            </w:pPr>
          </w:p>
        </w:tc>
        <w:tc>
          <w:tcPr>
            <w:tcW w:w="982" w:type="dxa"/>
            <w:noWrap w:val="0"/>
            <w:vAlign w:val="top"/>
          </w:tcPr>
          <w:p w14:paraId="2B3B1305">
            <w:pPr>
              <w:pStyle w:val="14"/>
              <w:jc w:val="both"/>
              <w:rPr>
                <w:color w:val="000000" w:themeColor="text1"/>
                <w14:textFill>
                  <w14:solidFill>
                    <w14:schemeClr w14:val="tx1"/>
                  </w14:solidFill>
                </w14:textFill>
              </w:rPr>
            </w:pPr>
          </w:p>
        </w:tc>
        <w:tc>
          <w:tcPr>
            <w:tcW w:w="1374" w:type="dxa"/>
            <w:noWrap w:val="0"/>
            <w:vAlign w:val="top"/>
          </w:tcPr>
          <w:p w14:paraId="4E0865AD">
            <w:pPr>
              <w:pStyle w:val="14"/>
              <w:jc w:val="both"/>
              <w:rPr>
                <w:color w:val="000000" w:themeColor="text1"/>
                <w14:textFill>
                  <w14:solidFill>
                    <w14:schemeClr w14:val="tx1"/>
                  </w14:solidFill>
                </w14:textFill>
              </w:rPr>
            </w:pPr>
          </w:p>
        </w:tc>
      </w:tr>
      <w:tr w14:paraId="00E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1F103822">
            <w:pPr>
              <w:pStyle w:val="14"/>
              <w:jc w:val="both"/>
              <w:rPr>
                <w:color w:val="000000" w:themeColor="text1"/>
                <w14:textFill>
                  <w14:solidFill>
                    <w14:schemeClr w14:val="tx1"/>
                  </w14:solidFill>
                </w14:textFill>
              </w:rPr>
            </w:pPr>
          </w:p>
        </w:tc>
        <w:tc>
          <w:tcPr>
            <w:tcW w:w="2167" w:type="dxa"/>
            <w:noWrap w:val="0"/>
            <w:vAlign w:val="top"/>
          </w:tcPr>
          <w:p w14:paraId="1DFDAA21">
            <w:pPr>
              <w:pStyle w:val="14"/>
              <w:jc w:val="both"/>
              <w:rPr>
                <w:color w:val="000000" w:themeColor="text1"/>
                <w14:textFill>
                  <w14:solidFill>
                    <w14:schemeClr w14:val="tx1"/>
                  </w14:solidFill>
                </w14:textFill>
              </w:rPr>
            </w:pPr>
          </w:p>
        </w:tc>
        <w:tc>
          <w:tcPr>
            <w:tcW w:w="1383" w:type="dxa"/>
            <w:noWrap w:val="0"/>
            <w:vAlign w:val="top"/>
          </w:tcPr>
          <w:p w14:paraId="23C8835F">
            <w:pPr>
              <w:pStyle w:val="14"/>
              <w:jc w:val="both"/>
              <w:rPr>
                <w:color w:val="000000" w:themeColor="text1"/>
                <w14:textFill>
                  <w14:solidFill>
                    <w14:schemeClr w14:val="tx1"/>
                  </w14:solidFill>
                </w14:textFill>
              </w:rPr>
            </w:pPr>
          </w:p>
        </w:tc>
        <w:tc>
          <w:tcPr>
            <w:tcW w:w="1817" w:type="dxa"/>
            <w:noWrap w:val="0"/>
            <w:vAlign w:val="top"/>
          </w:tcPr>
          <w:p w14:paraId="4199C1B7">
            <w:pPr>
              <w:pStyle w:val="14"/>
              <w:jc w:val="both"/>
              <w:rPr>
                <w:color w:val="000000" w:themeColor="text1"/>
                <w14:textFill>
                  <w14:solidFill>
                    <w14:schemeClr w14:val="tx1"/>
                  </w14:solidFill>
                </w14:textFill>
              </w:rPr>
            </w:pPr>
          </w:p>
        </w:tc>
        <w:tc>
          <w:tcPr>
            <w:tcW w:w="1050" w:type="dxa"/>
            <w:noWrap w:val="0"/>
            <w:vAlign w:val="top"/>
          </w:tcPr>
          <w:p w14:paraId="1EC83861">
            <w:pPr>
              <w:pStyle w:val="14"/>
              <w:jc w:val="both"/>
              <w:rPr>
                <w:color w:val="000000" w:themeColor="text1"/>
                <w14:textFill>
                  <w14:solidFill>
                    <w14:schemeClr w14:val="tx1"/>
                  </w14:solidFill>
                </w14:textFill>
              </w:rPr>
            </w:pPr>
          </w:p>
        </w:tc>
        <w:tc>
          <w:tcPr>
            <w:tcW w:w="982" w:type="dxa"/>
            <w:noWrap w:val="0"/>
            <w:vAlign w:val="top"/>
          </w:tcPr>
          <w:p w14:paraId="5CC5C6A0">
            <w:pPr>
              <w:pStyle w:val="14"/>
              <w:jc w:val="both"/>
              <w:rPr>
                <w:color w:val="000000" w:themeColor="text1"/>
                <w14:textFill>
                  <w14:solidFill>
                    <w14:schemeClr w14:val="tx1"/>
                  </w14:solidFill>
                </w14:textFill>
              </w:rPr>
            </w:pPr>
          </w:p>
        </w:tc>
        <w:tc>
          <w:tcPr>
            <w:tcW w:w="1374" w:type="dxa"/>
            <w:noWrap w:val="0"/>
            <w:vAlign w:val="top"/>
          </w:tcPr>
          <w:p w14:paraId="5D74EAAD">
            <w:pPr>
              <w:pStyle w:val="14"/>
              <w:jc w:val="both"/>
              <w:rPr>
                <w:color w:val="000000" w:themeColor="text1"/>
                <w14:textFill>
                  <w14:solidFill>
                    <w14:schemeClr w14:val="tx1"/>
                  </w14:solidFill>
                </w14:textFill>
              </w:rPr>
            </w:pPr>
          </w:p>
        </w:tc>
      </w:tr>
      <w:tr w14:paraId="1493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29C69823">
            <w:pPr>
              <w:pStyle w:val="14"/>
              <w:jc w:val="both"/>
              <w:rPr>
                <w:color w:val="000000" w:themeColor="text1"/>
                <w14:textFill>
                  <w14:solidFill>
                    <w14:schemeClr w14:val="tx1"/>
                  </w14:solidFill>
                </w14:textFill>
              </w:rPr>
            </w:pPr>
          </w:p>
        </w:tc>
        <w:tc>
          <w:tcPr>
            <w:tcW w:w="2167" w:type="dxa"/>
            <w:noWrap w:val="0"/>
            <w:vAlign w:val="top"/>
          </w:tcPr>
          <w:p w14:paraId="40D34767">
            <w:pPr>
              <w:pStyle w:val="14"/>
              <w:jc w:val="both"/>
              <w:rPr>
                <w:color w:val="000000" w:themeColor="text1"/>
                <w14:textFill>
                  <w14:solidFill>
                    <w14:schemeClr w14:val="tx1"/>
                  </w14:solidFill>
                </w14:textFill>
              </w:rPr>
            </w:pPr>
          </w:p>
        </w:tc>
        <w:tc>
          <w:tcPr>
            <w:tcW w:w="1383" w:type="dxa"/>
            <w:noWrap w:val="0"/>
            <w:vAlign w:val="top"/>
          </w:tcPr>
          <w:p w14:paraId="304D3B4C">
            <w:pPr>
              <w:pStyle w:val="14"/>
              <w:jc w:val="both"/>
              <w:rPr>
                <w:color w:val="000000" w:themeColor="text1"/>
                <w14:textFill>
                  <w14:solidFill>
                    <w14:schemeClr w14:val="tx1"/>
                  </w14:solidFill>
                </w14:textFill>
              </w:rPr>
            </w:pPr>
          </w:p>
        </w:tc>
        <w:tc>
          <w:tcPr>
            <w:tcW w:w="1817" w:type="dxa"/>
            <w:noWrap w:val="0"/>
            <w:vAlign w:val="top"/>
          </w:tcPr>
          <w:p w14:paraId="0BFD78B2">
            <w:pPr>
              <w:pStyle w:val="14"/>
              <w:jc w:val="both"/>
              <w:rPr>
                <w:color w:val="000000" w:themeColor="text1"/>
                <w14:textFill>
                  <w14:solidFill>
                    <w14:schemeClr w14:val="tx1"/>
                  </w14:solidFill>
                </w14:textFill>
              </w:rPr>
            </w:pPr>
          </w:p>
        </w:tc>
        <w:tc>
          <w:tcPr>
            <w:tcW w:w="1050" w:type="dxa"/>
            <w:noWrap w:val="0"/>
            <w:vAlign w:val="top"/>
          </w:tcPr>
          <w:p w14:paraId="50073B3B">
            <w:pPr>
              <w:pStyle w:val="14"/>
              <w:jc w:val="both"/>
              <w:rPr>
                <w:color w:val="000000" w:themeColor="text1"/>
                <w14:textFill>
                  <w14:solidFill>
                    <w14:schemeClr w14:val="tx1"/>
                  </w14:solidFill>
                </w14:textFill>
              </w:rPr>
            </w:pPr>
          </w:p>
        </w:tc>
        <w:tc>
          <w:tcPr>
            <w:tcW w:w="982" w:type="dxa"/>
            <w:noWrap w:val="0"/>
            <w:vAlign w:val="top"/>
          </w:tcPr>
          <w:p w14:paraId="44C42A3C">
            <w:pPr>
              <w:pStyle w:val="14"/>
              <w:jc w:val="both"/>
              <w:rPr>
                <w:color w:val="000000" w:themeColor="text1"/>
                <w14:textFill>
                  <w14:solidFill>
                    <w14:schemeClr w14:val="tx1"/>
                  </w14:solidFill>
                </w14:textFill>
              </w:rPr>
            </w:pPr>
          </w:p>
        </w:tc>
        <w:tc>
          <w:tcPr>
            <w:tcW w:w="1374" w:type="dxa"/>
            <w:noWrap w:val="0"/>
            <w:vAlign w:val="top"/>
          </w:tcPr>
          <w:p w14:paraId="602295AB">
            <w:pPr>
              <w:pStyle w:val="14"/>
              <w:jc w:val="both"/>
              <w:rPr>
                <w:color w:val="000000" w:themeColor="text1"/>
                <w14:textFill>
                  <w14:solidFill>
                    <w14:schemeClr w14:val="tx1"/>
                  </w14:solidFill>
                </w14:textFill>
              </w:rPr>
            </w:pPr>
          </w:p>
        </w:tc>
      </w:tr>
      <w:tr w14:paraId="3863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41" w:type="dxa"/>
            <w:noWrap w:val="0"/>
            <w:vAlign w:val="top"/>
          </w:tcPr>
          <w:p w14:paraId="7043FB78">
            <w:pPr>
              <w:pStyle w:val="14"/>
              <w:jc w:val="both"/>
              <w:rPr>
                <w:color w:val="000000" w:themeColor="text1"/>
                <w14:textFill>
                  <w14:solidFill>
                    <w14:schemeClr w14:val="tx1"/>
                  </w14:solidFill>
                </w14:textFill>
              </w:rPr>
            </w:pPr>
          </w:p>
        </w:tc>
        <w:tc>
          <w:tcPr>
            <w:tcW w:w="2167" w:type="dxa"/>
            <w:noWrap w:val="0"/>
            <w:vAlign w:val="top"/>
          </w:tcPr>
          <w:p w14:paraId="61B8D9AA">
            <w:pPr>
              <w:pStyle w:val="14"/>
              <w:jc w:val="both"/>
              <w:rPr>
                <w:color w:val="000000" w:themeColor="text1"/>
                <w14:textFill>
                  <w14:solidFill>
                    <w14:schemeClr w14:val="tx1"/>
                  </w14:solidFill>
                </w14:textFill>
              </w:rPr>
            </w:pPr>
          </w:p>
        </w:tc>
        <w:tc>
          <w:tcPr>
            <w:tcW w:w="1383" w:type="dxa"/>
            <w:noWrap w:val="0"/>
            <w:vAlign w:val="top"/>
          </w:tcPr>
          <w:p w14:paraId="4375010B">
            <w:pPr>
              <w:pStyle w:val="14"/>
              <w:jc w:val="both"/>
              <w:rPr>
                <w:color w:val="000000" w:themeColor="text1"/>
                <w14:textFill>
                  <w14:solidFill>
                    <w14:schemeClr w14:val="tx1"/>
                  </w14:solidFill>
                </w14:textFill>
              </w:rPr>
            </w:pPr>
          </w:p>
        </w:tc>
        <w:tc>
          <w:tcPr>
            <w:tcW w:w="1817" w:type="dxa"/>
            <w:noWrap w:val="0"/>
            <w:vAlign w:val="top"/>
          </w:tcPr>
          <w:p w14:paraId="227586EA">
            <w:pPr>
              <w:pStyle w:val="14"/>
              <w:jc w:val="both"/>
              <w:rPr>
                <w:color w:val="000000" w:themeColor="text1"/>
                <w14:textFill>
                  <w14:solidFill>
                    <w14:schemeClr w14:val="tx1"/>
                  </w14:solidFill>
                </w14:textFill>
              </w:rPr>
            </w:pPr>
          </w:p>
        </w:tc>
        <w:tc>
          <w:tcPr>
            <w:tcW w:w="1050" w:type="dxa"/>
            <w:noWrap w:val="0"/>
            <w:vAlign w:val="top"/>
          </w:tcPr>
          <w:p w14:paraId="4E1D9246">
            <w:pPr>
              <w:pStyle w:val="14"/>
              <w:jc w:val="both"/>
              <w:rPr>
                <w:color w:val="000000" w:themeColor="text1"/>
                <w14:textFill>
                  <w14:solidFill>
                    <w14:schemeClr w14:val="tx1"/>
                  </w14:solidFill>
                </w14:textFill>
              </w:rPr>
            </w:pPr>
          </w:p>
        </w:tc>
        <w:tc>
          <w:tcPr>
            <w:tcW w:w="982" w:type="dxa"/>
            <w:noWrap w:val="0"/>
            <w:vAlign w:val="top"/>
          </w:tcPr>
          <w:p w14:paraId="371B56C6">
            <w:pPr>
              <w:pStyle w:val="14"/>
              <w:jc w:val="both"/>
              <w:rPr>
                <w:color w:val="000000" w:themeColor="text1"/>
                <w14:textFill>
                  <w14:solidFill>
                    <w14:schemeClr w14:val="tx1"/>
                  </w14:solidFill>
                </w14:textFill>
              </w:rPr>
            </w:pPr>
          </w:p>
        </w:tc>
        <w:tc>
          <w:tcPr>
            <w:tcW w:w="1374" w:type="dxa"/>
            <w:noWrap w:val="0"/>
            <w:vAlign w:val="top"/>
          </w:tcPr>
          <w:p w14:paraId="3C9365CD">
            <w:pPr>
              <w:pStyle w:val="14"/>
              <w:jc w:val="both"/>
              <w:rPr>
                <w:color w:val="000000" w:themeColor="text1"/>
                <w14:textFill>
                  <w14:solidFill>
                    <w14:schemeClr w14:val="tx1"/>
                  </w14:solidFill>
                </w14:textFill>
              </w:rPr>
            </w:pPr>
          </w:p>
        </w:tc>
      </w:tr>
      <w:tr w14:paraId="1298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54552039">
            <w:pPr>
              <w:pStyle w:val="14"/>
              <w:jc w:val="both"/>
              <w:rPr>
                <w:color w:val="000000" w:themeColor="text1"/>
                <w14:textFill>
                  <w14:solidFill>
                    <w14:schemeClr w14:val="tx1"/>
                  </w14:solidFill>
                </w14:textFill>
              </w:rPr>
            </w:pPr>
          </w:p>
        </w:tc>
        <w:tc>
          <w:tcPr>
            <w:tcW w:w="2167" w:type="dxa"/>
            <w:noWrap w:val="0"/>
            <w:vAlign w:val="top"/>
          </w:tcPr>
          <w:p w14:paraId="56183F35">
            <w:pPr>
              <w:pStyle w:val="14"/>
              <w:jc w:val="both"/>
              <w:rPr>
                <w:color w:val="000000" w:themeColor="text1"/>
                <w14:textFill>
                  <w14:solidFill>
                    <w14:schemeClr w14:val="tx1"/>
                  </w14:solidFill>
                </w14:textFill>
              </w:rPr>
            </w:pPr>
          </w:p>
        </w:tc>
        <w:tc>
          <w:tcPr>
            <w:tcW w:w="1383" w:type="dxa"/>
            <w:noWrap w:val="0"/>
            <w:vAlign w:val="top"/>
          </w:tcPr>
          <w:p w14:paraId="4A29CE4D">
            <w:pPr>
              <w:pStyle w:val="14"/>
              <w:jc w:val="both"/>
              <w:rPr>
                <w:color w:val="000000" w:themeColor="text1"/>
                <w14:textFill>
                  <w14:solidFill>
                    <w14:schemeClr w14:val="tx1"/>
                  </w14:solidFill>
                </w14:textFill>
              </w:rPr>
            </w:pPr>
          </w:p>
        </w:tc>
        <w:tc>
          <w:tcPr>
            <w:tcW w:w="1817" w:type="dxa"/>
            <w:noWrap w:val="0"/>
            <w:vAlign w:val="top"/>
          </w:tcPr>
          <w:p w14:paraId="58C16121">
            <w:pPr>
              <w:pStyle w:val="14"/>
              <w:jc w:val="both"/>
              <w:rPr>
                <w:color w:val="000000" w:themeColor="text1"/>
                <w14:textFill>
                  <w14:solidFill>
                    <w14:schemeClr w14:val="tx1"/>
                  </w14:solidFill>
                </w14:textFill>
              </w:rPr>
            </w:pPr>
          </w:p>
        </w:tc>
        <w:tc>
          <w:tcPr>
            <w:tcW w:w="1050" w:type="dxa"/>
            <w:noWrap w:val="0"/>
            <w:vAlign w:val="top"/>
          </w:tcPr>
          <w:p w14:paraId="5F4318A6">
            <w:pPr>
              <w:pStyle w:val="14"/>
              <w:jc w:val="both"/>
              <w:rPr>
                <w:color w:val="000000" w:themeColor="text1"/>
                <w14:textFill>
                  <w14:solidFill>
                    <w14:schemeClr w14:val="tx1"/>
                  </w14:solidFill>
                </w14:textFill>
              </w:rPr>
            </w:pPr>
          </w:p>
        </w:tc>
        <w:tc>
          <w:tcPr>
            <w:tcW w:w="982" w:type="dxa"/>
            <w:noWrap w:val="0"/>
            <w:vAlign w:val="top"/>
          </w:tcPr>
          <w:p w14:paraId="290EE431">
            <w:pPr>
              <w:pStyle w:val="14"/>
              <w:jc w:val="both"/>
              <w:rPr>
                <w:color w:val="000000" w:themeColor="text1"/>
                <w14:textFill>
                  <w14:solidFill>
                    <w14:schemeClr w14:val="tx1"/>
                  </w14:solidFill>
                </w14:textFill>
              </w:rPr>
            </w:pPr>
          </w:p>
        </w:tc>
        <w:tc>
          <w:tcPr>
            <w:tcW w:w="1374" w:type="dxa"/>
            <w:noWrap w:val="0"/>
            <w:vAlign w:val="top"/>
          </w:tcPr>
          <w:p w14:paraId="3093B14E">
            <w:pPr>
              <w:pStyle w:val="14"/>
              <w:jc w:val="both"/>
              <w:rPr>
                <w:color w:val="000000" w:themeColor="text1"/>
                <w14:textFill>
                  <w14:solidFill>
                    <w14:schemeClr w14:val="tx1"/>
                  </w14:solidFill>
                </w14:textFill>
              </w:rPr>
            </w:pPr>
          </w:p>
        </w:tc>
      </w:tr>
      <w:tr w14:paraId="68A2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1EE75953">
            <w:pPr>
              <w:pStyle w:val="14"/>
              <w:jc w:val="both"/>
              <w:rPr>
                <w:color w:val="000000" w:themeColor="text1"/>
                <w14:textFill>
                  <w14:solidFill>
                    <w14:schemeClr w14:val="tx1"/>
                  </w14:solidFill>
                </w14:textFill>
              </w:rPr>
            </w:pPr>
          </w:p>
        </w:tc>
        <w:tc>
          <w:tcPr>
            <w:tcW w:w="2167" w:type="dxa"/>
            <w:noWrap w:val="0"/>
            <w:vAlign w:val="top"/>
          </w:tcPr>
          <w:p w14:paraId="1F92BBEB">
            <w:pPr>
              <w:pStyle w:val="14"/>
              <w:jc w:val="both"/>
              <w:rPr>
                <w:color w:val="000000" w:themeColor="text1"/>
                <w14:textFill>
                  <w14:solidFill>
                    <w14:schemeClr w14:val="tx1"/>
                  </w14:solidFill>
                </w14:textFill>
              </w:rPr>
            </w:pPr>
          </w:p>
        </w:tc>
        <w:tc>
          <w:tcPr>
            <w:tcW w:w="1383" w:type="dxa"/>
            <w:noWrap w:val="0"/>
            <w:vAlign w:val="top"/>
          </w:tcPr>
          <w:p w14:paraId="049E5142">
            <w:pPr>
              <w:pStyle w:val="14"/>
              <w:jc w:val="both"/>
              <w:rPr>
                <w:color w:val="000000" w:themeColor="text1"/>
                <w14:textFill>
                  <w14:solidFill>
                    <w14:schemeClr w14:val="tx1"/>
                  </w14:solidFill>
                </w14:textFill>
              </w:rPr>
            </w:pPr>
          </w:p>
        </w:tc>
        <w:tc>
          <w:tcPr>
            <w:tcW w:w="1817" w:type="dxa"/>
            <w:noWrap w:val="0"/>
            <w:vAlign w:val="top"/>
          </w:tcPr>
          <w:p w14:paraId="7716240C">
            <w:pPr>
              <w:pStyle w:val="14"/>
              <w:jc w:val="both"/>
              <w:rPr>
                <w:color w:val="000000" w:themeColor="text1"/>
                <w14:textFill>
                  <w14:solidFill>
                    <w14:schemeClr w14:val="tx1"/>
                  </w14:solidFill>
                </w14:textFill>
              </w:rPr>
            </w:pPr>
          </w:p>
        </w:tc>
        <w:tc>
          <w:tcPr>
            <w:tcW w:w="1050" w:type="dxa"/>
            <w:noWrap w:val="0"/>
            <w:vAlign w:val="top"/>
          </w:tcPr>
          <w:p w14:paraId="12C49D07">
            <w:pPr>
              <w:pStyle w:val="14"/>
              <w:jc w:val="both"/>
              <w:rPr>
                <w:color w:val="000000" w:themeColor="text1"/>
                <w14:textFill>
                  <w14:solidFill>
                    <w14:schemeClr w14:val="tx1"/>
                  </w14:solidFill>
                </w14:textFill>
              </w:rPr>
            </w:pPr>
          </w:p>
        </w:tc>
        <w:tc>
          <w:tcPr>
            <w:tcW w:w="982" w:type="dxa"/>
            <w:noWrap w:val="0"/>
            <w:vAlign w:val="top"/>
          </w:tcPr>
          <w:p w14:paraId="235D07B6">
            <w:pPr>
              <w:pStyle w:val="14"/>
              <w:jc w:val="both"/>
              <w:rPr>
                <w:color w:val="000000" w:themeColor="text1"/>
                <w14:textFill>
                  <w14:solidFill>
                    <w14:schemeClr w14:val="tx1"/>
                  </w14:solidFill>
                </w14:textFill>
              </w:rPr>
            </w:pPr>
          </w:p>
        </w:tc>
        <w:tc>
          <w:tcPr>
            <w:tcW w:w="1374" w:type="dxa"/>
            <w:noWrap w:val="0"/>
            <w:vAlign w:val="top"/>
          </w:tcPr>
          <w:p w14:paraId="5A6FC727">
            <w:pPr>
              <w:pStyle w:val="14"/>
              <w:jc w:val="both"/>
              <w:rPr>
                <w:color w:val="000000" w:themeColor="text1"/>
                <w14:textFill>
                  <w14:solidFill>
                    <w14:schemeClr w14:val="tx1"/>
                  </w14:solidFill>
                </w14:textFill>
              </w:rPr>
            </w:pPr>
          </w:p>
        </w:tc>
      </w:tr>
      <w:tr w14:paraId="16B8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7786FF6C">
            <w:pPr>
              <w:pStyle w:val="14"/>
              <w:jc w:val="both"/>
              <w:rPr>
                <w:color w:val="000000" w:themeColor="text1"/>
                <w14:textFill>
                  <w14:solidFill>
                    <w14:schemeClr w14:val="tx1"/>
                  </w14:solidFill>
                </w14:textFill>
              </w:rPr>
            </w:pPr>
          </w:p>
        </w:tc>
        <w:tc>
          <w:tcPr>
            <w:tcW w:w="2167" w:type="dxa"/>
            <w:noWrap w:val="0"/>
            <w:vAlign w:val="top"/>
          </w:tcPr>
          <w:p w14:paraId="4ABE2452">
            <w:pPr>
              <w:pStyle w:val="14"/>
              <w:jc w:val="both"/>
              <w:rPr>
                <w:color w:val="000000" w:themeColor="text1"/>
                <w14:textFill>
                  <w14:solidFill>
                    <w14:schemeClr w14:val="tx1"/>
                  </w14:solidFill>
                </w14:textFill>
              </w:rPr>
            </w:pPr>
          </w:p>
        </w:tc>
        <w:tc>
          <w:tcPr>
            <w:tcW w:w="1383" w:type="dxa"/>
            <w:noWrap w:val="0"/>
            <w:vAlign w:val="top"/>
          </w:tcPr>
          <w:p w14:paraId="3DEFA52B">
            <w:pPr>
              <w:pStyle w:val="14"/>
              <w:jc w:val="both"/>
              <w:rPr>
                <w:color w:val="000000" w:themeColor="text1"/>
                <w14:textFill>
                  <w14:solidFill>
                    <w14:schemeClr w14:val="tx1"/>
                  </w14:solidFill>
                </w14:textFill>
              </w:rPr>
            </w:pPr>
          </w:p>
        </w:tc>
        <w:tc>
          <w:tcPr>
            <w:tcW w:w="1817" w:type="dxa"/>
            <w:noWrap w:val="0"/>
            <w:vAlign w:val="top"/>
          </w:tcPr>
          <w:p w14:paraId="61BF01F3">
            <w:pPr>
              <w:pStyle w:val="14"/>
              <w:jc w:val="both"/>
              <w:rPr>
                <w:color w:val="000000" w:themeColor="text1"/>
                <w14:textFill>
                  <w14:solidFill>
                    <w14:schemeClr w14:val="tx1"/>
                  </w14:solidFill>
                </w14:textFill>
              </w:rPr>
            </w:pPr>
          </w:p>
        </w:tc>
        <w:tc>
          <w:tcPr>
            <w:tcW w:w="1050" w:type="dxa"/>
            <w:noWrap w:val="0"/>
            <w:vAlign w:val="top"/>
          </w:tcPr>
          <w:p w14:paraId="1D690353">
            <w:pPr>
              <w:pStyle w:val="14"/>
              <w:jc w:val="both"/>
              <w:rPr>
                <w:color w:val="000000" w:themeColor="text1"/>
                <w14:textFill>
                  <w14:solidFill>
                    <w14:schemeClr w14:val="tx1"/>
                  </w14:solidFill>
                </w14:textFill>
              </w:rPr>
            </w:pPr>
          </w:p>
        </w:tc>
        <w:tc>
          <w:tcPr>
            <w:tcW w:w="982" w:type="dxa"/>
            <w:noWrap w:val="0"/>
            <w:vAlign w:val="top"/>
          </w:tcPr>
          <w:p w14:paraId="0F77941A">
            <w:pPr>
              <w:pStyle w:val="14"/>
              <w:jc w:val="both"/>
              <w:rPr>
                <w:color w:val="000000" w:themeColor="text1"/>
                <w14:textFill>
                  <w14:solidFill>
                    <w14:schemeClr w14:val="tx1"/>
                  </w14:solidFill>
                </w14:textFill>
              </w:rPr>
            </w:pPr>
          </w:p>
        </w:tc>
        <w:tc>
          <w:tcPr>
            <w:tcW w:w="1374" w:type="dxa"/>
            <w:noWrap w:val="0"/>
            <w:vAlign w:val="top"/>
          </w:tcPr>
          <w:p w14:paraId="31DE2FDA">
            <w:pPr>
              <w:pStyle w:val="14"/>
              <w:jc w:val="both"/>
              <w:rPr>
                <w:color w:val="000000" w:themeColor="text1"/>
                <w14:textFill>
                  <w14:solidFill>
                    <w14:schemeClr w14:val="tx1"/>
                  </w14:solidFill>
                </w14:textFill>
              </w:rPr>
            </w:pPr>
          </w:p>
        </w:tc>
      </w:tr>
      <w:tr w14:paraId="0D26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41" w:type="dxa"/>
            <w:noWrap w:val="0"/>
            <w:vAlign w:val="top"/>
          </w:tcPr>
          <w:p w14:paraId="778D7407">
            <w:pPr>
              <w:pStyle w:val="14"/>
              <w:jc w:val="both"/>
              <w:rPr>
                <w:color w:val="000000" w:themeColor="text1"/>
                <w14:textFill>
                  <w14:solidFill>
                    <w14:schemeClr w14:val="tx1"/>
                  </w14:solidFill>
                </w14:textFill>
              </w:rPr>
            </w:pPr>
          </w:p>
        </w:tc>
        <w:tc>
          <w:tcPr>
            <w:tcW w:w="2167" w:type="dxa"/>
            <w:noWrap w:val="0"/>
            <w:vAlign w:val="top"/>
          </w:tcPr>
          <w:p w14:paraId="4A25C647">
            <w:pPr>
              <w:pStyle w:val="14"/>
              <w:jc w:val="both"/>
              <w:rPr>
                <w:color w:val="000000" w:themeColor="text1"/>
                <w14:textFill>
                  <w14:solidFill>
                    <w14:schemeClr w14:val="tx1"/>
                  </w14:solidFill>
                </w14:textFill>
              </w:rPr>
            </w:pPr>
          </w:p>
        </w:tc>
        <w:tc>
          <w:tcPr>
            <w:tcW w:w="1383" w:type="dxa"/>
            <w:noWrap w:val="0"/>
            <w:vAlign w:val="top"/>
          </w:tcPr>
          <w:p w14:paraId="6F3862A9">
            <w:pPr>
              <w:pStyle w:val="14"/>
              <w:jc w:val="both"/>
              <w:rPr>
                <w:color w:val="000000" w:themeColor="text1"/>
                <w14:textFill>
                  <w14:solidFill>
                    <w14:schemeClr w14:val="tx1"/>
                  </w14:solidFill>
                </w14:textFill>
              </w:rPr>
            </w:pPr>
          </w:p>
        </w:tc>
        <w:tc>
          <w:tcPr>
            <w:tcW w:w="1817" w:type="dxa"/>
            <w:noWrap w:val="0"/>
            <w:vAlign w:val="top"/>
          </w:tcPr>
          <w:p w14:paraId="74EAF121">
            <w:pPr>
              <w:pStyle w:val="14"/>
              <w:jc w:val="both"/>
              <w:rPr>
                <w:color w:val="000000" w:themeColor="text1"/>
                <w14:textFill>
                  <w14:solidFill>
                    <w14:schemeClr w14:val="tx1"/>
                  </w14:solidFill>
                </w14:textFill>
              </w:rPr>
            </w:pPr>
          </w:p>
        </w:tc>
        <w:tc>
          <w:tcPr>
            <w:tcW w:w="1050" w:type="dxa"/>
            <w:noWrap w:val="0"/>
            <w:vAlign w:val="top"/>
          </w:tcPr>
          <w:p w14:paraId="2B82CF06">
            <w:pPr>
              <w:pStyle w:val="14"/>
              <w:jc w:val="both"/>
              <w:rPr>
                <w:color w:val="000000" w:themeColor="text1"/>
                <w14:textFill>
                  <w14:solidFill>
                    <w14:schemeClr w14:val="tx1"/>
                  </w14:solidFill>
                </w14:textFill>
              </w:rPr>
            </w:pPr>
          </w:p>
        </w:tc>
        <w:tc>
          <w:tcPr>
            <w:tcW w:w="982" w:type="dxa"/>
            <w:noWrap w:val="0"/>
            <w:vAlign w:val="top"/>
          </w:tcPr>
          <w:p w14:paraId="40CD9D46">
            <w:pPr>
              <w:pStyle w:val="14"/>
              <w:jc w:val="both"/>
              <w:rPr>
                <w:color w:val="000000" w:themeColor="text1"/>
                <w14:textFill>
                  <w14:solidFill>
                    <w14:schemeClr w14:val="tx1"/>
                  </w14:solidFill>
                </w14:textFill>
              </w:rPr>
            </w:pPr>
          </w:p>
        </w:tc>
        <w:tc>
          <w:tcPr>
            <w:tcW w:w="1374" w:type="dxa"/>
            <w:noWrap w:val="0"/>
            <w:vAlign w:val="top"/>
          </w:tcPr>
          <w:p w14:paraId="27E82BD4">
            <w:pPr>
              <w:pStyle w:val="14"/>
              <w:jc w:val="both"/>
              <w:rPr>
                <w:color w:val="000000" w:themeColor="text1"/>
                <w14:textFill>
                  <w14:solidFill>
                    <w14:schemeClr w14:val="tx1"/>
                  </w14:solidFill>
                </w14:textFill>
              </w:rPr>
            </w:pPr>
          </w:p>
        </w:tc>
      </w:tr>
      <w:tr w14:paraId="54FF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258E6705">
            <w:pPr>
              <w:pStyle w:val="14"/>
              <w:jc w:val="both"/>
              <w:rPr>
                <w:color w:val="000000" w:themeColor="text1"/>
                <w14:textFill>
                  <w14:solidFill>
                    <w14:schemeClr w14:val="tx1"/>
                  </w14:solidFill>
                </w14:textFill>
              </w:rPr>
            </w:pPr>
          </w:p>
        </w:tc>
        <w:tc>
          <w:tcPr>
            <w:tcW w:w="2167" w:type="dxa"/>
            <w:noWrap w:val="0"/>
            <w:vAlign w:val="top"/>
          </w:tcPr>
          <w:p w14:paraId="41AF2484">
            <w:pPr>
              <w:pStyle w:val="14"/>
              <w:jc w:val="both"/>
              <w:rPr>
                <w:color w:val="000000" w:themeColor="text1"/>
                <w14:textFill>
                  <w14:solidFill>
                    <w14:schemeClr w14:val="tx1"/>
                  </w14:solidFill>
                </w14:textFill>
              </w:rPr>
            </w:pPr>
          </w:p>
        </w:tc>
        <w:tc>
          <w:tcPr>
            <w:tcW w:w="1383" w:type="dxa"/>
            <w:noWrap w:val="0"/>
            <w:vAlign w:val="top"/>
          </w:tcPr>
          <w:p w14:paraId="2E1F8973">
            <w:pPr>
              <w:pStyle w:val="14"/>
              <w:jc w:val="both"/>
              <w:rPr>
                <w:color w:val="000000" w:themeColor="text1"/>
                <w14:textFill>
                  <w14:solidFill>
                    <w14:schemeClr w14:val="tx1"/>
                  </w14:solidFill>
                </w14:textFill>
              </w:rPr>
            </w:pPr>
          </w:p>
        </w:tc>
        <w:tc>
          <w:tcPr>
            <w:tcW w:w="1817" w:type="dxa"/>
            <w:noWrap w:val="0"/>
            <w:vAlign w:val="top"/>
          </w:tcPr>
          <w:p w14:paraId="2DCBE9A9">
            <w:pPr>
              <w:pStyle w:val="14"/>
              <w:jc w:val="both"/>
              <w:rPr>
                <w:color w:val="000000" w:themeColor="text1"/>
                <w14:textFill>
                  <w14:solidFill>
                    <w14:schemeClr w14:val="tx1"/>
                  </w14:solidFill>
                </w14:textFill>
              </w:rPr>
            </w:pPr>
          </w:p>
        </w:tc>
        <w:tc>
          <w:tcPr>
            <w:tcW w:w="1050" w:type="dxa"/>
            <w:noWrap w:val="0"/>
            <w:vAlign w:val="top"/>
          </w:tcPr>
          <w:p w14:paraId="145081FD">
            <w:pPr>
              <w:pStyle w:val="14"/>
              <w:jc w:val="both"/>
              <w:rPr>
                <w:color w:val="000000" w:themeColor="text1"/>
                <w14:textFill>
                  <w14:solidFill>
                    <w14:schemeClr w14:val="tx1"/>
                  </w14:solidFill>
                </w14:textFill>
              </w:rPr>
            </w:pPr>
          </w:p>
        </w:tc>
        <w:tc>
          <w:tcPr>
            <w:tcW w:w="982" w:type="dxa"/>
            <w:noWrap w:val="0"/>
            <w:vAlign w:val="top"/>
          </w:tcPr>
          <w:p w14:paraId="0B0737DA">
            <w:pPr>
              <w:pStyle w:val="14"/>
              <w:jc w:val="both"/>
              <w:rPr>
                <w:color w:val="000000" w:themeColor="text1"/>
                <w14:textFill>
                  <w14:solidFill>
                    <w14:schemeClr w14:val="tx1"/>
                  </w14:solidFill>
                </w14:textFill>
              </w:rPr>
            </w:pPr>
          </w:p>
        </w:tc>
        <w:tc>
          <w:tcPr>
            <w:tcW w:w="1374" w:type="dxa"/>
            <w:noWrap w:val="0"/>
            <w:vAlign w:val="top"/>
          </w:tcPr>
          <w:p w14:paraId="63B8701B">
            <w:pPr>
              <w:pStyle w:val="14"/>
              <w:jc w:val="both"/>
              <w:rPr>
                <w:color w:val="000000" w:themeColor="text1"/>
                <w14:textFill>
                  <w14:solidFill>
                    <w14:schemeClr w14:val="tx1"/>
                  </w14:solidFill>
                </w14:textFill>
              </w:rPr>
            </w:pPr>
          </w:p>
        </w:tc>
      </w:tr>
      <w:tr w14:paraId="23A5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4B02CC47">
            <w:pPr>
              <w:pStyle w:val="14"/>
              <w:jc w:val="both"/>
              <w:rPr>
                <w:color w:val="000000" w:themeColor="text1"/>
                <w14:textFill>
                  <w14:solidFill>
                    <w14:schemeClr w14:val="tx1"/>
                  </w14:solidFill>
                </w14:textFill>
              </w:rPr>
            </w:pPr>
          </w:p>
        </w:tc>
        <w:tc>
          <w:tcPr>
            <w:tcW w:w="2167" w:type="dxa"/>
            <w:noWrap w:val="0"/>
            <w:vAlign w:val="top"/>
          </w:tcPr>
          <w:p w14:paraId="4C310667">
            <w:pPr>
              <w:pStyle w:val="14"/>
              <w:jc w:val="both"/>
              <w:rPr>
                <w:color w:val="000000" w:themeColor="text1"/>
                <w14:textFill>
                  <w14:solidFill>
                    <w14:schemeClr w14:val="tx1"/>
                  </w14:solidFill>
                </w14:textFill>
              </w:rPr>
            </w:pPr>
          </w:p>
        </w:tc>
        <w:tc>
          <w:tcPr>
            <w:tcW w:w="1383" w:type="dxa"/>
            <w:noWrap w:val="0"/>
            <w:vAlign w:val="top"/>
          </w:tcPr>
          <w:p w14:paraId="3FAC62E5">
            <w:pPr>
              <w:pStyle w:val="14"/>
              <w:jc w:val="both"/>
              <w:rPr>
                <w:color w:val="000000" w:themeColor="text1"/>
                <w14:textFill>
                  <w14:solidFill>
                    <w14:schemeClr w14:val="tx1"/>
                  </w14:solidFill>
                </w14:textFill>
              </w:rPr>
            </w:pPr>
          </w:p>
        </w:tc>
        <w:tc>
          <w:tcPr>
            <w:tcW w:w="1817" w:type="dxa"/>
            <w:noWrap w:val="0"/>
            <w:vAlign w:val="top"/>
          </w:tcPr>
          <w:p w14:paraId="30AC05EA">
            <w:pPr>
              <w:pStyle w:val="14"/>
              <w:jc w:val="both"/>
              <w:rPr>
                <w:color w:val="000000" w:themeColor="text1"/>
                <w14:textFill>
                  <w14:solidFill>
                    <w14:schemeClr w14:val="tx1"/>
                  </w14:solidFill>
                </w14:textFill>
              </w:rPr>
            </w:pPr>
          </w:p>
        </w:tc>
        <w:tc>
          <w:tcPr>
            <w:tcW w:w="1050" w:type="dxa"/>
            <w:noWrap w:val="0"/>
            <w:vAlign w:val="top"/>
          </w:tcPr>
          <w:p w14:paraId="7183F56A">
            <w:pPr>
              <w:pStyle w:val="14"/>
              <w:jc w:val="both"/>
              <w:rPr>
                <w:color w:val="000000" w:themeColor="text1"/>
                <w14:textFill>
                  <w14:solidFill>
                    <w14:schemeClr w14:val="tx1"/>
                  </w14:solidFill>
                </w14:textFill>
              </w:rPr>
            </w:pPr>
          </w:p>
        </w:tc>
        <w:tc>
          <w:tcPr>
            <w:tcW w:w="982" w:type="dxa"/>
            <w:noWrap w:val="0"/>
            <w:vAlign w:val="top"/>
          </w:tcPr>
          <w:p w14:paraId="27AC9630">
            <w:pPr>
              <w:pStyle w:val="14"/>
              <w:jc w:val="both"/>
              <w:rPr>
                <w:color w:val="000000" w:themeColor="text1"/>
                <w14:textFill>
                  <w14:solidFill>
                    <w14:schemeClr w14:val="tx1"/>
                  </w14:solidFill>
                </w14:textFill>
              </w:rPr>
            </w:pPr>
          </w:p>
        </w:tc>
        <w:tc>
          <w:tcPr>
            <w:tcW w:w="1374" w:type="dxa"/>
            <w:noWrap w:val="0"/>
            <w:vAlign w:val="top"/>
          </w:tcPr>
          <w:p w14:paraId="78A95252">
            <w:pPr>
              <w:pStyle w:val="14"/>
              <w:jc w:val="both"/>
              <w:rPr>
                <w:color w:val="000000" w:themeColor="text1"/>
                <w14:textFill>
                  <w14:solidFill>
                    <w14:schemeClr w14:val="tx1"/>
                  </w14:solidFill>
                </w14:textFill>
              </w:rPr>
            </w:pPr>
          </w:p>
        </w:tc>
      </w:tr>
      <w:tr w14:paraId="00D5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7369BB89">
            <w:pPr>
              <w:pStyle w:val="14"/>
              <w:jc w:val="both"/>
              <w:rPr>
                <w:color w:val="000000" w:themeColor="text1"/>
                <w14:textFill>
                  <w14:solidFill>
                    <w14:schemeClr w14:val="tx1"/>
                  </w14:solidFill>
                </w14:textFill>
              </w:rPr>
            </w:pPr>
          </w:p>
        </w:tc>
        <w:tc>
          <w:tcPr>
            <w:tcW w:w="2167" w:type="dxa"/>
            <w:noWrap w:val="0"/>
            <w:vAlign w:val="top"/>
          </w:tcPr>
          <w:p w14:paraId="4A4ED0FC">
            <w:pPr>
              <w:pStyle w:val="14"/>
              <w:jc w:val="both"/>
              <w:rPr>
                <w:color w:val="000000" w:themeColor="text1"/>
                <w14:textFill>
                  <w14:solidFill>
                    <w14:schemeClr w14:val="tx1"/>
                  </w14:solidFill>
                </w14:textFill>
              </w:rPr>
            </w:pPr>
          </w:p>
        </w:tc>
        <w:tc>
          <w:tcPr>
            <w:tcW w:w="1383" w:type="dxa"/>
            <w:noWrap w:val="0"/>
            <w:vAlign w:val="top"/>
          </w:tcPr>
          <w:p w14:paraId="6227262A">
            <w:pPr>
              <w:pStyle w:val="14"/>
              <w:jc w:val="both"/>
              <w:rPr>
                <w:color w:val="000000" w:themeColor="text1"/>
                <w14:textFill>
                  <w14:solidFill>
                    <w14:schemeClr w14:val="tx1"/>
                  </w14:solidFill>
                </w14:textFill>
              </w:rPr>
            </w:pPr>
          </w:p>
        </w:tc>
        <w:tc>
          <w:tcPr>
            <w:tcW w:w="1817" w:type="dxa"/>
            <w:noWrap w:val="0"/>
            <w:vAlign w:val="top"/>
          </w:tcPr>
          <w:p w14:paraId="3B405E25">
            <w:pPr>
              <w:pStyle w:val="14"/>
              <w:jc w:val="both"/>
              <w:rPr>
                <w:color w:val="000000" w:themeColor="text1"/>
                <w14:textFill>
                  <w14:solidFill>
                    <w14:schemeClr w14:val="tx1"/>
                  </w14:solidFill>
                </w14:textFill>
              </w:rPr>
            </w:pPr>
          </w:p>
        </w:tc>
        <w:tc>
          <w:tcPr>
            <w:tcW w:w="1050" w:type="dxa"/>
            <w:noWrap w:val="0"/>
            <w:vAlign w:val="top"/>
          </w:tcPr>
          <w:p w14:paraId="0C88AC61">
            <w:pPr>
              <w:pStyle w:val="14"/>
              <w:jc w:val="both"/>
              <w:rPr>
                <w:color w:val="000000" w:themeColor="text1"/>
                <w14:textFill>
                  <w14:solidFill>
                    <w14:schemeClr w14:val="tx1"/>
                  </w14:solidFill>
                </w14:textFill>
              </w:rPr>
            </w:pPr>
          </w:p>
        </w:tc>
        <w:tc>
          <w:tcPr>
            <w:tcW w:w="982" w:type="dxa"/>
            <w:noWrap w:val="0"/>
            <w:vAlign w:val="top"/>
          </w:tcPr>
          <w:p w14:paraId="11A4982B">
            <w:pPr>
              <w:pStyle w:val="14"/>
              <w:jc w:val="both"/>
              <w:rPr>
                <w:color w:val="000000" w:themeColor="text1"/>
                <w14:textFill>
                  <w14:solidFill>
                    <w14:schemeClr w14:val="tx1"/>
                  </w14:solidFill>
                </w14:textFill>
              </w:rPr>
            </w:pPr>
          </w:p>
        </w:tc>
        <w:tc>
          <w:tcPr>
            <w:tcW w:w="1374" w:type="dxa"/>
            <w:noWrap w:val="0"/>
            <w:vAlign w:val="top"/>
          </w:tcPr>
          <w:p w14:paraId="3F7EF955">
            <w:pPr>
              <w:pStyle w:val="14"/>
              <w:jc w:val="both"/>
              <w:rPr>
                <w:color w:val="000000" w:themeColor="text1"/>
                <w14:textFill>
                  <w14:solidFill>
                    <w14:schemeClr w14:val="tx1"/>
                  </w14:solidFill>
                </w14:textFill>
              </w:rPr>
            </w:pPr>
          </w:p>
        </w:tc>
      </w:tr>
      <w:tr w14:paraId="37A8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41" w:type="dxa"/>
            <w:noWrap w:val="0"/>
            <w:vAlign w:val="top"/>
          </w:tcPr>
          <w:p w14:paraId="1255BBC9">
            <w:pPr>
              <w:pStyle w:val="14"/>
              <w:jc w:val="both"/>
              <w:rPr>
                <w:color w:val="000000" w:themeColor="text1"/>
                <w14:textFill>
                  <w14:solidFill>
                    <w14:schemeClr w14:val="tx1"/>
                  </w14:solidFill>
                </w14:textFill>
              </w:rPr>
            </w:pPr>
          </w:p>
        </w:tc>
        <w:tc>
          <w:tcPr>
            <w:tcW w:w="2167" w:type="dxa"/>
            <w:noWrap w:val="0"/>
            <w:vAlign w:val="top"/>
          </w:tcPr>
          <w:p w14:paraId="1E6DEDBC">
            <w:pPr>
              <w:pStyle w:val="14"/>
              <w:jc w:val="both"/>
              <w:rPr>
                <w:color w:val="000000" w:themeColor="text1"/>
                <w14:textFill>
                  <w14:solidFill>
                    <w14:schemeClr w14:val="tx1"/>
                  </w14:solidFill>
                </w14:textFill>
              </w:rPr>
            </w:pPr>
          </w:p>
        </w:tc>
        <w:tc>
          <w:tcPr>
            <w:tcW w:w="1383" w:type="dxa"/>
            <w:noWrap w:val="0"/>
            <w:vAlign w:val="top"/>
          </w:tcPr>
          <w:p w14:paraId="423E6AFE">
            <w:pPr>
              <w:pStyle w:val="14"/>
              <w:jc w:val="both"/>
              <w:rPr>
                <w:color w:val="000000" w:themeColor="text1"/>
                <w14:textFill>
                  <w14:solidFill>
                    <w14:schemeClr w14:val="tx1"/>
                  </w14:solidFill>
                </w14:textFill>
              </w:rPr>
            </w:pPr>
          </w:p>
        </w:tc>
        <w:tc>
          <w:tcPr>
            <w:tcW w:w="1817" w:type="dxa"/>
            <w:noWrap w:val="0"/>
            <w:vAlign w:val="top"/>
          </w:tcPr>
          <w:p w14:paraId="0866A943">
            <w:pPr>
              <w:pStyle w:val="14"/>
              <w:jc w:val="both"/>
              <w:rPr>
                <w:color w:val="000000" w:themeColor="text1"/>
                <w14:textFill>
                  <w14:solidFill>
                    <w14:schemeClr w14:val="tx1"/>
                  </w14:solidFill>
                </w14:textFill>
              </w:rPr>
            </w:pPr>
          </w:p>
        </w:tc>
        <w:tc>
          <w:tcPr>
            <w:tcW w:w="1050" w:type="dxa"/>
            <w:noWrap w:val="0"/>
            <w:vAlign w:val="top"/>
          </w:tcPr>
          <w:p w14:paraId="4BB2EA85">
            <w:pPr>
              <w:pStyle w:val="14"/>
              <w:jc w:val="both"/>
              <w:rPr>
                <w:color w:val="000000" w:themeColor="text1"/>
                <w14:textFill>
                  <w14:solidFill>
                    <w14:schemeClr w14:val="tx1"/>
                  </w14:solidFill>
                </w14:textFill>
              </w:rPr>
            </w:pPr>
          </w:p>
        </w:tc>
        <w:tc>
          <w:tcPr>
            <w:tcW w:w="982" w:type="dxa"/>
            <w:noWrap w:val="0"/>
            <w:vAlign w:val="top"/>
          </w:tcPr>
          <w:p w14:paraId="6AE72BE0">
            <w:pPr>
              <w:pStyle w:val="14"/>
              <w:jc w:val="both"/>
              <w:rPr>
                <w:color w:val="000000" w:themeColor="text1"/>
                <w14:textFill>
                  <w14:solidFill>
                    <w14:schemeClr w14:val="tx1"/>
                  </w14:solidFill>
                </w14:textFill>
              </w:rPr>
            </w:pPr>
          </w:p>
        </w:tc>
        <w:tc>
          <w:tcPr>
            <w:tcW w:w="1374" w:type="dxa"/>
            <w:noWrap w:val="0"/>
            <w:vAlign w:val="top"/>
          </w:tcPr>
          <w:p w14:paraId="0C60F6C2">
            <w:pPr>
              <w:pStyle w:val="14"/>
              <w:jc w:val="both"/>
              <w:rPr>
                <w:color w:val="000000" w:themeColor="text1"/>
                <w14:textFill>
                  <w14:solidFill>
                    <w14:schemeClr w14:val="tx1"/>
                  </w14:solidFill>
                </w14:textFill>
              </w:rPr>
            </w:pPr>
          </w:p>
        </w:tc>
      </w:tr>
    </w:tbl>
    <w:p w14:paraId="5D5AD91F">
      <w:pPr>
        <w:snapToGrid w:val="0"/>
        <w:spacing w:line="4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（三）其他技术（质量）资料</w:t>
      </w:r>
    </w:p>
    <w:p w14:paraId="26468BA2">
      <w:pPr>
        <w:pStyle w:val="5"/>
        <w:jc w:val="both"/>
        <w:rPr>
          <w:rFonts w:hint="eastAsia"/>
          <w:color w:val="000000" w:themeColor="text1"/>
          <w14:textFill>
            <w14:solidFill>
              <w14:schemeClr w14:val="tx1"/>
            </w14:solidFill>
          </w14:textFill>
        </w:rPr>
      </w:pPr>
    </w:p>
    <w:p w14:paraId="358FE5D9">
      <w:pPr>
        <w:tabs>
          <w:tab w:val="left" w:pos="6300"/>
        </w:tabs>
        <w:snapToGrid w:val="0"/>
        <w:spacing w:line="500" w:lineRule="exact"/>
        <w:jc w:val="both"/>
        <w:rPr>
          <w:rFonts w:hint="eastAsia" w:ascii="宋体" w:hAnsi="宋体" w:cs="宋体"/>
          <w:color w:val="000000" w:themeColor="text1"/>
          <w:szCs w:val="24"/>
          <w14:textFill>
            <w14:solidFill>
              <w14:schemeClr w14:val="tx1"/>
            </w14:solidFill>
          </w14:textFill>
        </w:rPr>
      </w:pPr>
    </w:p>
    <w:p w14:paraId="2C2ADB63">
      <w:pPr>
        <w:pageBreakBefore/>
        <w:spacing w:line="500" w:lineRule="exact"/>
        <w:ind w:firstLine="562" w:firstLineChars="200"/>
        <w:jc w:val="both"/>
        <w:outlineLvl w:val="1"/>
        <w:rPr>
          <w:rFonts w:hint="eastAsia" w:cs="宋体"/>
          <w:b/>
          <w:color w:val="000000" w:themeColor="text1"/>
          <w:szCs w:val="28"/>
          <w14:textFill>
            <w14:solidFill>
              <w14:schemeClr w14:val="tx1"/>
            </w14:solidFill>
          </w14:textFill>
        </w:rPr>
      </w:pPr>
      <w:bookmarkStart w:id="203" w:name="_Toc11378"/>
      <w:bookmarkStart w:id="204" w:name="_Toc9959"/>
      <w:r>
        <w:rPr>
          <w:rFonts w:hint="eastAsia" w:cs="宋体"/>
          <w:b/>
          <w:color w:val="000000" w:themeColor="text1"/>
          <w:szCs w:val="28"/>
          <w14:textFill>
            <w14:solidFill>
              <w14:schemeClr w14:val="tx1"/>
            </w14:solidFill>
          </w14:textFill>
        </w:rPr>
        <w:t>三、商务文件</w:t>
      </w:r>
      <w:bookmarkEnd w:id="195"/>
      <w:bookmarkEnd w:id="196"/>
      <w:bookmarkEnd w:id="197"/>
      <w:bookmarkEnd w:id="198"/>
      <w:bookmarkEnd w:id="199"/>
      <w:bookmarkEnd w:id="200"/>
      <w:bookmarkEnd w:id="201"/>
      <w:bookmarkEnd w:id="202"/>
      <w:bookmarkEnd w:id="203"/>
      <w:bookmarkEnd w:id="204"/>
    </w:p>
    <w:p w14:paraId="1D47600D">
      <w:pPr>
        <w:snapToGrid w:val="0"/>
        <w:spacing w:before="120" w:beforeLines="50" w:line="500" w:lineRule="exact"/>
        <w:jc w:val="both"/>
        <w:rPr>
          <w:rFonts w:hint="eastAsia"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（一）竞选函（格式）</w:t>
      </w:r>
    </w:p>
    <w:p w14:paraId="1F21F014">
      <w:pPr>
        <w:spacing w:line="500" w:lineRule="exact"/>
        <w:jc w:val="both"/>
        <w:rPr>
          <w:rFonts w:hint="eastAsia" w:ascii="宋体" w:hAnsi="宋体" w:cs="宋体"/>
          <w:color w:val="000000" w:themeColor="text1"/>
          <w:sz w:val="24"/>
          <w:szCs w:val="28"/>
          <w14:textFill>
            <w14:solidFill>
              <w14:schemeClr w14:val="tx1"/>
            </w14:solidFill>
          </w14:textFill>
        </w:rPr>
      </w:pPr>
    </w:p>
    <w:p w14:paraId="3ACEF669">
      <w:pPr>
        <w:spacing w:line="500" w:lineRule="exact"/>
        <w:ind w:firstLine="480" w:firstLineChars="200"/>
        <w:jc w:val="both"/>
        <w:rPr>
          <w:rFonts w:hint="eastAsia" w:ascii="宋体" w:hAnsi="宋体" w:cs="宋体"/>
          <w:color w:val="000000" w:themeColor="text1"/>
          <w:sz w:val="24"/>
          <w:szCs w:val="28"/>
          <w:u w:val="single"/>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采购项目名称：</w:t>
      </w:r>
      <w:r>
        <w:rPr>
          <w:rFonts w:hint="eastAsia" w:ascii="宋体" w:hAnsi="宋体" w:cs="宋体"/>
          <w:color w:val="000000" w:themeColor="text1"/>
          <w:sz w:val="24"/>
          <w:szCs w:val="28"/>
          <w:u w:val="single"/>
          <w14:textFill>
            <w14:solidFill>
              <w14:schemeClr w14:val="tx1"/>
            </w14:solidFill>
          </w14:textFill>
        </w:rPr>
        <w:t xml:space="preserve">                                             </w:t>
      </w:r>
    </w:p>
    <w:p w14:paraId="7AA68A5F">
      <w:pPr>
        <w:spacing w:line="500" w:lineRule="exact"/>
        <w:jc w:val="both"/>
        <w:rPr>
          <w:rFonts w:hint="eastAsia" w:ascii="宋体" w:hAnsi="宋体" w:cs="宋体"/>
          <w:color w:val="000000" w:themeColor="text1"/>
          <w:sz w:val="24"/>
          <w:szCs w:val="28"/>
          <w14:textFill>
            <w14:solidFill>
              <w14:schemeClr w14:val="tx1"/>
            </w14:solidFill>
          </w14:textFill>
        </w:rPr>
      </w:pPr>
    </w:p>
    <w:p w14:paraId="3194B46B">
      <w:pPr>
        <w:tabs>
          <w:tab w:val="left" w:pos="6300"/>
        </w:tabs>
        <w:snapToGrid w:val="0"/>
        <w:spacing w:line="500" w:lineRule="exact"/>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致：</w:t>
      </w:r>
      <w:r>
        <w:rPr>
          <w:rFonts w:hint="eastAsia" w:ascii="宋体" w:hAnsi="宋体" w:cs="宋体"/>
          <w:color w:val="000000" w:themeColor="text1"/>
          <w:sz w:val="24"/>
          <w:szCs w:val="28"/>
          <w:u w:val="single"/>
          <w14:textFill>
            <w14:solidFill>
              <w14:schemeClr w14:val="tx1"/>
            </w14:solidFill>
          </w14:textFill>
        </w:rPr>
        <w:t xml:space="preserve">                    </w:t>
      </w:r>
      <w:r>
        <w:rPr>
          <w:rFonts w:hint="eastAsia" w:ascii="宋体" w:hAnsi="宋体" w:cs="宋体"/>
          <w:color w:val="000000" w:themeColor="text1"/>
          <w:sz w:val="24"/>
          <w:szCs w:val="28"/>
          <w14:textFill>
            <w14:solidFill>
              <w14:schemeClr w14:val="tx1"/>
            </w14:solidFill>
          </w14:textFill>
        </w:rPr>
        <w:t>：</w:t>
      </w:r>
    </w:p>
    <w:p w14:paraId="6A075189">
      <w:pPr>
        <w:snapToGrid w:val="0"/>
        <w:spacing w:before="120" w:beforeLines="50"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u w:val="single"/>
          <w14:textFill>
            <w14:solidFill>
              <w14:schemeClr w14:val="tx1"/>
            </w14:solidFill>
          </w14:textFill>
        </w:rPr>
        <w:t xml:space="preserve">                        </w:t>
      </w:r>
      <w:r>
        <w:rPr>
          <w:rFonts w:hint="eastAsia" w:ascii="宋体" w:hAnsi="宋体" w:cs="宋体"/>
          <w:color w:val="000000" w:themeColor="text1"/>
          <w:sz w:val="24"/>
          <w:szCs w:val="28"/>
          <w14:textFill>
            <w14:solidFill>
              <w14:schemeClr w14:val="tx1"/>
            </w14:solidFill>
          </w14:textFill>
        </w:rPr>
        <w:t>（竞选人名称）系中华人民共和国合法企业，注册地址：</w:t>
      </w:r>
      <w:r>
        <w:rPr>
          <w:rFonts w:hint="eastAsia" w:ascii="宋体" w:hAnsi="宋体" w:cs="宋体"/>
          <w:color w:val="000000" w:themeColor="text1"/>
          <w:sz w:val="24"/>
          <w:szCs w:val="28"/>
          <w:u w:val="single"/>
          <w14:textFill>
            <w14:solidFill>
              <w14:schemeClr w14:val="tx1"/>
            </w14:solidFill>
          </w14:textFill>
        </w:rPr>
        <w:t xml:space="preserve">                               </w:t>
      </w:r>
      <w:r>
        <w:rPr>
          <w:rFonts w:hint="eastAsia" w:ascii="宋体" w:hAnsi="宋体" w:cs="宋体"/>
          <w:color w:val="000000" w:themeColor="text1"/>
          <w:sz w:val="24"/>
          <w:szCs w:val="28"/>
          <w14:textFill>
            <w14:solidFill>
              <w14:schemeClr w14:val="tx1"/>
            </w14:solidFill>
          </w14:textFill>
        </w:rPr>
        <w:t>。我方就参加本次采购有关事项郑重声明如下：</w:t>
      </w:r>
    </w:p>
    <w:p w14:paraId="0DAF152E">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一、我方完全理解并接受该项目采购文件所有要求。</w:t>
      </w:r>
    </w:p>
    <w:p w14:paraId="2487CE43">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二、我方提交的所有竞选文件、资料都是准确和真实的，如有虚假或隐瞒，我方愿意承担一切法律责任。</w:t>
      </w:r>
    </w:p>
    <w:p w14:paraId="1B64C523">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三、我方承诺按照采购文件要求，提供采购项目的技术（质量）服务。</w:t>
      </w:r>
    </w:p>
    <w:p w14:paraId="5905D5D8">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四、我方按采购文件要求提交的竞选文件为：竞选文件正本1份，副本</w:t>
      </w: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cs="宋体"/>
          <w:color w:val="000000" w:themeColor="text1"/>
          <w:sz w:val="24"/>
          <w:szCs w:val="28"/>
          <w14:textFill>
            <w14:solidFill>
              <w14:schemeClr w14:val="tx1"/>
            </w14:solidFill>
          </w14:textFill>
        </w:rPr>
        <w:t>份。</w:t>
      </w:r>
    </w:p>
    <w:p w14:paraId="4D7E3C09">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五、我方竞选报价为闭口价。即在竞选有效期和合同有效期内，该报价固定不变。</w:t>
      </w:r>
    </w:p>
    <w:p w14:paraId="56C9FF04">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六、如果我方中选，我方将履行采购文件中规定的各项要求以及我方竞选文件的各项承诺，按《中华人民共和国政府采购法》、《中华人民共和国民法典》及合同约定条款承担我方责任。</w:t>
      </w:r>
    </w:p>
    <w:p w14:paraId="2FE7C270">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七、我方未</w:t>
      </w:r>
      <w:r>
        <w:rPr>
          <w:rFonts w:hint="eastAsia" w:ascii="宋体" w:hAnsi="宋体" w:cs="宋体"/>
          <w:color w:val="000000" w:themeColor="text1"/>
          <w:sz w:val="24"/>
          <w:szCs w:val="24"/>
          <w14:textFill>
            <w14:solidFill>
              <w14:schemeClr w14:val="tx1"/>
            </w14:solidFill>
          </w14:textFill>
        </w:rPr>
        <w:t>为采购项目提供整体设计、规范编制或者项目管理、监理、检测等服务。</w:t>
      </w:r>
    </w:p>
    <w:p w14:paraId="24249379">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八、我方理解，最低报价不是中选的唯一条件。</w:t>
      </w:r>
    </w:p>
    <w:p w14:paraId="6A9F2968">
      <w:pPr>
        <w:tabs>
          <w:tab w:val="left" w:pos="6300"/>
        </w:tabs>
        <w:snapToGrid w:val="0"/>
        <w:spacing w:line="500" w:lineRule="exact"/>
        <w:ind w:firstLine="570"/>
        <w:jc w:val="both"/>
        <w:rPr>
          <w:rFonts w:hint="eastAsia" w:ascii="宋体" w:hAnsi="宋体" w:cs="宋体"/>
          <w:color w:val="000000" w:themeColor="text1"/>
          <w:sz w:val="24"/>
          <w:szCs w:val="28"/>
          <w14:textFill>
            <w14:solidFill>
              <w14:schemeClr w14:val="tx1"/>
            </w14:solidFill>
          </w14:textFill>
        </w:rPr>
      </w:pPr>
    </w:p>
    <w:p w14:paraId="416766D1">
      <w:pPr>
        <w:tabs>
          <w:tab w:val="left" w:pos="6300"/>
        </w:tabs>
        <w:snapToGrid w:val="0"/>
        <w:spacing w:line="500" w:lineRule="exact"/>
        <w:ind w:firstLine="5460" w:firstLineChars="2275"/>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（竞选人公章或自然人签署）</w:t>
      </w:r>
    </w:p>
    <w:p w14:paraId="5F0FCD72">
      <w:pPr>
        <w:tabs>
          <w:tab w:val="left" w:pos="6300"/>
        </w:tabs>
        <w:snapToGrid w:val="0"/>
        <w:spacing w:line="500" w:lineRule="exact"/>
        <w:ind w:firstLine="570"/>
        <w:jc w:val="both"/>
        <w:rPr>
          <w:rFonts w:hint="eastAsia" w:ascii="宋体" w:hAnsi="宋体" w:cs="宋体"/>
          <w:color w:val="000000" w:themeColor="text1"/>
          <w:sz w:val="24"/>
          <w:szCs w:val="28"/>
          <w14:textFill>
            <w14:solidFill>
              <w14:schemeClr w14:val="tx1"/>
            </w14:solidFill>
          </w14:textFill>
        </w:rPr>
      </w:pPr>
    </w:p>
    <w:p w14:paraId="0FD22464">
      <w:pPr>
        <w:tabs>
          <w:tab w:val="left" w:pos="6300"/>
        </w:tabs>
        <w:snapToGrid w:val="0"/>
        <w:spacing w:line="500" w:lineRule="exact"/>
        <w:ind w:firstLine="5760" w:firstLineChars="2400"/>
        <w:jc w:val="both"/>
        <w:rPr>
          <w:rFonts w:hint="eastAsia" w:ascii="宋体" w:hAnsi="宋体" w:cs="宋体"/>
          <w:color w:val="000000" w:themeColor="text1"/>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年    月   日</w:t>
      </w:r>
    </w:p>
    <w:p w14:paraId="60E0CA60">
      <w:pPr>
        <w:snapToGrid w:val="0"/>
        <w:spacing w:line="400" w:lineRule="exact"/>
        <w:ind w:firstLine="56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Cs w:val="44"/>
          <w14:textFill>
            <w14:solidFill>
              <w14:schemeClr w14:val="tx1"/>
            </w14:solidFill>
          </w14:textFill>
        </w:rPr>
        <w:br w:type="page"/>
      </w:r>
      <w:r>
        <w:rPr>
          <w:rFonts w:hint="eastAsia" w:ascii="宋体" w:hAnsi="宋体" w:cs="宋体"/>
          <w:color w:val="000000" w:themeColor="text1"/>
          <w:sz w:val="24"/>
          <w:szCs w:val="28"/>
          <w14:textFill>
            <w14:solidFill>
              <w14:schemeClr w14:val="tx1"/>
            </w14:solidFill>
          </w14:textFill>
        </w:rPr>
        <w:t>（二）商务条款差异表</w:t>
      </w:r>
    </w:p>
    <w:p w14:paraId="59E222B2">
      <w:pPr>
        <w:snapToGrid w:val="0"/>
        <w:spacing w:line="4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项目号：</w:t>
      </w:r>
    </w:p>
    <w:p w14:paraId="5EEBCADE">
      <w:pPr>
        <w:snapToGrid w:val="0"/>
        <w:spacing w:line="4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采购项目名称：</w:t>
      </w: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524A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71763470">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393" w:type="dxa"/>
            <w:noWrap w:val="0"/>
            <w:vAlign w:val="center"/>
          </w:tcPr>
          <w:p w14:paraId="4058B228">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商务需求</w:t>
            </w:r>
          </w:p>
        </w:tc>
        <w:tc>
          <w:tcPr>
            <w:tcW w:w="3067" w:type="dxa"/>
            <w:noWrap w:val="0"/>
            <w:vAlign w:val="center"/>
          </w:tcPr>
          <w:p w14:paraId="102E54C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竞选应答</w:t>
            </w:r>
          </w:p>
        </w:tc>
        <w:tc>
          <w:tcPr>
            <w:tcW w:w="1479" w:type="dxa"/>
            <w:noWrap w:val="0"/>
            <w:vAlign w:val="center"/>
          </w:tcPr>
          <w:p w14:paraId="51B215D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偏离情况</w:t>
            </w:r>
          </w:p>
        </w:tc>
        <w:tc>
          <w:tcPr>
            <w:tcW w:w="1659" w:type="dxa"/>
            <w:noWrap w:val="0"/>
            <w:vAlign w:val="center"/>
          </w:tcPr>
          <w:p w14:paraId="69C4E6A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4"/>
                <w:szCs w:val="24"/>
                <w:lang w:val="zh-TW" w:eastAsia="zh-TW"/>
                <w14:textFill>
                  <w14:solidFill>
                    <w14:schemeClr w14:val="tx1"/>
                  </w14:solidFill>
                </w14:textFill>
              </w:rPr>
              <w:t>佐证材料对应</w:t>
            </w:r>
            <w:r>
              <w:rPr>
                <w:rFonts w:hint="eastAsia" w:ascii="宋体" w:hAnsi="宋体" w:cs="宋体"/>
                <w:color w:val="000000" w:themeColor="text1"/>
                <w:sz w:val="24"/>
                <w:szCs w:val="24"/>
                <w14:textFill>
                  <w14:solidFill>
                    <w14:schemeClr w14:val="tx1"/>
                  </w14:solidFill>
                </w14:textFill>
              </w:rPr>
              <w:t>竞选</w:t>
            </w:r>
            <w:r>
              <w:rPr>
                <w:rFonts w:hint="eastAsia" w:ascii="宋体" w:hAnsi="宋体" w:cs="宋体"/>
                <w:color w:val="000000" w:themeColor="text1"/>
                <w:sz w:val="24"/>
                <w:szCs w:val="24"/>
                <w:lang w:val="zh-TW" w:eastAsia="zh-TW"/>
                <w14:textFill>
                  <w14:solidFill>
                    <w14:schemeClr w14:val="tx1"/>
                  </w14:solidFill>
                </w14:textFill>
              </w:rPr>
              <w:t>文件页码</w:t>
            </w:r>
          </w:p>
        </w:tc>
      </w:tr>
      <w:tr w14:paraId="77C6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4E43FC3">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06066FC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18B9EDED">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提醒：请根据自身商务能力，注明具体内容以及竞选文件中具体内容的位置（页码）</w:t>
            </w:r>
          </w:p>
        </w:tc>
        <w:tc>
          <w:tcPr>
            <w:tcW w:w="1479" w:type="dxa"/>
            <w:noWrap w:val="0"/>
            <w:vAlign w:val="center"/>
          </w:tcPr>
          <w:p w14:paraId="77A644D6">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159BE65D">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4E07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85F141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2DFD96BC">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38D1B3B6">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126A1DC3">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091701E5">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309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44930B">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112FAD7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0C655813">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6FBA394B">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40296EBD">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43D8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B4FDD9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26EB0891">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5D448321">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2829E0AA">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7E967E10">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56EA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607229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2A8AA419">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39AC2047">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7EA52FF7">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62DB2C41">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2466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0A744D">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3C317645">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74FCE657">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21D8F729">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7F223D6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63B3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638E429">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610C614A">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7C43708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67E3DEDB">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1D78A951">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23A5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0DB11AE">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56CE0F57">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208CFAB0">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75BACF5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295C91F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30C5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C9777E1">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57315F26">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5F187FA5">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036901C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3E96163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09E2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5C4068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1AFBAB4C">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4F88F91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34D993B5">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4C562DDE">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4DAC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5EA031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19443678">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292F1D7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32D2740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4FC43890">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7B56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28FBAB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0303EF77">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2740D848">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2BB63751">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39178B56">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bl>
    <w:p w14:paraId="431786DF">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60CB25DC">
      <w:pPr>
        <w:tabs>
          <w:tab w:val="left" w:pos="6300"/>
        </w:tabs>
        <w:snapToGrid w:val="0"/>
        <w:spacing w:line="400" w:lineRule="atLeast"/>
        <w:ind w:firstLine="57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1.1.本表即为对本项目“第二篇  项目技术（质量）及商务需求”中所列条款进行比较和响应；</w:t>
      </w:r>
    </w:p>
    <w:p w14:paraId="7FD964A2">
      <w:pPr>
        <w:tabs>
          <w:tab w:val="left" w:pos="6300"/>
        </w:tabs>
        <w:snapToGrid w:val="0"/>
        <w:spacing w:line="400" w:lineRule="atLeast"/>
        <w:ind w:firstLine="57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2.本表可扩展。相关技术支撑材料应附本表后。（格式自定）</w:t>
      </w:r>
    </w:p>
    <w:p w14:paraId="37F8DC9F">
      <w:pPr>
        <w:tabs>
          <w:tab w:val="left" w:pos="6300"/>
        </w:tabs>
        <w:snapToGrid w:val="0"/>
        <w:spacing w:line="400" w:lineRule="atLeast"/>
        <w:ind w:firstLine="57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3.竞选应答栏中应当注明技术参数或具体内容。表中必须标注技术参数或具体内容在竞选文件中的位置（页码）。</w:t>
      </w:r>
    </w:p>
    <w:p w14:paraId="65AA61C2">
      <w:pPr>
        <w:keepNext/>
        <w:keepLines/>
        <w:adjustRightInd w:val="0"/>
        <w:snapToGrid w:val="0"/>
        <w:spacing w:line="400" w:lineRule="atLeast"/>
        <w:ind w:firstLine="480" w:firstLineChars="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4.偏离情况请填写“无偏离”、“正偏离”或“负偏离”。</w:t>
      </w:r>
    </w:p>
    <w:p w14:paraId="64BEC004">
      <w:pPr>
        <w:snapToGrid w:val="0"/>
        <w:spacing w:line="4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（三）其他商务资料</w:t>
      </w:r>
    </w:p>
    <w:p w14:paraId="41C68832">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Cs w:val="28"/>
          <w14:textFill>
            <w14:solidFill>
              <w14:schemeClr w14:val="tx1"/>
            </w14:solidFill>
          </w14:textFill>
        </w:rPr>
        <w:t xml:space="preserve"> </w:t>
      </w:r>
    </w:p>
    <w:p w14:paraId="7D78C431">
      <w:pPr>
        <w:pageBreakBefore/>
        <w:spacing w:line="500" w:lineRule="exact"/>
        <w:ind w:firstLine="562" w:firstLineChars="200"/>
        <w:jc w:val="both"/>
        <w:outlineLvl w:val="1"/>
        <w:rPr>
          <w:rFonts w:hint="eastAsia" w:cs="宋体"/>
          <w:b/>
          <w:color w:val="000000" w:themeColor="text1"/>
          <w:szCs w:val="28"/>
          <w14:textFill>
            <w14:solidFill>
              <w14:schemeClr w14:val="tx1"/>
            </w14:solidFill>
          </w14:textFill>
        </w:rPr>
      </w:pPr>
      <w:bookmarkStart w:id="205" w:name="_Toc76373912"/>
      <w:bookmarkStart w:id="206" w:name="_Toc493178793"/>
      <w:bookmarkStart w:id="207" w:name="_Toc16151"/>
      <w:bookmarkStart w:id="208" w:name="_Toc14546"/>
      <w:bookmarkStart w:id="209" w:name="_Toc6217"/>
      <w:bookmarkStart w:id="210" w:name="_Toc12169"/>
      <w:bookmarkStart w:id="211" w:name="_Toc492721038"/>
      <w:bookmarkStart w:id="212" w:name="_Toc8925"/>
      <w:bookmarkStart w:id="213" w:name="_Toc20605"/>
      <w:bookmarkStart w:id="214" w:name="_Toc4250"/>
      <w:r>
        <w:rPr>
          <w:rFonts w:hint="eastAsia" w:cs="宋体"/>
          <w:b/>
          <w:color w:val="000000" w:themeColor="text1"/>
          <w:szCs w:val="28"/>
          <w14:textFill>
            <w14:solidFill>
              <w14:schemeClr w14:val="tx1"/>
            </w14:solidFill>
          </w14:textFill>
        </w:rPr>
        <w:t>四、资格文件</w:t>
      </w:r>
      <w:bookmarkEnd w:id="205"/>
      <w:bookmarkEnd w:id="206"/>
      <w:bookmarkEnd w:id="207"/>
      <w:bookmarkEnd w:id="208"/>
      <w:bookmarkEnd w:id="209"/>
      <w:bookmarkEnd w:id="210"/>
      <w:bookmarkEnd w:id="211"/>
      <w:bookmarkEnd w:id="212"/>
      <w:bookmarkEnd w:id="213"/>
      <w:bookmarkEnd w:id="214"/>
    </w:p>
    <w:p w14:paraId="3C123B8C">
      <w:pPr>
        <w:tabs>
          <w:tab w:val="left" w:pos="6300"/>
        </w:tabs>
        <w:snapToGrid w:val="0"/>
        <w:spacing w:line="500" w:lineRule="exact"/>
        <w:ind w:firstLine="57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（一）法人营业执照（副本）或事业单位法人证书（副本）或个体工商户营业执照或有效的自然人身份证明或社会团体法人登记证书复印件</w:t>
      </w:r>
    </w:p>
    <w:p w14:paraId="58053FFE">
      <w:pPr>
        <w:tabs>
          <w:tab w:val="left" w:pos="6300"/>
        </w:tabs>
        <w:snapToGrid w:val="0"/>
        <w:spacing w:line="500" w:lineRule="exact"/>
        <w:ind w:firstLine="570"/>
        <w:jc w:val="both"/>
        <w:rPr>
          <w:rFonts w:hint="eastAsia" w:ascii="宋体" w:hAnsi="宋体" w:cs="宋体"/>
          <w:color w:val="000000" w:themeColor="text1"/>
          <w14:textFill>
            <w14:solidFill>
              <w14:schemeClr w14:val="tx1"/>
            </w14:solidFill>
          </w14:textFill>
        </w:rPr>
      </w:pPr>
    </w:p>
    <w:p w14:paraId="79AEEFBE">
      <w:pPr>
        <w:tabs>
          <w:tab w:val="left" w:pos="6300"/>
        </w:tabs>
        <w:snapToGrid w:val="0"/>
        <w:spacing w:line="500" w:lineRule="exact"/>
        <w:ind w:firstLine="570"/>
        <w:jc w:val="both"/>
        <w:rPr>
          <w:rFonts w:hint="eastAsia" w:ascii="宋体" w:hAnsi="宋体" w:cs="宋体"/>
          <w:color w:val="000000" w:themeColor="text1"/>
          <w14:textFill>
            <w14:solidFill>
              <w14:schemeClr w14:val="tx1"/>
            </w14:solidFill>
          </w14:textFill>
        </w:rPr>
      </w:pPr>
    </w:p>
    <w:p w14:paraId="1E4C2801">
      <w:pPr>
        <w:tabs>
          <w:tab w:val="left" w:pos="6300"/>
        </w:tabs>
        <w:snapToGrid w:val="0"/>
        <w:spacing w:line="500" w:lineRule="exact"/>
        <w:ind w:firstLine="570"/>
        <w:jc w:val="both"/>
        <w:rPr>
          <w:rFonts w:hint="eastAsia" w:ascii="宋体" w:hAnsi="宋体" w:cs="宋体"/>
          <w:color w:val="000000" w:themeColor="text1"/>
          <w14:textFill>
            <w14:solidFill>
              <w14:schemeClr w14:val="tx1"/>
            </w14:solidFill>
          </w14:textFill>
        </w:rPr>
      </w:pPr>
    </w:p>
    <w:p w14:paraId="2208EBE8">
      <w:pPr>
        <w:spacing w:line="400" w:lineRule="exact"/>
        <w:ind w:firstLine="56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sz w:val="24"/>
          <w:szCs w:val="28"/>
          <w14:textFill>
            <w14:solidFill>
              <w14:schemeClr w14:val="tx1"/>
            </w14:solidFill>
          </w14:textFill>
        </w:rPr>
        <w:t>（二）法定代表人身份证明书（格式）</w:t>
      </w:r>
    </w:p>
    <w:p w14:paraId="02B2F498">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5C234936">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采购项目名称：</w:t>
      </w:r>
      <w:r>
        <w:rPr>
          <w:rFonts w:hint="eastAsia" w:ascii="宋体" w:hAnsi="宋体" w:cs="宋体"/>
          <w:color w:val="000000" w:themeColor="text1"/>
          <w:sz w:val="24"/>
          <w:u w:val="single"/>
          <w14:textFill>
            <w14:solidFill>
              <w14:schemeClr w14:val="tx1"/>
            </w14:solidFill>
          </w14:textFill>
        </w:rPr>
        <w:t xml:space="preserve">                                                </w:t>
      </w:r>
    </w:p>
    <w:p w14:paraId="76AEB20A">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3CB8AB48">
      <w:pPr>
        <w:tabs>
          <w:tab w:val="left" w:pos="6300"/>
        </w:tabs>
        <w:snapToGrid w:val="0"/>
        <w:spacing w:line="5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63B9F4A7">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（法定代表人姓名）在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（竞选人名称）任</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（职务名称）职务，是（竞选人名称）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的法定代表人。</w:t>
      </w:r>
    </w:p>
    <w:p w14:paraId="43A3B108">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25BE8B9B">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14:paraId="581610CD">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3730CCEA">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4D3EC39F">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竞选人：</w:t>
      </w:r>
    </w:p>
    <w:p w14:paraId="402594AB">
      <w:pPr>
        <w:tabs>
          <w:tab w:val="left" w:pos="6300"/>
        </w:tabs>
        <w:snapToGrid w:val="0"/>
        <w:spacing w:line="500" w:lineRule="exact"/>
        <w:ind w:firstLine="5848" w:firstLineChars="2437"/>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（竞选人公章）</w:t>
      </w:r>
    </w:p>
    <w:p w14:paraId="5DAC5F53">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50087FEB">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364B6F01">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（附：法定代表人身份证正反面复印件）</w:t>
      </w:r>
    </w:p>
    <w:p w14:paraId="369382B7">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28D59BA4">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4D190688">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6244B454">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21C8C0FC">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4BF531D5">
      <w:pPr>
        <w:spacing w:line="400" w:lineRule="exact"/>
        <w:ind w:firstLine="56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14:textFill>
            <w14:solidFill>
              <w14:schemeClr w14:val="tx1"/>
            </w14:solidFill>
          </w14:textFill>
        </w:rPr>
        <w:br w:type="column"/>
      </w:r>
      <w:r>
        <w:rPr>
          <w:rFonts w:hint="eastAsia" w:ascii="宋体" w:hAnsi="宋体" w:cs="宋体"/>
          <w:color w:val="000000" w:themeColor="text1"/>
          <w:sz w:val="24"/>
          <w:szCs w:val="28"/>
          <w14:textFill>
            <w14:solidFill>
              <w14:schemeClr w14:val="tx1"/>
            </w14:solidFill>
          </w14:textFill>
        </w:rPr>
        <w:t>（三）法定代表人授权委托书（格式）</w:t>
      </w:r>
    </w:p>
    <w:p w14:paraId="0AC71F4D">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02C300A7">
      <w:pPr>
        <w:tabs>
          <w:tab w:val="left" w:pos="6300"/>
        </w:tabs>
        <w:snapToGrid w:val="0"/>
        <w:spacing w:line="500" w:lineRule="exact"/>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采购项目名称</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p>
    <w:p w14:paraId="657DCE87">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68CA94F7">
      <w:pPr>
        <w:tabs>
          <w:tab w:val="left" w:pos="6300"/>
        </w:tabs>
        <w:snapToGrid w:val="0"/>
        <w:spacing w:line="5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C747970">
      <w:pPr>
        <w:tabs>
          <w:tab w:val="left" w:pos="6300"/>
        </w:tabs>
        <w:snapToGrid w:val="0"/>
        <w:spacing w:line="500" w:lineRule="exact"/>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（竞选人法定代表人名称）是</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（竞选人名称）的法定代表人，特授权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（被授权人姓名及身份证代码）代表我单位全权办理上述项目的竞选、谈判、签约等具体工作，并签署全部有关文件、协议及合同。</w:t>
      </w:r>
    </w:p>
    <w:p w14:paraId="00D6FC32">
      <w:pPr>
        <w:tabs>
          <w:tab w:val="left" w:pos="6300"/>
        </w:tabs>
        <w:snapToGrid w:val="0"/>
        <w:spacing w:line="500" w:lineRule="exact"/>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我单位对被授权人的签署负全部责任。</w:t>
      </w:r>
    </w:p>
    <w:p w14:paraId="60E87812">
      <w:pPr>
        <w:tabs>
          <w:tab w:val="left" w:pos="6300"/>
        </w:tabs>
        <w:snapToGrid w:val="0"/>
        <w:spacing w:line="500" w:lineRule="exact"/>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在撤销授权的书面通知以前，本授权书一直有效。被授权人在授权书有效期内签署的所有文件不因授权的撤销而失效。</w:t>
      </w:r>
    </w:p>
    <w:p w14:paraId="6D424471">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0D5FAD37">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6A759540">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                                 竞选人法定代表人：</w:t>
      </w:r>
    </w:p>
    <w:p w14:paraId="4039CFC2">
      <w:pPr>
        <w:tabs>
          <w:tab w:val="left" w:pos="6300"/>
        </w:tabs>
        <w:snapToGrid w:val="0"/>
        <w:spacing w:line="500" w:lineRule="exact"/>
        <w:ind w:firstLine="57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（签署或盖章）                                （签署或盖章）</w:t>
      </w:r>
    </w:p>
    <w:p w14:paraId="1149F68C">
      <w:pPr>
        <w:tabs>
          <w:tab w:val="left" w:pos="6300"/>
        </w:tabs>
        <w:snapToGrid w:val="0"/>
        <w:spacing w:line="500" w:lineRule="exact"/>
        <w:ind w:firstLine="570"/>
        <w:jc w:val="both"/>
        <w:rPr>
          <w:rFonts w:hint="eastAsia" w:ascii="宋体" w:hAnsi="宋体" w:cs="宋体"/>
          <w:color w:val="000000" w:themeColor="text1"/>
          <w:sz w:val="24"/>
          <w:szCs w:val="28"/>
          <w14:textFill>
            <w14:solidFill>
              <w14:schemeClr w14:val="tx1"/>
            </w14:solidFill>
          </w14:textFill>
        </w:rPr>
      </w:pPr>
    </w:p>
    <w:p w14:paraId="6417D07C">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17069CDD">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（附：被授权人身份证正反面复印件）</w:t>
      </w:r>
    </w:p>
    <w:p w14:paraId="70448475">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0E592215">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365B3519">
      <w:pPr>
        <w:tabs>
          <w:tab w:val="left" w:pos="6300"/>
        </w:tabs>
        <w:snapToGrid w:val="0"/>
        <w:spacing w:line="500" w:lineRule="exact"/>
        <w:ind w:right="480"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（竞选人公章）</w:t>
      </w:r>
    </w:p>
    <w:p w14:paraId="6371961A">
      <w:pPr>
        <w:tabs>
          <w:tab w:val="left" w:pos="6300"/>
        </w:tabs>
        <w:snapToGrid w:val="0"/>
        <w:spacing w:line="500" w:lineRule="exact"/>
        <w:ind w:right="480"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750D2374">
      <w:pPr>
        <w:tabs>
          <w:tab w:val="left" w:pos="6300"/>
        </w:tabs>
        <w:snapToGrid w:val="0"/>
        <w:spacing w:line="500" w:lineRule="exact"/>
        <w:ind w:right="720" w:firstLine="570"/>
        <w:jc w:val="both"/>
        <w:rPr>
          <w:rFonts w:hint="eastAsia" w:ascii="宋体" w:hAnsi="宋体" w:cs="宋体"/>
          <w:color w:val="000000" w:themeColor="text1"/>
          <w:sz w:val="24"/>
          <w14:textFill>
            <w14:solidFill>
              <w14:schemeClr w14:val="tx1"/>
            </w14:solidFill>
          </w14:textFill>
        </w:rPr>
      </w:pPr>
    </w:p>
    <w:p w14:paraId="6EA6C93F">
      <w:pPr>
        <w:tabs>
          <w:tab w:val="left" w:pos="6300"/>
        </w:tabs>
        <w:snapToGrid w:val="0"/>
        <w:spacing w:line="500" w:lineRule="exact"/>
        <w:ind w:right="480"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注：若为法定代表人办理并签署竞选文件的，不提供此文件。</w:t>
      </w:r>
    </w:p>
    <w:p w14:paraId="05568876">
      <w:pPr>
        <w:spacing w:line="400" w:lineRule="exact"/>
        <w:ind w:firstLine="56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14:textFill>
            <w14:solidFill>
              <w14:schemeClr w14:val="tx1"/>
            </w14:solidFill>
          </w14:textFill>
        </w:rPr>
        <w:br w:type="column"/>
      </w:r>
      <w:r>
        <w:rPr>
          <w:rFonts w:hint="eastAsia" w:ascii="宋体" w:hAnsi="宋体" w:cs="宋体"/>
          <w:color w:val="000000" w:themeColor="text1"/>
          <w:sz w:val="24"/>
          <w:szCs w:val="28"/>
          <w14:textFill>
            <w14:solidFill>
              <w14:schemeClr w14:val="tx1"/>
            </w14:solidFill>
          </w14:textFill>
        </w:rPr>
        <w:t>（四）基本资格条件承诺函</w:t>
      </w:r>
      <w:r>
        <w:rPr>
          <w:rFonts w:hint="eastAsia" w:ascii="宋体" w:hAnsi="宋体" w:cs="宋体"/>
          <w:color w:val="000000" w:themeColor="text1"/>
          <w:sz w:val="24"/>
          <w:szCs w:val="24"/>
          <w14:textFill>
            <w14:solidFill>
              <w14:schemeClr w14:val="tx1"/>
            </w14:solidFill>
          </w14:textFill>
        </w:rPr>
        <w:t>（格式）</w:t>
      </w:r>
    </w:p>
    <w:p w14:paraId="1BF0622F">
      <w:pPr>
        <w:spacing w:line="530" w:lineRule="exact"/>
        <w:ind w:firstLine="723" w:firstLineChars="200"/>
        <w:jc w:val="both"/>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基本资格条件承诺函</w:t>
      </w:r>
    </w:p>
    <w:p w14:paraId="74389754">
      <w:pPr>
        <w:tabs>
          <w:tab w:val="left" w:pos="6300"/>
        </w:tabs>
        <w:snapToGrid w:val="0"/>
        <w:spacing w:line="530" w:lineRule="exact"/>
        <w:jc w:val="both"/>
        <w:rPr>
          <w:color w:val="000000" w:themeColor="text1"/>
          <w:sz w:val="24"/>
          <w14:textFill>
            <w14:solidFill>
              <w14:schemeClr w14:val="tx1"/>
            </w14:solidFill>
          </w14:textFill>
        </w:rPr>
      </w:pPr>
    </w:p>
    <w:p w14:paraId="28682BED">
      <w:pPr>
        <w:tabs>
          <w:tab w:val="left" w:pos="6300"/>
        </w:tabs>
        <w:snapToGrid w:val="0"/>
        <w:spacing w:line="53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14:paraId="1F665D3B">
      <w:pPr>
        <w:tabs>
          <w:tab w:val="left" w:pos="6300"/>
        </w:tabs>
        <w:snapToGrid w:val="0"/>
        <w:spacing w:line="53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（竞选人名称）郑重承诺：</w:t>
      </w:r>
    </w:p>
    <w:p w14:paraId="5239EDDA">
      <w:pPr>
        <w:spacing w:line="53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1.我方具有良好的商业信誉和健全的财务会计制度，具有履行合同所必需的设备和专业技术能力，具</w:t>
      </w:r>
      <w:r>
        <w:rPr>
          <w:rFonts w:hint="eastAsia" w:ascii="宋体" w:hAnsi="宋体" w:cs="宋体"/>
          <w:color w:val="000000" w:themeColor="text1"/>
          <w:sz w:val="24"/>
          <w:szCs w:val="24"/>
          <w:lang w:val="zh-CN"/>
          <w14:textFill>
            <w14:solidFill>
              <w14:schemeClr w14:val="tx1"/>
            </w14:solidFill>
          </w14:textFill>
        </w:rPr>
        <w:t>有依法缴纳税收和社会保障金的良好记录</w:t>
      </w:r>
      <w:r>
        <w:rPr>
          <w:rFonts w:hint="eastAsia" w:ascii="宋体" w:hAnsi="宋体" w:cs="宋体"/>
          <w:color w:val="000000" w:themeColor="text1"/>
          <w:sz w:val="24"/>
          <w:szCs w:val="24"/>
          <w14:textFill>
            <w14:solidFill>
              <w14:schemeClr w14:val="tx1"/>
            </w14:solidFill>
          </w14:textFill>
        </w:rPr>
        <w:t>，参加本项目采购活动前三年内无重大违法活动记录。</w:t>
      </w:r>
    </w:p>
    <w:p w14:paraId="5527F309">
      <w:pPr>
        <w:spacing w:line="53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32578517">
      <w:pPr>
        <w:spacing w:line="53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3.我方在采购项目评审环节结束后，随时接受采购人、采购代理机构的检查验证，配合提供相关证明材料，证明符合《中华人民共和国政府采购法》规定的竞选人基本资格条件。</w:t>
      </w:r>
    </w:p>
    <w:p w14:paraId="0F1B299A">
      <w:pPr>
        <w:tabs>
          <w:tab w:val="left" w:pos="6300"/>
        </w:tabs>
        <w:snapToGrid w:val="0"/>
        <w:spacing w:line="53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我方对以上承诺负全部法律责任。</w:t>
      </w:r>
    </w:p>
    <w:p w14:paraId="08904DC7">
      <w:pPr>
        <w:tabs>
          <w:tab w:val="left" w:pos="6300"/>
        </w:tabs>
        <w:snapToGrid w:val="0"/>
        <w:spacing w:line="53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特此承诺。</w:t>
      </w:r>
    </w:p>
    <w:p w14:paraId="506A928D">
      <w:pPr>
        <w:tabs>
          <w:tab w:val="left" w:pos="6300"/>
        </w:tabs>
        <w:snapToGrid w:val="0"/>
        <w:spacing w:line="530" w:lineRule="exact"/>
        <w:jc w:val="both"/>
        <w:rPr>
          <w:rFonts w:hint="eastAsia" w:ascii="宋体" w:hAnsi="宋体" w:cs="宋体"/>
          <w:color w:val="000000" w:themeColor="text1"/>
          <w:sz w:val="24"/>
          <w:szCs w:val="24"/>
          <w14:textFill>
            <w14:solidFill>
              <w14:schemeClr w14:val="tx1"/>
            </w14:solidFill>
          </w14:textFill>
        </w:rPr>
      </w:pPr>
    </w:p>
    <w:p w14:paraId="0DE139F9">
      <w:pPr>
        <w:tabs>
          <w:tab w:val="left" w:pos="6300"/>
        </w:tabs>
        <w:snapToGrid w:val="0"/>
        <w:spacing w:line="530" w:lineRule="exact"/>
        <w:ind w:right="424" w:firstLine="57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（竞选人公章）</w:t>
      </w:r>
    </w:p>
    <w:p w14:paraId="48E8E7A6">
      <w:pPr>
        <w:spacing w:line="400" w:lineRule="exact"/>
        <w:ind w:firstLine="7440" w:firstLineChars="31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14:paraId="5F367BC3">
      <w:pPr>
        <w:snapToGrid w:val="0"/>
        <w:spacing w:line="400" w:lineRule="exact"/>
        <w:ind w:firstLine="56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sz w:val="24"/>
          <w:szCs w:val="24"/>
          <w14:textFill>
            <w14:solidFill>
              <w14:schemeClr w14:val="tx1"/>
            </w14:solidFill>
          </w14:textFill>
        </w:rPr>
        <w:t>（五）特定资格条件证书或证明文件</w:t>
      </w:r>
    </w:p>
    <w:p w14:paraId="524FBCDD">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p>
    <w:p w14:paraId="62C5E55A">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0E70B7CD">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5E25AB64">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47224A45">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578E209F">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7F4F6E19">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18A9B4DE">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646CF951">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7BFB7523">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5A28FD0C">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35633D28">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46209ACE">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7053B7FF">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6525A084">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30C065AA">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675827FC">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1C8CA979">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38B10449">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784F129C">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4F13C4DF">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676773CF">
      <w:pPr>
        <w:tabs>
          <w:tab w:val="left" w:pos="6300"/>
        </w:tabs>
        <w:snapToGrid w:val="0"/>
        <w:spacing w:line="500" w:lineRule="exact"/>
        <w:jc w:val="both"/>
        <w:outlineLvl w:val="1"/>
        <w:rPr>
          <w:rFonts w:hint="eastAsia" w:cs="宋体"/>
          <w:b/>
          <w:color w:val="000000" w:themeColor="text1"/>
          <w:szCs w:val="28"/>
          <w14:textFill>
            <w14:solidFill>
              <w14:schemeClr w14:val="tx1"/>
            </w14:solidFill>
          </w14:textFill>
        </w:rPr>
      </w:pPr>
      <w:bookmarkStart w:id="215" w:name="_Toc29717"/>
      <w:bookmarkStart w:id="216" w:name="_Toc22970"/>
      <w:r>
        <w:rPr>
          <w:rFonts w:hint="eastAsia" w:ascii="宋体" w:hAnsi="宋体" w:cs="宋体"/>
          <w:color w:val="000000" w:themeColor="text1"/>
          <w14:textFill>
            <w14:solidFill>
              <w14:schemeClr w14:val="tx1"/>
            </w14:solidFill>
          </w14:textFill>
        </w:rPr>
        <w:br w:type="column"/>
      </w:r>
      <w:r>
        <w:rPr>
          <w:rFonts w:hint="eastAsia" w:cs="宋体"/>
          <w:b/>
          <w:color w:val="000000" w:themeColor="text1"/>
          <w:szCs w:val="28"/>
          <w14:textFill>
            <w14:solidFill>
              <w14:schemeClr w14:val="tx1"/>
            </w14:solidFill>
          </w14:textFill>
        </w:rPr>
        <w:t>五、商业活动廉洁经营承诺书</w:t>
      </w:r>
      <w:bookmarkEnd w:id="215"/>
      <w:bookmarkEnd w:id="216"/>
    </w:p>
    <w:p w14:paraId="402546A0">
      <w:pPr>
        <w:spacing w:line="400" w:lineRule="exact"/>
        <w:jc w:val="both"/>
        <w:rPr>
          <w:rFonts w:hint="eastAsia" w:ascii="Arial Unicode MS" w:hAnsi="Arial Unicode MS" w:eastAsia="Arial Unicode MS" w:cs="Arial Unicode MS"/>
          <w:b/>
          <w:color w:val="000000" w:themeColor="text1"/>
          <w:sz w:val="32"/>
          <w:szCs w:val="32"/>
          <w14:textFill>
            <w14:solidFill>
              <w14:schemeClr w14:val="tx1"/>
            </w14:solidFill>
          </w14:textFill>
        </w:rPr>
      </w:pPr>
      <w:r>
        <w:rPr>
          <w:rFonts w:hint="eastAsia" w:ascii="Arial Unicode MS" w:hAnsi="Arial Unicode MS" w:eastAsia="Arial Unicode MS" w:cs="Arial Unicode MS"/>
          <w:b/>
          <w:color w:val="000000" w:themeColor="text1"/>
          <w:sz w:val="32"/>
          <w:szCs w:val="32"/>
          <w14:textFill>
            <w14:solidFill>
              <w14:schemeClr w14:val="tx1"/>
            </w14:solidFill>
          </w14:textFill>
        </w:rPr>
        <w:t>商业活动廉洁经营承诺书</w:t>
      </w:r>
    </w:p>
    <w:p w14:paraId="3EB80070">
      <w:pPr>
        <w:spacing w:line="400" w:lineRule="exact"/>
        <w:jc w:val="both"/>
        <w:rPr>
          <w:rFonts w:ascii="仿宋_GB2312" w:eastAsia="仿宋_GB2312"/>
          <w:color w:val="000000" w:themeColor="text1"/>
          <w:sz w:val="24"/>
          <w14:textFill>
            <w14:solidFill>
              <w14:schemeClr w14:val="tx1"/>
            </w14:solidFill>
          </w14:textFill>
        </w:rPr>
      </w:pPr>
    </w:p>
    <w:p w14:paraId="7D4B3D04">
      <w:pPr>
        <w:spacing w:line="400" w:lineRule="exact"/>
        <w:jc w:val="both"/>
        <w:rPr>
          <w:rFonts w:hint="eastAsia"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重庆医科大学附属第二医院：</w:t>
      </w:r>
    </w:p>
    <w:p w14:paraId="59AA240B">
      <w:pPr>
        <w:spacing w:line="400" w:lineRule="exact"/>
        <w:ind w:firstLine="512" w:firstLineChars="200"/>
        <w:jc w:val="both"/>
        <w:rPr>
          <w:rFonts w:ascii="仿宋_GB2312" w:eastAsia="仿宋_GB2312"/>
          <w:color w:val="000000" w:themeColor="text1"/>
          <w:spacing w:val="-2"/>
          <w:sz w:val="26"/>
          <w:szCs w:val="26"/>
          <w14:textFill>
            <w14:solidFill>
              <w14:schemeClr w14:val="tx1"/>
            </w14:solidFill>
          </w14:textFill>
        </w:rPr>
      </w:pPr>
      <w:r>
        <w:rPr>
          <w:rFonts w:hint="eastAsia" w:ascii="仿宋_GB2312" w:eastAsia="仿宋_GB2312"/>
          <w:color w:val="000000" w:themeColor="text1"/>
          <w:spacing w:val="-2"/>
          <w:sz w:val="26"/>
          <w:szCs w:val="26"/>
          <w14:textFill>
            <w14:solidFill>
              <w14:schemeClr w14:val="tx1"/>
            </w14:solidFill>
          </w14:textFill>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74ADC2F">
      <w:pPr>
        <w:spacing w:line="400" w:lineRule="exact"/>
        <w:ind w:firstLine="520" w:firstLineChars="2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一、坚持经营质量第一，建立健全质量保证体系；规范销售服务行为，强化售后服务，严格执行质量追溯制度，不断提高员工综合素质，努力为客户提供优质的售前、售中和售后服务。</w:t>
      </w:r>
    </w:p>
    <w:p w14:paraId="1B4E3626">
      <w:pPr>
        <w:spacing w:line="400" w:lineRule="exact"/>
        <w:ind w:firstLine="520" w:firstLineChars="2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二、不以任何理由向贵院及工作人员行贿或馈赠礼金、有价证券、礼品及土特产等。</w:t>
      </w:r>
    </w:p>
    <w:p w14:paraId="34E7E808">
      <w:pPr>
        <w:spacing w:line="400" w:lineRule="exact"/>
        <w:ind w:firstLine="520" w:firstLineChars="2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三、不以任何名义为贵院及工作人员报销应由贵院或个人支付的任何费用。</w:t>
      </w:r>
    </w:p>
    <w:p w14:paraId="75E3E510">
      <w:pPr>
        <w:spacing w:line="400" w:lineRule="exact"/>
        <w:ind w:firstLine="520" w:firstLineChars="2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四、不以任何理由邀请贵院及工作人员外出参加未经审批同意的学习考察，旅游，宴请及娱乐活动。</w:t>
      </w:r>
    </w:p>
    <w:p w14:paraId="7C7C8450">
      <w:pPr>
        <w:spacing w:line="400" w:lineRule="exact"/>
        <w:ind w:firstLine="520" w:firstLineChars="2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五、不为贵院单位和个人购置或提供通讯工具、交通工具和办公用品等。</w:t>
      </w:r>
    </w:p>
    <w:p w14:paraId="578262DE">
      <w:pPr>
        <w:spacing w:line="400" w:lineRule="exact"/>
        <w:ind w:firstLine="520" w:firstLineChars="2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六、如果发现贵院工作人员有违反廉政规定的行为，承诺向贵院纪检监察部门或有关单位报告。</w:t>
      </w:r>
    </w:p>
    <w:p w14:paraId="2B1CC18D">
      <w:pPr>
        <w:spacing w:line="400" w:lineRule="exact"/>
        <w:ind w:firstLine="520" w:firstLineChars="2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188EC15">
      <w:pPr>
        <w:spacing w:line="400" w:lineRule="exact"/>
        <w:ind w:firstLine="520" w:firstLineChars="200"/>
        <w:jc w:val="both"/>
        <w:rPr>
          <w:rFonts w:ascii="仿宋_GB2312" w:eastAsia="仿宋_GB2312"/>
          <w:color w:val="000000" w:themeColor="text1"/>
          <w:sz w:val="26"/>
          <w:szCs w:val="26"/>
          <w:u w:val="single"/>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八、本廉政承诺由贵院纪检监察部门和我司业务内控部门负责监督执行。</w:t>
      </w:r>
    </w:p>
    <w:p w14:paraId="492D8A69">
      <w:pPr>
        <w:tabs>
          <w:tab w:val="left" w:pos="4215"/>
        </w:tabs>
        <w:spacing w:line="400" w:lineRule="exact"/>
        <w:jc w:val="both"/>
        <w:rPr>
          <w:rFonts w:ascii="仿宋_GB2312" w:eastAsia="仿宋_GB2312"/>
          <w:color w:val="000000" w:themeColor="text1"/>
          <w:sz w:val="26"/>
          <w:szCs w:val="26"/>
          <w14:textFill>
            <w14:solidFill>
              <w14:schemeClr w14:val="tx1"/>
            </w14:solidFill>
          </w14:textFill>
        </w:rPr>
      </w:pPr>
    </w:p>
    <w:p w14:paraId="3517B18D">
      <w:pPr>
        <w:pStyle w:val="2"/>
        <w:jc w:val="both"/>
        <w:rPr>
          <w:color w:val="000000" w:themeColor="text1"/>
          <w14:textFill>
            <w14:solidFill>
              <w14:schemeClr w14:val="tx1"/>
            </w14:solidFill>
          </w14:textFill>
        </w:rPr>
      </w:pPr>
    </w:p>
    <w:p w14:paraId="78EDED0E">
      <w:pPr>
        <w:tabs>
          <w:tab w:val="left" w:pos="4215"/>
        </w:tabs>
        <w:spacing w:line="480" w:lineRule="exact"/>
        <w:ind w:firstLine="2340" w:firstLineChars="9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竞选人法定代表人：</w:t>
      </w:r>
      <w:r>
        <w:rPr>
          <w:rFonts w:ascii="仿宋_GB2312" w:eastAsia="仿宋_GB2312"/>
          <w:color w:val="000000" w:themeColor="text1"/>
          <w:sz w:val="26"/>
          <w:szCs w:val="26"/>
          <w14:textFill>
            <w14:solidFill>
              <w14:schemeClr w14:val="tx1"/>
            </w14:solidFill>
          </w14:textFill>
        </w:rPr>
        <w:t xml:space="preserve"> </w:t>
      </w:r>
    </w:p>
    <w:p w14:paraId="5442A45D">
      <w:pPr>
        <w:tabs>
          <w:tab w:val="left" w:pos="4215"/>
        </w:tabs>
        <w:spacing w:line="480" w:lineRule="exact"/>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                  竞选人地址：</w:t>
      </w:r>
    </w:p>
    <w:p w14:paraId="7FEDB7B4">
      <w:pPr>
        <w:spacing w:line="400" w:lineRule="exact"/>
        <w:ind w:firstLine="520" w:firstLineChars="2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              联系人及手机号码：</w:t>
      </w:r>
    </w:p>
    <w:p w14:paraId="0414B404">
      <w:pPr>
        <w:spacing w:line="400" w:lineRule="exact"/>
        <w:ind w:firstLine="5460" w:firstLineChars="21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年   月   日（加盖公司印章）</w:t>
      </w:r>
    </w:p>
    <w:p w14:paraId="5C700F3B">
      <w:pPr>
        <w:tabs>
          <w:tab w:val="left" w:pos="4215"/>
        </w:tabs>
        <w:spacing w:line="400" w:lineRule="exact"/>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法律监督单位：重庆市渝中区人民检察院           </w:t>
      </w:r>
    </w:p>
    <w:p w14:paraId="658F83FD">
      <w:pPr>
        <w:tabs>
          <w:tab w:val="left" w:pos="6300"/>
        </w:tabs>
        <w:snapToGrid w:val="0"/>
        <w:spacing w:line="500" w:lineRule="exact"/>
        <w:jc w:val="both"/>
        <w:rPr>
          <w:rFonts w:hint="eastAsia"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电话：63905066、63905067      </w:t>
      </w:r>
    </w:p>
    <w:p w14:paraId="2F6BBF9E">
      <w:pPr>
        <w:tabs>
          <w:tab w:val="left" w:pos="6300"/>
        </w:tabs>
        <w:snapToGrid w:val="0"/>
        <w:spacing w:line="500" w:lineRule="exact"/>
        <w:jc w:val="both"/>
        <w:rPr>
          <w:rFonts w:hint="eastAsia" w:ascii="宋体" w:hAnsi="宋体" w:cs="宋体"/>
          <w:color w:val="000000" w:themeColor="text1"/>
          <w14:textFill>
            <w14:solidFill>
              <w14:schemeClr w14:val="tx1"/>
            </w14:solidFill>
          </w14:textFill>
        </w:rPr>
      </w:pPr>
    </w:p>
    <w:p w14:paraId="350219DA">
      <w:pPr>
        <w:tabs>
          <w:tab w:val="left" w:pos="6300"/>
        </w:tabs>
        <w:snapToGrid w:val="0"/>
        <w:spacing w:line="500" w:lineRule="exact"/>
        <w:ind w:firstLine="280" w:firstLineChars="100"/>
        <w:jc w:val="both"/>
        <w:rPr>
          <w:rFonts w:hint="eastAsia" w:ascii="方正仿宋_GBK" w:hAnsi="宋体" w:eastAsia="方正仿宋_GBK"/>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（结束）</w:t>
      </w:r>
    </w:p>
    <w:p w14:paraId="61181DC9">
      <w:pPr>
        <w:tabs>
          <w:tab w:val="left" w:pos="6300"/>
        </w:tabs>
        <w:snapToGrid w:val="0"/>
        <w:spacing w:line="500" w:lineRule="exact"/>
        <w:jc w:val="both"/>
        <w:rPr>
          <w:rFonts w:hint="eastAsia" w:ascii="方正仿宋_GBK" w:hAnsi="宋体" w:eastAsia="方正仿宋_GBK"/>
          <w:color w:val="000000" w:themeColor="text1"/>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        </w:t>
      </w:r>
    </w:p>
    <w:p w14:paraId="22D4F9C5">
      <w:pPr>
        <w:tabs>
          <w:tab w:val="left" w:pos="6300"/>
        </w:tabs>
        <w:snapToGrid w:val="0"/>
        <w:spacing w:line="500" w:lineRule="exact"/>
        <w:jc w:val="both"/>
        <w:rPr>
          <w:rFonts w:hint="eastAsia" w:ascii="方正仿宋_GBK" w:hAnsi="宋体" w:eastAsia="方正仿宋_GBK"/>
          <w:color w:val="000000" w:themeColor="text1"/>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              </w:t>
      </w:r>
    </w:p>
    <w:p w14:paraId="3B068159">
      <w:pPr>
        <w:rPr>
          <w:color w:val="000000" w:themeColor="text1"/>
          <w14:textFill>
            <w14:solidFill>
              <w14:schemeClr w14:val="tx1"/>
            </w14:solidFill>
          </w14:textFill>
        </w:rPr>
      </w:pPr>
    </w:p>
    <w:sectPr>
      <w:footerReference r:id="rId10" w:type="default"/>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A99399-1B9A-44AA-86F8-0D1C7D6494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90D8D91-C3DA-4036-B769-B8940023B7CB}"/>
  </w:font>
  <w:font w:name="仿宋_GB2312">
    <w:altName w:val="仿宋"/>
    <w:panose1 w:val="02010609030101010101"/>
    <w:charset w:val="86"/>
    <w:family w:val="swiss"/>
    <w:pitch w:val="default"/>
    <w:sig w:usb0="00000000" w:usb1="00000000" w:usb2="00000000" w:usb3="00000000" w:csb0="00040000" w:csb1="00000000"/>
    <w:embedRegular r:id="rId3" w:fontKey="{77D05364-6D41-4DDE-ABC9-B4B00C89CCD5}"/>
  </w:font>
  <w:font w:name="仿宋">
    <w:panose1 w:val="02010609060101010101"/>
    <w:charset w:val="86"/>
    <w:family w:val="modern"/>
    <w:pitch w:val="default"/>
    <w:sig w:usb0="800002BF" w:usb1="38CF7CFA" w:usb2="00000016" w:usb3="00000000" w:csb0="00040001" w:csb1="00000000"/>
    <w:embedRegular r:id="rId4" w:fontKey="{B8EDCDF0-19F1-4B51-8388-C1B48403B74F}"/>
  </w:font>
  <w:font w:name="Arial Unicode MS">
    <w:panose1 w:val="020B0604020202020204"/>
    <w:charset w:val="86"/>
    <w:family w:val="swiss"/>
    <w:pitch w:val="default"/>
    <w:sig w:usb0="FFFFFFFF" w:usb1="E9FFFFFF" w:usb2="0000003F" w:usb3="00000000" w:csb0="603F01FF" w:csb1="FFFF0000"/>
    <w:embedRegular r:id="rId5" w:fontKey="{CE30A422-CE85-4944-B8A4-9432DC179005}"/>
  </w:font>
  <w:font w:name="方正仿宋_GBK">
    <w:panose1 w:val="02000000000000000000"/>
    <w:charset w:val="86"/>
    <w:family w:val="auto"/>
    <w:pitch w:val="default"/>
    <w:sig w:usb0="A00002BF" w:usb1="38CF7CFA" w:usb2="00082016" w:usb3="00000000" w:csb0="00040001" w:csb1="00000000"/>
    <w:embedRegular r:id="rId6" w:fontKey="{4201F55B-5164-40EC-8DA7-F1FADF0F294B}"/>
  </w:font>
  <w:font w:name="方正黑体_GBK">
    <w:panose1 w:val="03000509000000000000"/>
    <w:charset w:val="86"/>
    <w:family w:val="auto"/>
    <w:pitch w:val="default"/>
    <w:sig w:usb0="00000001" w:usb1="080E0000" w:usb2="00000000" w:usb3="00000000" w:csb0="00040000" w:csb1="00000000"/>
    <w:embedRegular r:id="rId7" w:fontKey="{50D44E22-2215-4BD9-B862-07C0D9E1C6BE}"/>
  </w:font>
  <w:font w:name="方正小标宋_GBK">
    <w:panose1 w:val="03000509000000000000"/>
    <w:charset w:val="86"/>
    <w:family w:val="script"/>
    <w:pitch w:val="default"/>
    <w:sig w:usb0="00000001" w:usb1="080E0000" w:usb2="00000000" w:usb3="00000000" w:csb0="00040000" w:csb1="00000000"/>
    <w:embedRegular r:id="rId8" w:fontKey="{04F7F7AF-CFF2-4F57-A6C4-F8814276EA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D86E5">
    <w:pPr>
      <w:pStyle w:val="8"/>
      <w:jc w:val="center"/>
      <w:rPr>
        <w:rFonts w:hint="eastAsia"/>
        <w:sz w:val="24"/>
      </w:rPr>
    </w:pPr>
    <w:r>
      <w:rPr>
        <w:sz w:val="24"/>
      </w:rPr>
      <w:fldChar w:fldCharType="begin"/>
    </w:r>
    <w:r>
      <w:rPr>
        <w:rStyle w:val="18"/>
        <w:sz w:val="24"/>
      </w:rPr>
      <w:instrText xml:space="preserve"> PAGE </w:instrText>
    </w:r>
    <w:r>
      <w:rPr>
        <w:sz w:val="24"/>
      </w:rPr>
      <w:fldChar w:fldCharType="separate"/>
    </w:r>
    <w:r>
      <w:rPr>
        <w:rStyle w:val="18"/>
        <w:sz w:val="24"/>
      </w:rPr>
      <w:t>5</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6BEC9">
    <w:pPr>
      <w:pStyle w:val="8"/>
      <w:framePr w:wrap="around" w:vAnchor="text" w:hAnchor="margin" w:xAlign="center" w:y="1"/>
      <w:rPr>
        <w:rStyle w:val="18"/>
      </w:rPr>
    </w:pPr>
    <w:r>
      <w:fldChar w:fldCharType="begin"/>
    </w:r>
    <w:r>
      <w:rPr>
        <w:rStyle w:val="18"/>
      </w:rPr>
      <w:instrText xml:space="preserve">PAGE  </w:instrText>
    </w:r>
    <w:r>
      <w:fldChar w:fldCharType="separate"/>
    </w:r>
    <w:r>
      <w:fldChar w:fldCharType="end"/>
    </w:r>
  </w:p>
  <w:p w14:paraId="373C02A8">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1743">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2D724">
    <w:pPr>
      <w:pStyle w:val="8"/>
      <w:jc w:val="center"/>
      <w:rPr>
        <w:sz w:val="24"/>
      </w:rPr>
    </w:pPr>
    <w:r>
      <w:rPr>
        <w:sz w:val="24"/>
      </w:rPr>
      <w:fldChar w:fldCharType="begin"/>
    </w:r>
    <w:r>
      <w:rPr>
        <w:rStyle w:val="18"/>
        <w:sz w:val="24"/>
      </w:rPr>
      <w:instrText xml:space="preserve"> PAGE </w:instrText>
    </w:r>
    <w:r>
      <w:rPr>
        <w:sz w:val="24"/>
      </w:rPr>
      <w:fldChar w:fldCharType="separate"/>
    </w:r>
    <w:r>
      <w:rPr>
        <w:rStyle w:val="18"/>
        <w:sz w:val="24"/>
      </w:rPr>
      <w:t>- 19 -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998B8">
    <w:pPr>
      <w:pStyle w:val="8"/>
      <w:jc w:val="center"/>
      <w:rPr>
        <w:sz w:val="24"/>
      </w:rPr>
    </w:pPr>
    <w:r>
      <w:rPr>
        <w:sz w:val="24"/>
      </w:rPr>
      <w:fldChar w:fldCharType="begin"/>
    </w:r>
    <w:r>
      <w:rPr>
        <w:rStyle w:val="18"/>
        <w:sz w:val="24"/>
      </w:rPr>
      <w:instrText xml:space="preserve"> PAGE </w:instrText>
    </w:r>
    <w:r>
      <w:rPr>
        <w:sz w:val="24"/>
      </w:rPr>
      <w:fldChar w:fldCharType="separate"/>
    </w:r>
    <w:r>
      <w:rPr>
        <w:rStyle w:val="18"/>
        <w:sz w:val="24"/>
      </w:rPr>
      <w:t>- 30 -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D3A19">
    <w:pPr>
      <w:pStyle w:val="9"/>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8696E">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7BFBE">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F55ED"/>
    <w:rsid w:val="05A20B35"/>
    <w:rsid w:val="116F44A8"/>
    <w:rsid w:val="2BE006A0"/>
    <w:rsid w:val="3DBA4867"/>
    <w:rsid w:val="46E62935"/>
    <w:rsid w:val="4A296A4B"/>
    <w:rsid w:val="4A9D2A5C"/>
    <w:rsid w:val="4AAF55ED"/>
    <w:rsid w:val="532D23B1"/>
    <w:rsid w:val="6B79306C"/>
    <w:rsid w:val="7A8B6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adjustRightInd w:val="0"/>
      <w:snapToGrid w:val="0"/>
      <w:spacing w:line="360" w:lineRule="auto"/>
      <w:jc w:val="left"/>
      <w:outlineLvl w:val="1"/>
    </w:pPr>
    <w:rPr>
      <w:rFonts w:ascii="宋体" w:hAnsi="宋体"/>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napToGrid w:val="0"/>
      <w:spacing w:line="360" w:lineRule="auto"/>
      <w:ind w:firstLine="420"/>
    </w:pPr>
    <w:rPr>
      <w:sz w:val="24"/>
    </w:rPr>
  </w:style>
  <w:style w:type="paragraph" w:styleId="4">
    <w:name w:val="annotation text"/>
    <w:basedOn w:val="1"/>
    <w:qFormat/>
    <w:uiPriority w:val="0"/>
    <w:pPr>
      <w:jc w:val="left"/>
    </w:pPr>
  </w:style>
  <w:style w:type="paragraph" w:styleId="5">
    <w:name w:val="Body Text"/>
    <w:basedOn w:val="1"/>
    <w:qFormat/>
    <w:uiPriority w:val="0"/>
    <w:rPr>
      <w:rFonts w:ascii="仿宋_GB2312" w:eastAsia="仿宋_GB2312"/>
      <w:kern w:val="2"/>
      <w:sz w:val="32"/>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pPr>
      <w:adjustRightInd w:val="0"/>
      <w:snapToGrid w:val="0"/>
      <w:spacing w:line="360" w:lineRule="auto"/>
    </w:pPr>
    <w:rPr>
      <w:rFonts w:ascii="宋体" w:hAnsi="Courier New"/>
      <w:sz w:val="21"/>
    </w:rPr>
  </w:style>
  <w:style w:type="paragraph" w:styleId="8">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10">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11">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12">
    <w:name w:val="HTML Preformatted"/>
    <w:basedOn w:val="1"/>
    <w:qFormat/>
    <w:uiPriority w:val="0"/>
    <w:rPr>
      <w:rFonts w:ascii="Courier New" w:hAnsi="Courier New"/>
      <w:sz w:val="20"/>
    </w:rPr>
  </w:style>
  <w:style w:type="paragraph" w:styleId="13">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14">
    <w:name w:val="Body Text First Indent"/>
    <w:basedOn w:val="5"/>
    <w:next w:val="1"/>
    <w:qFormat/>
    <w:uiPriority w:val="0"/>
    <w:pPr>
      <w:spacing w:line="360" w:lineRule="auto"/>
      <w:ind w:firstLine="420"/>
    </w:pPr>
    <w:rPr>
      <w:rFonts w:ascii="宋体" w:hAnsi="宋体"/>
      <w:sz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0"/>
  </w:style>
  <w:style w:type="paragraph" w:customStyle="1" w:styleId="1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0">
    <w:name w:val="_正文段落"/>
    <w:basedOn w:val="1"/>
    <w:qFormat/>
    <w:uiPriority w:val="0"/>
    <w:pPr>
      <w:spacing w:line="360" w:lineRule="auto"/>
    </w:pPr>
    <w:rPr>
      <w:rFonts w:eastAsia="仿宋_GB2312"/>
      <w:sz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8121</Words>
  <Characters>8305</Characters>
  <Lines>0</Lines>
  <Paragraphs>0</Paragraphs>
  <TotalTime>3</TotalTime>
  <ScaleCrop>false</ScaleCrop>
  <LinksUpToDate>false</LinksUpToDate>
  <CharactersWithSpaces>8787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2025-04-21T08:32:00Z</dcterms:created>
  <dc:creator>瑞秀中国</dc:creator>
  <cp:lastModifiedBy>刘仪</cp:lastModifiedBy>
  <dcterms:modified xsi:type="dcterms:W3CDTF">2025-08-09T14:22:27Z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A554F70C535C44749E2CB47775183887_11</vt:lpwstr>
  </property>
  <property fmtid="{D5CDD505-2E9C-101B-9397-08002B2CF9AE}" pid="4" name="KSOTemplateDocerSaveRecord">
    <vt:lpwstr>eyJoZGlkIjoiYzQ0YzBlM2VlZWE4YTQzYzM5ZmU0ODk4Y2JhZDg0MzQiLCJ1c2VySWQiOiIyNTYxNDY4MTYifQ==</vt:lpwstr>
  </property>
</Properties>
</file>