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FD6B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江南院区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感染与肝病中心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楼顶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发光字更换采购</w:t>
      </w:r>
      <w:r>
        <w:rPr>
          <w:rFonts w:hint="eastAsia" w:ascii="仿宋" w:hAnsi="仿宋" w:eastAsia="仿宋"/>
          <w:b/>
          <w:sz w:val="32"/>
          <w:szCs w:val="32"/>
        </w:rPr>
        <w:t>阳光推介文件</w:t>
      </w:r>
    </w:p>
    <w:tbl>
      <w:tblPr>
        <w:tblStyle w:val="11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63"/>
        <w:gridCol w:w="7130"/>
      </w:tblGrid>
      <w:tr w14:paraId="24D9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 w14:paraId="0493E192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项号</w:t>
            </w:r>
          </w:p>
        </w:tc>
        <w:tc>
          <w:tcPr>
            <w:tcW w:w="1663" w:type="dxa"/>
            <w:vAlign w:val="center"/>
          </w:tcPr>
          <w:p w14:paraId="07DF25BC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内容</w:t>
            </w:r>
          </w:p>
        </w:tc>
        <w:tc>
          <w:tcPr>
            <w:tcW w:w="7130" w:type="dxa"/>
            <w:vAlign w:val="center"/>
          </w:tcPr>
          <w:p w14:paraId="1FC1DB44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说明与要求</w:t>
            </w:r>
          </w:p>
        </w:tc>
      </w:tr>
      <w:tr w14:paraId="5F91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079CBAEC">
            <w:pPr>
              <w:pStyle w:val="4"/>
              <w:spacing w:line="36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</w:p>
        </w:tc>
        <w:tc>
          <w:tcPr>
            <w:tcW w:w="1663" w:type="dxa"/>
            <w:vAlign w:val="center"/>
          </w:tcPr>
          <w:p w14:paraId="13F76099">
            <w:pPr>
              <w:pStyle w:val="4"/>
              <w:spacing w:line="36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kern w:val="0"/>
                <w:szCs w:val="24"/>
              </w:rPr>
              <w:t>项目名称</w:t>
            </w:r>
          </w:p>
        </w:tc>
        <w:tc>
          <w:tcPr>
            <w:tcW w:w="7130" w:type="dxa"/>
            <w:vAlign w:val="center"/>
          </w:tcPr>
          <w:p w14:paraId="0B7F872F">
            <w:pPr>
              <w:snapToGrid w:val="0"/>
              <w:ind w:right="-2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江南院区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感染与肝病中心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楼顶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发光字更换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采购阳光推介</w:t>
            </w:r>
          </w:p>
        </w:tc>
      </w:tr>
      <w:tr w14:paraId="53CA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55" w:type="dxa"/>
            <w:vAlign w:val="center"/>
          </w:tcPr>
          <w:p w14:paraId="6D1B6207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</w:t>
            </w:r>
          </w:p>
        </w:tc>
        <w:tc>
          <w:tcPr>
            <w:tcW w:w="1663" w:type="dxa"/>
            <w:vAlign w:val="center"/>
          </w:tcPr>
          <w:p w14:paraId="30251996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项目概况</w:t>
            </w:r>
          </w:p>
        </w:tc>
        <w:tc>
          <w:tcPr>
            <w:tcW w:w="7130" w:type="dxa"/>
            <w:vAlign w:val="center"/>
          </w:tcPr>
          <w:p w14:paraId="7F188788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1.项目地点：</w:t>
            </w:r>
            <w:r>
              <w:rPr>
                <w:rFonts w:hint="eastAsia" w:ascii="仿宋" w:hAnsi="仿宋" w:eastAsia="仿宋" w:cstheme="minorBidi"/>
                <w:szCs w:val="24"/>
                <w:lang w:eastAsia="zh-CN"/>
              </w:rPr>
              <w:t>江南</w:t>
            </w:r>
            <w:r>
              <w:rPr>
                <w:rFonts w:hint="eastAsia" w:ascii="仿宋" w:hAnsi="仿宋" w:eastAsia="仿宋" w:cstheme="minorBidi"/>
                <w:szCs w:val="24"/>
              </w:rPr>
              <w:t>院区</w:t>
            </w:r>
          </w:p>
          <w:p w14:paraId="6E0A9305">
            <w:pPr>
              <w:pStyle w:val="19"/>
              <w:spacing w:line="360" w:lineRule="auto"/>
              <w:ind w:firstLine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2.采购内容：</w:t>
            </w:r>
          </w:p>
          <w:p w14:paraId="575B6956">
            <w:pPr>
              <w:pStyle w:val="19"/>
              <w:spacing w:line="360" w:lineRule="auto"/>
              <w:ind w:firstLine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对江南院区感染与肝病中心楼顶的户外立架式穿孔发光字（文字内容为“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 xml:space="preserve">文：重庆医科大学病毒性肝炎研究所 英文：INSTITUTE FOR VIRAL HEPATITIS,CHONGQING MEDICAL UNIVERSITY </w:t>
            </w:r>
            <w:r>
              <w:rPr>
                <w:rFonts w:hint="eastAsia" w:hAnsi="宋体"/>
                <w:kern w:val="0"/>
                <w:sz w:val="24"/>
                <w:szCs w:val="20"/>
                <w:lang w:eastAsia="zh-CN"/>
              </w:rPr>
              <w:t>）”，</w:t>
            </w:r>
            <w:r>
              <w:rPr>
                <w:rFonts w:hint="eastAsia" w:ascii="仿宋" w:hAnsi="仿宋" w:eastAsia="仿宋" w:cstheme="minorBidi"/>
                <w:szCs w:val="24"/>
              </w:rPr>
              <w:t>具体尺寸详见附件1</w:t>
            </w:r>
            <w:r>
              <w:rPr>
                <w:rFonts w:hint="eastAsia" w:ascii="仿宋" w:hAnsi="仿宋" w:eastAsia="仿宋" w:cstheme="minorBidi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theme="minorBidi"/>
                <w:szCs w:val="24"/>
              </w:rPr>
              <w:t>进行相关设施更换，保留原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金属字体和</w:t>
            </w:r>
            <w:r>
              <w:rPr>
                <w:rFonts w:hint="eastAsia" w:ascii="仿宋" w:hAnsi="仿宋" w:eastAsia="仿宋" w:cstheme="minorBidi"/>
                <w:szCs w:val="24"/>
              </w:rPr>
              <w:t>钢架结构。具体工作内容如下：</w:t>
            </w:r>
          </w:p>
          <w:p w14:paraId="4BFF32B0">
            <w:pPr>
              <w:pStyle w:val="19"/>
              <w:spacing w:line="360" w:lineRule="auto"/>
              <w:ind w:firstLine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2.1</w:t>
            </w:r>
            <w:r>
              <w:rPr>
                <w:rFonts w:hint="eastAsia" w:ascii="仿宋" w:hAnsi="仿宋" w:eastAsia="仿宋" w:cstheme="minorBidi"/>
                <w:szCs w:val="24"/>
              </w:rPr>
              <w:t>拆除现有旧主电缆、旧辅线、旧灯珠、旧电源</w:t>
            </w:r>
            <w:r>
              <w:rPr>
                <w:rFonts w:hint="eastAsia" w:ascii="仿宋" w:hAnsi="仿宋" w:eastAsia="仿宋" w:cstheme="minorBidi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theme="minorBidi"/>
                <w:szCs w:val="24"/>
              </w:rPr>
              <w:t>旧配电箱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及时空开关等</w:t>
            </w:r>
            <w:r>
              <w:rPr>
                <w:rFonts w:hint="eastAsia" w:ascii="仿宋" w:hAnsi="仿宋" w:eastAsia="仿宋" w:cstheme="minorBidi"/>
                <w:szCs w:val="24"/>
              </w:rPr>
              <w:t>；</w:t>
            </w:r>
          </w:p>
          <w:p w14:paraId="2E9C9BD4">
            <w:pPr>
              <w:pStyle w:val="19"/>
              <w:spacing w:line="360" w:lineRule="auto"/>
              <w:ind w:firstLine="0"/>
              <w:rPr>
                <w:rFonts w:hint="eastAsia" w:ascii="仿宋" w:hAnsi="仿宋" w:eastAsia="仿宋" w:cstheme="minorBidi"/>
                <w:color w:val="auto"/>
                <w:szCs w:val="24"/>
              </w:rPr>
            </w:pPr>
            <w:r>
              <w:rPr>
                <w:rFonts w:hint="eastAsia" w:ascii="仿宋" w:hAnsi="仿宋" w:eastAsia="仿宋" w:cstheme="minorBidi"/>
                <w:color w:val="auto"/>
                <w:szCs w:val="24"/>
              </w:rPr>
              <w:t>2.</w:t>
            </w:r>
            <w:r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theme="minorBidi"/>
                <w:color w:val="auto"/>
                <w:szCs w:val="24"/>
              </w:rPr>
              <w:t>更换上述拆除部件，</w:t>
            </w:r>
            <w:r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  <w:t>更换后的</w:t>
            </w:r>
            <w:r>
              <w:rPr>
                <w:rFonts w:hint="eastAsia"/>
                <w:color w:val="auto"/>
                <w:sz w:val="24"/>
                <w:szCs w:val="18"/>
              </w:rPr>
              <w:t>发光字系统应具有</w:t>
            </w:r>
            <w:r>
              <w:rPr>
                <w:rFonts w:hint="eastAsia"/>
                <w:color w:val="auto"/>
                <w:sz w:val="24"/>
                <w:szCs w:val="18"/>
                <w:lang w:val="en-US" w:eastAsia="zh-CN"/>
              </w:rPr>
              <w:t>发光均匀、</w:t>
            </w:r>
            <w:r>
              <w:rPr>
                <w:rFonts w:hint="eastAsia"/>
                <w:color w:val="auto"/>
                <w:sz w:val="24"/>
                <w:szCs w:val="18"/>
              </w:rPr>
              <w:t>高亮度、防水防尘等特性</w:t>
            </w:r>
            <w:r>
              <w:rPr>
                <w:rFonts w:hint="eastAsia" w:ascii="仿宋" w:hAnsi="仿宋" w:eastAsia="仿宋" w:cstheme="minorBidi"/>
                <w:color w:val="auto"/>
                <w:szCs w:val="24"/>
              </w:rPr>
              <w:t>；</w:t>
            </w:r>
          </w:p>
          <w:p w14:paraId="448C82A3">
            <w:pPr>
              <w:pStyle w:val="19"/>
              <w:spacing w:line="360" w:lineRule="auto"/>
              <w:ind w:firstLine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2.3</w:t>
            </w:r>
            <w:r>
              <w:rPr>
                <w:rFonts w:hint="eastAsia" w:ascii="仿宋" w:hAnsi="仿宋" w:eastAsia="仿宋" w:cstheme="minorBidi"/>
                <w:szCs w:val="24"/>
              </w:rPr>
              <w:t>完成新部件的安装、连接及调试，保证整套发光字系统正常运行，符合户外使用的安全及性能要求。</w:t>
            </w:r>
          </w:p>
          <w:p w14:paraId="1A3574DD">
            <w:pPr>
              <w:spacing w:line="276" w:lineRule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3.质保期：自本项目验收合格之日起计算，3年。</w:t>
            </w:r>
          </w:p>
          <w:p w14:paraId="52125994">
            <w:pPr>
              <w:pStyle w:val="19"/>
              <w:spacing w:line="360" w:lineRule="auto"/>
              <w:ind w:firstLine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4.供货安装期（接到采购人通知之日起算）：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不高于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个日历日。</w:t>
            </w:r>
          </w:p>
        </w:tc>
      </w:tr>
      <w:tr w14:paraId="6E2B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55" w:type="dxa"/>
            <w:vAlign w:val="center"/>
          </w:tcPr>
          <w:p w14:paraId="429E4567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</w:t>
            </w:r>
          </w:p>
        </w:tc>
        <w:tc>
          <w:tcPr>
            <w:tcW w:w="1663" w:type="dxa"/>
            <w:vAlign w:val="center"/>
          </w:tcPr>
          <w:p w14:paraId="75EE6D5F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推介内容   </w:t>
            </w:r>
          </w:p>
        </w:tc>
        <w:tc>
          <w:tcPr>
            <w:tcW w:w="7130" w:type="dxa"/>
            <w:vAlign w:val="center"/>
          </w:tcPr>
          <w:p w14:paraId="30C3F109">
            <w:pPr>
              <w:pStyle w:val="19"/>
              <w:tabs>
                <w:tab w:val="left" w:pos="413"/>
                <w:tab w:val="clear" w:pos="900"/>
              </w:tabs>
              <w:spacing w:line="360" w:lineRule="auto"/>
              <w:ind w:firstLine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 xml:space="preserve">1.产品要求：必须符合国家有关规范和设计要求，具体见《技术要求》。 </w:t>
            </w:r>
          </w:p>
          <w:p w14:paraId="18FB1BEB">
            <w:pPr>
              <w:pStyle w:val="19"/>
              <w:tabs>
                <w:tab w:val="left" w:pos="413"/>
                <w:tab w:val="clear" w:pos="900"/>
              </w:tabs>
              <w:spacing w:line="360" w:lineRule="auto"/>
              <w:ind w:firstLine="0"/>
              <w:rPr>
                <w:rFonts w:hint="default" w:ascii="仿宋" w:hAnsi="仿宋" w:eastAsia="仿宋" w:cstheme="minorBidi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2.制定方案：参与人须根据现场的实际情况，制定安全的拆除方案和旧灯珠、电源等相关设施的更换方案。</w:t>
            </w:r>
          </w:p>
          <w:p w14:paraId="2E3F2298">
            <w:pPr>
              <w:pStyle w:val="19"/>
              <w:tabs>
                <w:tab w:val="left" w:pos="413"/>
                <w:tab w:val="clear" w:pos="900"/>
              </w:tabs>
              <w:spacing w:line="360" w:lineRule="auto"/>
              <w:ind w:firstLine="0"/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  <w:t>3.售后服务：</w:t>
            </w:r>
          </w:p>
          <w:p w14:paraId="72760799">
            <w:pPr>
              <w:pStyle w:val="19"/>
              <w:tabs>
                <w:tab w:val="left" w:pos="413"/>
                <w:tab w:val="clear" w:pos="900"/>
              </w:tabs>
              <w:spacing w:line="360" w:lineRule="auto"/>
              <w:ind w:firstLine="0"/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  <w:t>3.1巡检维护：质保期内，每月指派有相应资质人员对发光字牌、金属结构架及其电控系统等进行细致全面地监视、检查、隐患报告，有故障及时处理；每年进行1次钢架和焊点防锈漆涂刷。</w:t>
            </w:r>
          </w:p>
          <w:p w14:paraId="3958DCC9">
            <w:pPr>
              <w:pStyle w:val="19"/>
              <w:tabs>
                <w:tab w:val="left" w:pos="413"/>
                <w:tab w:val="clear" w:pos="900"/>
              </w:tabs>
              <w:spacing w:line="360" w:lineRule="auto"/>
              <w:ind w:firstLine="0"/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  <w:t xml:space="preserve">3.2故障响应：遇到发光字运行不正常、金属结构架出现开焊等问题，提供24小时的故障响应服务，12小时内到场进行检修，24小时内完成故障修复，并出具现场服务报告；无法在24小时内解决的，向采购人做书面说明，并提供备用产品；紧急情况，1小时内响应到底现场。 </w:t>
            </w:r>
          </w:p>
          <w:p w14:paraId="4DF28614">
            <w:pPr>
              <w:pStyle w:val="19"/>
              <w:tabs>
                <w:tab w:val="left" w:pos="413"/>
                <w:tab w:val="clear" w:pos="900"/>
              </w:tabs>
              <w:spacing w:line="360" w:lineRule="auto"/>
              <w:ind w:firstLine="0"/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  <w:t>3.3备品备件及易损件：须备足常用易损配件，包含但不限于电源、灯珠等。售后服务中，维修使用的备品备件及易损件应为原厂配件，未经采购人同意不得使用非原厂配件。</w:t>
            </w:r>
          </w:p>
          <w:p w14:paraId="0F72E349">
            <w:pPr>
              <w:pStyle w:val="19"/>
              <w:tabs>
                <w:tab w:val="left" w:pos="413"/>
                <w:tab w:val="clear" w:pos="900"/>
              </w:tabs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  <w:t>以上为基本要求，参与人可根据自身实力提出更高承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诺。</w:t>
            </w:r>
          </w:p>
        </w:tc>
      </w:tr>
      <w:tr w14:paraId="2367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752A44C2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4</w:t>
            </w:r>
          </w:p>
        </w:tc>
        <w:tc>
          <w:tcPr>
            <w:tcW w:w="1663" w:type="dxa"/>
            <w:vAlign w:val="center"/>
          </w:tcPr>
          <w:p w14:paraId="1D00D75F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质量要求</w:t>
            </w:r>
          </w:p>
        </w:tc>
        <w:tc>
          <w:tcPr>
            <w:tcW w:w="7130" w:type="dxa"/>
            <w:vAlign w:val="center"/>
          </w:tcPr>
          <w:p w14:paraId="529A0DDD">
            <w:pPr>
              <w:pStyle w:val="19"/>
              <w:spacing w:line="360" w:lineRule="auto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质量必须符合国家和行业规范要求。</w:t>
            </w:r>
          </w:p>
        </w:tc>
      </w:tr>
      <w:tr w14:paraId="11A8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Align w:val="center"/>
          </w:tcPr>
          <w:p w14:paraId="42021322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5</w:t>
            </w:r>
          </w:p>
        </w:tc>
        <w:tc>
          <w:tcPr>
            <w:tcW w:w="1663" w:type="dxa"/>
            <w:vAlign w:val="center"/>
          </w:tcPr>
          <w:p w14:paraId="7AFB22F3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参与方条件</w:t>
            </w:r>
          </w:p>
        </w:tc>
        <w:tc>
          <w:tcPr>
            <w:tcW w:w="7130" w:type="dxa"/>
            <w:vAlign w:val="center"/>
          </w:tcPr>
          <w:p w14:paraId="11D7A16A">
            <w:pPr>
              <w:pStyle w:val="19"/>
              <w:spacing w:line="360" w:lineRule="auto"/>
              <w:ind w:firstLine="0"/>
              <w:rPr>
                <w:rFonts w:ascii="仿宋" w:hAnsi="仿宋" w:eastAsia="仿宋" w:cs="宋体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（一）基本资格条件</w:t>
            </w:r>
          </w:p>
          <w:p w14:paraId="69B79EB0">
            <w:pPr>
              <w:pStyle w:val="19"/>
              <w:spacing w:line="360" w:lineRule="auto"/>
              <w:ind w:firstLine="0"/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1.参与人为中华人民共和国境内依法注册、具有独立法人资格。具备在有效期内的税务登记证、组织机构代码证。【提供税务登记证、组织机构代码证或“三证合一”的营业执照复印件并加盖鲜章</w:t>
            </w:r>
            <w:r>
              <w:rPr>
                <w:rFonts w:ascii="仿宋" w:hAnsi="仿宋" w:eastAsia="仿宋" w:cstheme="minorBidi"/>
                <w:szCs w:val="24"/>
              </w:rPr>
              <w:t>】。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经营范围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：广告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设计、制作、代理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5FAEF09"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（二）特定资格条件：</w:t>
            </w:r>
          </w:p>
          <w:p w14:paraId="11DA0530">
            <w:pPr>
              <w:pStyle w:val="19"/>
              <w:spacing w:line="360" w:lineRule="auto"/>
              <w:ind w:firstLine="0"/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theme="minorBidi"/>
                <w:szCs w:val="24"/>
              </w:rPr>
              <w:t>参与人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须具有建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设行政主管部门颁发的</w:t>
            </w:r>
            <w:r>
              <w:rPr>
                <w:rFonts w:hint="eastAsia" w:ascii="宋体"/>
                <w:color w:val="auto"/>
                <w:kern w:val="0"/>
                <w:szCs w:val="21"/>
                <w:lang w:eastAsia="zh-CN"/>
              </w:rPr>
              <w:t>市政公用工程总承包贰级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及以上资质或者城市及道路照明工程专业承包贰级及以上资质。</w:t>
            </w:r>
          </w:p>
          <w:p w14:paraId="2422B4EA">
            <w:pPr>
              <w:pStyle w:val="19"/>
              <w:spacing w:line="360" w:lineRule="auto"/>
              <w:ind w:firstLine="0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theme="minorBidi"/>
                <w:szCs w:val="24"/>
              </w:rPr>
              <w:t>参与人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建设行政主管部门颁发的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《安全生产许可证》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，且在有效期内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8AD2CAD">
            <w:pPr>
              <w:pStyle w:val="19"/>
              <w:spacing w:line="360" w:lineRule="auto"/>
              <w:ind w:firstLine="0"/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该项目需配备具备相关资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质的项目经理、技术负责人、专职安全生产管理人员等岗位人员，上述</w:t>
            </w:r>
            <w:bookmarkStart w:id="0" w:name="_GoBack"/>
            <w:bookmarkEnd w:id="0"/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人员必须为参与人本单位正式员工，且需具备建设行政主管部门颁发的《安全生产考核合格证书》，并提供近三个月的社保缴纳记录；</w:t>
            </w:r>
          </w:p>
          <w:p w14:paraId="6DBD3B8B">
            <w:pPr>
              <w:pStyle w:val="19"/>
              <w:spacing w:line="360" w:lineRule="auto"/>
              <w:ind w:firstLine="0"/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4.因本项目涉及超高空作业，为严格保障施工安全，项目团队中须满足以下人员资质要求：</w:t>
            </w:r>
          </w:p>
          <w:p w14:paraId="28022000">
            <w:pPr>
              <w:pStyle w:val="19"/>
              <w:spacing w:line="360" w:lineRule="auto"/>
              <w:ind w:firstLine="0"/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4.1至少2人同时持有中华人民共和国应急管理部（原国家安全生产监督管理总局）颁发的低压电工证及高空作业证；</w:t>
            </w:r>
          </w:p>
          <w:p w14:paraId="43D4136B">
            <w:pPr>
              <w:pStyle w:val="19"/>
              <w:spacing w:line="360" w:lineRule="auto"/>
              <w:ind w:firstLine="0"/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4.2至少1人同时持有中华人民共和国应急管理部（原国家安全生产监督管理总局）颁发的高空作业证及焊接与热切割作业证；</w:t>
            </w:r>
          </w:p>
          <w:p w14:paraId="1FEB4BD8">
            <w:pPr>
              <w:pStyle w:val="19"/>
              <w:spacing w:line="360" w:lineRule="auto"/>
              <w:ind w:firstLine="0"/>
              <w:rPr>
                <w:rFonts w:hint="eastAsia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上述人员必须为参与人本单位正式员工，且都需具备建设行政主管部门颁发的《安全生产考核合格证书》，并提供近三个月的社保缴纳记录。</w:t>
            </w:r>
          </w:p>
          <w:p w14:paraId="419CBE28">
            <w:pPr>
              <w:pStyle w:val="19"/>
              <w:numPr>
                <w:ilvl w:val="0"/>
                <w:numId w:val="0"/>
              </w:numPr>
              <w:spacing w:line="360" w:lineRule="auto"/>
              <w:ind w:firstLine="0" w:firstLineChars="0"/>
              <w:rPr>
                <w:rFonts w:hint="eastAsia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auto"/>
                <w:kern w:val="0"/>
                <w:sz w:val="24"/>
                <w:szCs w:val="20"/>
                <w:shd w:val="clear" w:fill="FFFFFF"/>
                <w:lang w:val="en-US" w:eastAsia="zh-CN" w:bidi="ar-SA"/>
              </w:rPr>
              <w:t>5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szCs w:val="20"/>
                <w:shd w:val="clear" w:fill="FFFFFF"/>
                <w:lang w:val="en-US" w:eastAsia="zh-CN" w:bidi="ar-SA"/>
              </w:rPr>
              <w:t>.</w:t>
            </w:r>
            <w:r>
              <w:rPr>
                <w:rFonts w:hint="eastAsia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业绩：</w:t>
            </w:r>
          </w:p>
          <w:p w14:paraId="15903824">
            <w:pPr>
              <w:pStyle w:val="19"/>
              <w:numPr>
                <w:ilvl w:val="0"/>
                <w:numId w:val="0"/>
              </w:numPr>
              <w:spacing w:line="360" w:lineRule="auto"/>
              <w:rPr>
                <w:rFonts w:hint="default" w:ascii="宋体" w:cs="宋体"/>
                <w:bCs/>
                <w:color w:val="FF000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2022年1月至竞选截止日止（以合同签订时间为准），具有</w:t>
            </w:r>
            <w:r>
              <w:rPr>
                <w:rFonts w:hint="eastAsia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个10万元及以上的</w:t>
            </w:r>
            <w:r>
              <w:rPr>
                <w:rFonts w:hint="eastAsia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灯珠拆除及更换类似</w:t>
            </w:r>
            <w:r>
              <w:rPr>
                <w:rFonts w:hint="default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业绩</w:t>
            </w:r>
            <w:r>
              <w:rPr>
                <w:rFonts w:hint="eastAsia" w:ascii="宋体" w:cs="宋体"/>
                <w:bCs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。</w:t>
            </w:r>
          </w:p>
        </w:tc>
      </w:tr>
      <w:tr w14:paraId="65D0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 w14:paraId="2C582138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6</w:t>
            </w:r>
          </w:p>
        </w:tc>
        <w:tc>
          <w:tcPr>
            <w:tcW w:w="1663" w:type="dxa"/>
            <w:vAlign w:val="center"/>
          </w:tcPr>
          <w:p w14:paraId="1962841B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推介时间和地点</w:t>
            </w:r>
          </w:p>
        </w:tc>
        <w:tc>
          <w:tcPr>
            <w:tcW w:w="7130" w:type="dxa"/>
            <w:vAlign w:val="center"/>
          </w:tcPr>
          <w:p w14:paraId="7EC8E124">
            <w:pPr>
              <w:pStyle w:val="19"/>
              <w:spacing w:line="360" w:lineRule="auto"/>
              <w:ind w:firstLine="0"/>
              <w:rPr>
                <w:rFonts w:hint="default" w:ascii="仿宋" w:hAnsi="仿宋" w:eastAsia="仿宋" w:cstheme="minorBidi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时间：202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theme="minorBidi"/>
                <w:szCs w:val="24"/>
              </w:rPr>
              <w:t>年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theme="minorBidi"/>
                <w:szCs w:val="24"/>
              </w:rPr>
              <w:t xml:space="preserve"> </w:t>
            </w:r>
            <w:r>
              <w:rPr>
                <w:rFonts w:hint="eastAsia" w:ascii="仿宋" w:hAnsi="仿宋" w:eastAsia="仿宋" w:cstheme="minorBidi"/>
                <w:szCs w:val="24"/>
              </w:rPr>
              <w:t>月</w:t>
            </w:r>
            <w:r>
              <w:rPr>
                <w:rFonts w:ascii="仿宋" w:hAnsi="仿宋" w:eastAsia="仿宋" w:cstheme="minorBidi"/>
                <w:szCs w:val="24"/>
              </w:rPr>
              <w:t xml:space="preserve"> 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theme="minorBidi"/>
                <w:szCs w:val="24"/>
              </w:rPr>
              <w:t xml:space="preserve">日 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上午9:00</w:t>
            </w:r>
          </w:p>
          <w:p w14:paraId="274AAFCA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地点</w:t>
            </w:r>
            <w:r>
              <w:rPr>
                <w:rFonts w:hint="eastAsia" w:ascii="仿宋" w:hAnsi="仿宋" w:eastAsia="仿宋" w:cstheme="minorBidi"/>
                <w:szCs w:val="24"/>
              </w:rPr>
              <w:t>：南岸区天文大道288号重医附二院江南院区科教楼后勤处办公室（120室）</w:t>
            </w:r>
          </w:p>
        </w:tc>
      </w:tr>
      <w:tr w14:paraId="13C9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55" w:type="dxa"/>
            <w:vAlign w:val="center"/>
          </w:tcPr>
          <w:p w14:paraId="05EA71A4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7</w:t>
            </w:r>
          </w:p>
        </w:tc>
        <w:tc>
          <w:tcPr>
            <w:tcW w:w="1663" w:type="dxa"/>
            <w:vAlign w:val="center"/>
          </w:tcPr>
          <w:p w14:paraId="6CD06F43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报价方式</w:t>
            </w:r>
          </w:p>
        </w:tc>
        <w:tc>
          <w:tcPr>
            <w:tcW w:w="7130" w:type="dxa"/>
            <w:vAlign w:val="center"/>
          </w:tcPr>
          <w:p w14:paraId="2A312EA9">
            <w:pPr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1.本项目报价采用总价包干，包含但不限于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设计/测量、生产制造、运输（含包装、运输和装卸）、产品安装、仓储费、成品和半成品保护、各种税费、附件、备品备件、专用工具、技术资料、技术服务及培训、风险费、赶工费、验收、安装及调试、免费质保期内的所有费用。</w:t>
            </w:r>
          </w:p>
        </w:tc>
      </w:tr>
      <w:tr w14:paraId="3A67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5" w:type="dxa"/>
            <w:vAlign w:val="center"/>
          </w:tcPr>
          <w:p w14:paraId="01B3E91E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8</w:t>
            </w:r>
          </w:p>
        </w:tc>
        <w:tc>
          <w:tcPr>
            <w:tcW w:w="1663" w:type="dxa"/>
            <w:vAlign w:val="center"/>
          </w:tcPr>
          <w:p w14:paraId="3DB56C09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报名方式及</w:t>
            </w:r>
          </w:p>
          <w:p w14:paraId="10742A3B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截止时间</w:t>
            </w:r>
          </w:p>
        </w:tc>
        <w:tc>
          <w:tcPr>
            <w:tcW w:w="7130" w:type="dxa"/>
            <w:vAlign w:val="center"/>
          </w:tcPr>
          <w:p w14:paraId="15344240"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邮件报名：</w:t>
            </w:r>
            <w: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yellow"/>
              </w:rPr>
              <w:t>cyfeyzwk@163.com</w:t>
            </w:r>
          </w:p>
          <w:p w14:paraId="510595FE"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江南院区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感染与肝病中心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楼顶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发光字更换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采购阳光推介+单位名称+联系人+联系电话</w:t>
            </w:r>
          </w:p>
          <w:p w14:paraId="7A5A3E67"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提供“三证合一”的营业执照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+资质证书+安全生产许可证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复印件加盖鲜章扫描件</w:t>
            </w:r>
          </w:p>
          <w:p w14:paraId="090C6973"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报名截止时间：202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日下午14:00</w:t>
            </w:r>
          </w:p>
        </w:tc>
      </w:tr>
      <w:tr w14:paraId="6238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" w:type="dxa"/>
            <w:vAlign w:val="center"/>
          </w:tcPr>
          <w:p w14:paraId="4701D8F5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</w:t>
            </w:r>
          </w:p>
        </w:tc>
        <w:tc>
          <w:tcPr>
            <w:tcW w:w="1663" w:type="dxa"/>
            <w:vAlign w:val="center"/>
          </w:tcPr>
          <w:p w14:paraId="6714FEEE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现场勘察时间</w:t>
            </w:r>
          </w:p>
        </w:tc>
        <w:tc>
          <w:tcPr>
            <w:tcW w:w="7130" w:type="dxa"/>
            <w:vAlign w:val="center"/>
          </w:tcPr>
          <w:p w14:paraId="2C74F29A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请在工作日8：00-11:30,14:00-17：00联系</w:t>
            </w:r>
          </w:p>
        </w:tc>
      </w:tr>
      <w:tr w14:paraId="711E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" w:type="dxa"/>
            <w:vAlign w:val="center"/>
          </w:tcPr>
          <w:p w14:paraId="59C38DC3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10</w:t>
            </w:r>
          </w:p>
        </w:tc>
        <w:tc>
          <w:tcPr>
            <w:tcW w:w="1663" w:type="dxa"/>
            <w:vAlign w:val="center"/>
          </w:tcPr>
          <w:p w14:paraId="11948097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付款方式</w:t>
            </w:r>
          </w:p>
        </w:tc>
        <w:tc>
          <w:tcPr>
            <w:tcW w:w="7130" w:type="dxa"/>
            <w:vAlign w:val="center"/>
          </w:tcPr>
          <w:p w14:paraId="5D9351D5">
            <w:pPr>
              <w:pStyle w:val="19"/>
              <w:spacing w:line="360" w:lineRule="auto"/>
              <w:ind w:firstLine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 xml:space="preserve">1.货到后提交送货单、到场验收单等并安装完成，双方进行正式验收，验收合格且采购人收到质量保证金后，60个日历日内支付该批次货款的100%。 </w:t>
            </w:r>
          </w:p>
          <w:p w14:paraId="3A3A1C4B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2.质保金：中选价格的3%作为质保金，产品验收合格之次日起质保期满后，采购人无息退还质保金。</w:t>
            </w:r>
          </w:p>
        </w:tc>
      </w:tr>
      <w:tr w14:paraId="0D73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336EF82D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11</w:t>
            </w:r>
          </w:p>
        </w:tc>
        <w:tc>
          <w:tcPr>
            <w:tcW w:w="1663" w:type="dxa"/>
            <w:vAlign w:val="center"/>
          </w:tcPr>
          <w:p w14:paraId="6F3ABDB6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推介文件组成及文件格式</w:t>
            </w:r>
          </w:p>
        </w:tc>
        <w:tc>
          <w:tcPr>
            <w:tcW w:w="7130" w:type="dxa"/>
            <w:vAlign w:val="center"/>
          </w:tcPr>
          <w:p w14:paraId="35B43CA4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b/>
                <w:szCs w:val="24"/>
              </w:rPr>
            </w:pPr>
            <w:r>
              <w:rPr>
                <w:rFonts w:hint="eastAsia" w:ascii="仿宋" w:hAnsi="仿宋" w:eastAsia="仿宋" w:cstheme="minorBidi"/>
                <w:b/>
                <w:szCs w:val="24"/>
              </w:rPr>
              <w:t>文件组成：</w:t>
            </w:r>
          </w:p>
          <w:p w14:paraId="6554CE8D">
            <w:pPr>
              <w:pStyle w:val="19"/>
              <w:numPr>
                <w:ilvl w:val="0"/>
                <w:numId w:val="0"/>
              </w:numPr>
              <w:spacing w:line="360" w:lineRule="auto"/>
              <w:ind w:firstLine="0" w:firstLineChars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theme="minorBidi"/>
                <w:szCs w:val="24"/>
              </w:rPr>
              <w:t>企业营业执照【提供复印件需加盖公章（原件备查）】</w:t>
            </w:r>
          </w:p>
          <w:p w14:paraId="5752D0B6">
            <w:pPr>
              <w:pStyle w:val="19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theme="minorBidi"/>
                <w:color w:val="auto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2.资质证书、安全生产许</w:t>
            </w:r>
            <w:r>
              <w:rPr>
                <w:rFonts w:hint="eastAsia" w:ascii="仿宋" w:hAnsi="仿宋" w:eastAsia="仿宋" w:cstheme="minorBidi"/>
                <w:color w:val="auto"/>
                <w:szCs w:val="24"/>
                <w:lang w:val="en-US" w:eastAsia="zh-CN"/>
              </w:rPr>
              <w:t>可证、人员证书及社保、业绩</w:t>
            </w:r>
          </w:p>
          <w:p w14:paraId="771ADC82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theme="minorBidi"/>
                <w:szCs w:val="24"/>
              </w:rPr>
              <w:t>.法定代表人授权委托书（格式1）</w:t>
            </w:r>
          </w:p>
          <w:p w14:paraId="53245408">
            <w:pPr>
              <w:pStyle w:val="19"/>
              <w:spacing w:line="360" w:lineRule="auto"/>
              <w:ind w:firstLine="0"/>
              <w:rPr>
                <w:rFonts w:hint="eastAsia"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theme="minorBidi"/>
                <w:szCs w:val="24"/>
              </w:rPr>
              <w:t>.报价书（格式2）（附报价清单）</w:t>
            </w:r>
          </w:p>
          <w:p w14:paraId="369D2599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b/>
                <w:szCs w:val="24"/>
              </w:rPr>
            </w:pPr>
            <w:r>
              <w:rPr>
                <w:rFonts w:hint="eastAsia" w:ascii="仿宋" w:hAnsi="仿宋" w:eastAsia="仿宋" w:cstheme="minorBidi"/>
                <w:b/>
                <w:szCs w:val="24"/>
              </w:rPr>
              <w:t>文件格式：</w:t>
            </w:r>
          </w:p>
          <w:p w14:paraId="6C580659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1.签字盖章要求</w:t>
            </w:r>
          </w:p>
          <w:p w14:paraId="4FEA5419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1.1推介文件正、副本封面均须法定代表人或其委托代理人签字、加盖竞选单位公章（鲜章），正、副本均须加盖骑缝章（鲜章）；</w:t>
            </w:r>
          </w:p>
          <w:p w14:paraId="5F72F8CC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1.2推介文件正本内页要求签字、盖章的地方均须由法定代表人或其委托代理人签字、加盖竞选单位公章（鲜章）；推介文件副本内页可以是正本的复印件。</w:t>
            </w:r>
          </w:p>
          <w:p w14:paraId="7669EDBD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2.装订要求</w:t>
            </w:r>
          </w:p>
          <w:p w14:paraId="7605DB91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推介文件的正本与副本应分别装订成册，采用胶订、平订或线订等，不得采用活页装订方式。</w:t>
            </w:r>
          </w:p>
          <w:p w14:paraId="5257A2D0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3.份数要求：1份正本，3份副本。（须在封面注明）</w:t>
            </w:r>
          </w:p>
          <w:p w14:paraId="5A4BBE3B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4.密封要求：将装订好的推介文件正、副本封装在一个文件袋内，并在袋上加盖竞选单位单位公章。</w:t>
            </w:r>
          </w:p>
          <w:p w14:paraId="02BC03B3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5.推介文件正副本请务必做好目录及对应页码。</w:t>
            </w:r>
          </w:p>
        </w:tc>
      </w:tr>
      <w:tr w14:paraId="0C47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55" w:type="dxa"/>
            <w:vAlign w:val="center"/>
          </w:tcPr>
          <w:p w14:paraId="403CC799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12</w:t>
            </w:r>
          </w:p>
        </w:tc>
        <w:tc>
          <w:tcPr>
            <w:tcW w:w="1663" w:type="dxa"/>
            <w:vAlign w:val="center"/>
          </w:tcPr>
          <w:p w14:paraId="267014B2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递交文件地点</w:t>
            </w:r>
          </w:p>
        </w:tc>
        <w:tc>
          <w:tcPr>
            <w:tcW w:w="7130" w:type="dxa"/>
            <w:vAlign w:val="center"/>
          </w:tcPr>
          <w:p w14:paraId="4C4A90D3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推介会议同时递交</w:t>
            </w:r>
          </w:p>
        </w:tc>
      </w:tr>
      <w:tr w14:paraId="3F64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55" w:type="dxa"/>
            <w:vAlign w:val="center"/>
          </w:tcPr>
          <w:p w14:paraId="1042C87E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13</w:t>
            </w:r>
          </w:p>
        </w:tc>
        <w:tc>
          <w:tcPr>
            <w:tcW w:w="1663" w:type="dxa"/>
            <w:vAlign w:val="center"/>
          </w:tcPr>
          <w:p w14:paraId="2C8B53D8">
            <w:pPr>
              <w:pStyle w:val="19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联系人及方式</w:t>
            </w:r>
          </w:p>
        </w:tc>
        <w:tc>
          <w:tcPr>
            <w:tcW w:w="7130" w:type="dxa"/>
            <w:vAlign w:val="center"/>
          </w:tcPr>
          <w:p w14:paraId="2A9D66BF">
            <w:pPr>
              <w:pStyle w:val="19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联系地址：重庆市渝中区临江路74号重庆医科大学附属第二医院</w:t>
            </w:r>
            <w:r>
              <w:rPr>
                <w:rFonts w:ascii="仿宋" w:hAnsi="仿宋" w:eastAsia="仿宋" w:cstheme="minorBidi"/>
                <w:szCs w:val="24"/>
              </w:rPr>
              <w:t>总务科</w:t>
            </w:r>
          </w:p>
          <w:p w14:paraId="677EF7AA">
            <w:pPr>
              <w:pStyle w:val="19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 系 人：李老师     联系电话：</w:t>
            </w:r>
            <w:r>
              <w:rPr>
                <w:rFonts w:ascii="仿宋" w:hAnsi="仿宋" w:eastAsia="仿宋" w:cstheme="minorBidi"/>
                <w:szCs w:val="24"/>
              </w:rPr>
              <w:t>13042341100</w:t>
            </w:r>
          </w:p>
          <w:p w14:paraId="72C6F2D4">
            <w:pPr>
              <w:pStyle w:val="19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 xml:space="preserve">         </w:t>
            </w:r>
          </w:p>
        </w:tc>
      </w:tr>
    </w:tbl>
    <w:p w14:paraId="406B0060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157D781B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343F0281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74A62FA2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3792180C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36C42D1D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4E84C041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284383E1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6C9804E8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5FDA3B86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72C189B6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格式1</w:t>
      </w:r>
    </w:p>
    <w:p w14:paraId="1CA426B0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 w14:paraId="3BEE01AB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14B8A83A"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 w14:paraId="762B54B5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本授权书声明：本人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系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的法定代表人，现授权本单位的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江南院区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eastAsia="zh-CN"/>
        </w:rPr>
        <w:t>感染与肝病中心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楼顶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eastAsia="zh-CN"/>
        </w:rPr>
        <w:t>发光字更换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采购阳光推介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 w14:paraId="5D98A659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2BA4F026"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250EE1F7"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2EBD087A">
      <w:pPr>
        <w:spacing w:line="360" w:lineRule="auto"/>
        <w:rPr>
          <w:rFonts w:ascii="宋体" w:hAnsi="宋体" w:eastAsia="宋体" w:cs="Times New Roman"/>
          <w:color w:val="000000"/>
          <w:szCs w:val="28"/>
        </w:rPr>
      </w:pPr>
    </w:p>
    <w:p w14:paraId="33E92DC6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0D534492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10C797FC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02A594E8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7A23839F">
      <w:pPr>
        <w:spacing w:before="156" w:beforeLines="50" w:after="156" w:afterLines="50" w:line="360" w:lineRule="auto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 xml:space="preserve">                                               </w:t>
      </w:r>
    </w:p>
    <w:p w14:paraId="54EE5CB5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6A5ECDCB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 w14:paraId="0FAD070A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4DEDC647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0E56F5DA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083D0AFA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42ABF4F7">
      <w:pPr>
        <w:spacing w:line="360" w:lineRule="auto"/>
        <w:rPr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格式2</w:t>
      </w:r>
    </w:p>
    <w:p w14:paraId="0ED9412A">
      <w:pPr>
        <w:pStyle w:val="21"/>
        <w:spacing w:before="156" w:after="156"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 w14:paraId="04021478">
      <w:pPr>
        <w:pStyle w:val="19"/>
        <w:spacing w:line="360" w:lineRule="auto"/>
        <w:ind w:firstLine="539"/>
        <w:rPr>
          <w:sz w:val="28"/>
          <w:szCs w:val="28"/>
        </w:rPr>
      </w:pPr>
    </w:p>
    <w:p w14:paraId="4E7A0128">
      <w:pPr>
        <w:pStyle w:val="19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 w14:paraId="4A644E34">
      <w:pPr>
        <w:pStyle w:val="19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项目推介文件的全部内容。我们已完全理解了推介文件规定的要求，并考虑到了潜在所有风险。据此，我们承诺结合本项目特点及我方实际情况，按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669A4C2F">
      <w:pPr>
        <w:pStyle w:val="19"/>
        <w:tabs>
          <w:tab w:val="left" w:pos="0"/>
          <w:tab w:val="clear" w:pos="900"/>
          <w:tab w:val="clear" w:pos="1620"/>
        </w:tabs>
        <w:spacing w:line="360" w:lineRule="auto"/>
        <w:ind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重庆医科大学附属第二医院</w:t>
      </w:r>
      <w:r>
        <w:rPr>
          <w:rFonts w:hint="eastAsia"/>
          <w:sz w:val="28"/>
          <w:szCs w:val="28"/>
          <w:lang w:val="en-US" w:eastAsia="zh-CN"/>
        </w:rPr>
        <w:t>江南院区</w:t>
      </w:r>
      <w:r>
        <w:rPr>
          <w:rFonts w:hint="eastAsia"/>
          <w:sz w:val="28"/>
          <w:szCs w:val="28"/>
          <w:lang w:eastAsia="zh-CN"/>
        </w:rPr>
        <w:t>感染与肝病中心</w:t>
      </w:r>
      <w:r>
        <w:rPr>
          <w:rFonts w:hint="eastAsia"/>
          <w:sz w:val="28"/>
          <w:szCs w:val="28"/>
          <w:lang w:val="en-US" w:eastAsia="zh-CN"/>
        </w:rPr>
        <w:t>楼顶</w:t>
      </w:r>
      <w:r>
        <w:rPr>
          <w:rFonts w:hint="eastAsia"/>
          <w:sz w:val="28"/>
          <w:szCs w:val="28"/>
          <w:lang w:eastAsia="zh-CN"/>
        </w:rPr>
        <w:t>发光字更换</w:t>
      </w:r>
      <w:r>
        <w:rPr>
          <w:rFonts w:hint="eastAsia"/>
          <w:sz w:val="28"/>
          <w:szCs w:val="28"/>
        </w:rPr>
        <w:t>采购阳光推介总报价为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</w:p>
    <w:p w14:paraId="529BAA68">
      <w:pPr>
        <w:pStyle w:val="19"/>
        <w:spacing w:line="360" w:lineRule="auto"/>
        <w:ind w:firstLine="0"/>
        <w:rPr>
          <w:sz w:val="28"/>
          <w:szCs w:val="28"/>
        </w:rPr>
      </w:pPr>
    </w:p>
    <w:p w14:paraId="71B5A71B">
      <w:pPr>
        <w:pStyle w:val="19"/>
        <w:spacing w:line="360" w:lineRule="auto"/>
        <w:ind w:firstLine="0"/>
        <w:rPr>
          <w:sz w:val="28"/>
          <w:szCs w:val="28"/>
        </w:rPr>
      </w:pPr>
    </w:p>
    <w:p w14:paraId="27402A87">
      <w:pPr>
        <w:pStyle w:val="19"/>
        <w:spacing w:line="360" w:lineRule="auto"/>
        <w:ind w:firstLine="0"/>
        <w:rPr>
          <w:sz w:val="30"/>
          <w:szCs w:val="30"/>
        </w:rPr>
      </w:pPr>
    </w:p>
    <w:p w14:paraId="17883855">
      <w:pPr>
        <w:pStyle w:val="19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14:paraId="50F1A9B6">
      <w:pPr>
        <w:pStyle w:val="19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28F5681A">
      <w:pPr>
        <w:spacing w:line="360" w:lineRule="auto"/>
        <w:ind w:firstLine="600" w:firstLineChars="200"/>
        <w:rPr>
          <w:rFonts w:hint="eastAsia"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时间</w:t>
      </w:r>
    </w:p>
    <w:p w14:paraId="48F7FAFB">
      <w:pPr>
        <w:rPr>
          <w:rFonts w:ascii="仿宋_GB2312" w:hAnsi="宋体" w:eastAsia="仿宋_GB2312"/>
          <w:kern w:val="0"/>
          <w:sz w:val="24"/>
          <w:szCs w:val="20"/>
        </w:rPr>
      </w:pPr>
      <w:r>
        <w:rPr>
          <w:rFonts w:hint="eastAsia"/>
          <w:lang w:val="en-US" w:eastAsia="zh-CN"/>
        </w:rPr>
        <w:t>附件1：</w:t>
      </w:r>
    </w:p>
    <w:p w14:paraId="3B27505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尺寸、材质、工艺等技术参数</w:t>
      </w:r>
    </w:p>
    <w:p w14:paraId="0B8C705A">
      <w:pPr>
        <w:jc w:val="center"/>
        <w:rPr>
          <w:rFonts w:hint="eastAsia"/>
          <w:kern w:val="0"/>
        </w:rPr>
      </w:pPr>
      <w:r>
        <w:rPr>
          <w:kern w:val="0"/>
        </w:rPr>
        <w:drawing>
          <wp:inline distT="0" distB="0" distL="114300" distR="114300">
            <wp:extent cx="5915025" cy="3943350"/>
            <wp:effectExtent l="0" t="0" r="9525" b="0"/>
            <wp:docPr id="7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</w:rPr>
        <w:drawing>
          <wp:inline distT="0" distB="0" distL="114300" distR="114300">
            <wp:extent cx="5495925" cy="4014470"/>
            <wp:effectExtent l="0" t="0" r="9525" b="5080"/>
            <wp:docPr id="5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01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ADCF">
      <w:pPr>
        <w:rPr>
          <w:rFonts w:hint="default"/>
          <w:lang w:val="en-US" w:eastAsia="zh-CN"/>
        </w:rPr>
      </w:pPr>
    </w:p>
    <w:p w14:paraId="65553E05">
      <w:pPr>
        <w:spacing w:line="360" w:lineRule="auto"/>
        <w:rPr>
          <w:rFonts w:ascii="仿宋" w:hAnsi="仿宋" w:eastAsia="仿宋"/>
          <w:sz w:val="24"/>
          <w:szCs w:val="24"/>
        </w:rPr>
      </w:pPr>
      <w:r>
        <w:drawing>
          <wp:inline distT="0" distB="0" distL="114300" distR="114300">
            <wp:extent cx="6282690" cy="10756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D34223-CB44-47E4-B36B-EBD36CE1B9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17ECCE93-EF23-45D1-B1E3-CE68EE00AA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B4BC47-42C3-4AFD-B3F7-E9363A44F0C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F1408A"/>
    <w:rsid w:val="00025B09"/>
    <w:rsid w:val="00034213"/>
    <w:rsid w:val="0006585D"/>
    <w:rsid w:val="000949AF"/>
    <w:rsid w:val="000F412A"/>
    <w:rsid w:val="000F4826"/>
    <w:rsid w:val="001007FD"/>
    <w:rsid w:val="001A78B3"/>
    <w:rsid w:val="001B63BE"/>
    <w:rsid w:val="001F2AA7"/>
    <w:rsid w:val="0020632B"/>
    <w:rsid w:val="00237FAD"/>
    <w:rsid w:val="0028164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3E75"/>
    <w:rsid w:val="003C70FA"/>
    <w:rsid w:val="0043332A"/>
    <w:rsid w:val="00487ABA"/>
    <w:rsid w:val="00491B8D"/>
    <w:rsid w:val="004D11F2"/>
    <w:rsid w:val="004E4364"/>
    <w:rsid w:val="004E637A"/>
    <w:rsid w:val="004F4756"/>
    <w:rsid w:val="004F7A95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B0659"/>
    <w:rsid w:val="006E193A"/>
    <w:rsid w:val="006F69C5"/>
    <w:rsid w:val="00727093"/>
    <w:rsid w:val="00754F28"/>
    <w:rsid w:val="00761962"/>
    <w:rsid w:val="00762413"/>
    <w:rsid w:val="00766E84"/>
    <w:rsid w:val="007A65F2"/>
    <w:rsid w:val="007D77CE"/>
    <w:rsid w:val="007E2AFC"/>
    <w:rsid w:val="0081413B"/>
    <w:rsid w:val="008215AC"/>
    <w:rsid w:val="00856E53"/>
    <w:rsid w:val="008979F1"/>
    <w:rsid w:val="008A633D"/>
    <w:rsid w:val="008A790C"/>
    <w:rsid w:val="008D6C08"/>
    <w:rsid w:val="008E045E"/>
    <w:rsid w:val="009A5131"/>
    <w:rsid w:val="009F47F5"/>
    <w:rsid w:val="00A1066D"/>
    <w:rsid w:val="00A213D6"/>
    <w:rsid w:val="00A60D2D"/>
    <w:rsid w:val="00AF2582"/>
    <w:rsid w:val="00B02586"/>
    <w:rsid w:val="00B23725"/>
    <w:rsid w:val="00B43E23"/>
    <w:rsid w:val="00B51546"/>
    <w:rsid w:val="00B60EF6"/>
    <w:rsid w:val="00B67E38"/>
    <w:rsid w:val="00B818D7"/>
    <w:rsid w:val="00BC0188"/>
    <w:rsid w:val="00BC7B1C"/>
    <w:rsid w:val="00BD4027"/>
    <w:rsid w:val="00C24779"/>
    <w:rsid w:val="00C30707"/>
    <w:rsid w:val="00C5207A"/>
    <w:rsid w:val="00C73A39"/>
    <w:rsid w:val="00C95D06"/>
    <w:rsid w:val="00C96CF4"/>
    <w:rsid w:val="00CD7E59"/>
    <w:rsid w:val="00CE2164"/>
    <w:rsid w:val="00CE74FD"/>
    <w:rsid w:val="00D06043"/>
    <w:rsid w:val="00D16339"/>
    <w:rsid w:val="00D61164"/>
    <w:rsid w:val="00D612F9"/>
    <w:rsid w:val="00DC1643"/>
    <w:rsid w:val="00DD6EB4"/>
    <w:rsid w:val="00E244FC"/>
    <w:rsid w:val="00E3015F"/>
    <w:rsid w:val="00E33039"/>
    <w:rsid w:val="00E56D54"/>
    <w:rsid w:val="00E7753F"/>
    <w:rsid w:val="00E825D9"/>
    <w:rsid w:val="00ED551D"/>
    <w:rsid w:val="00EF46EF"/>
    <w:rsid w:val="00F1408A"/>
    <w:rsid w:val="00F2454B"/>
    <w:rsid w:val="00F4588F"/>
    <w:rsid w:val="00F50D77"/>
    <w:rsid w:val="00F53641"/>
    <w:rsid w:val="00F72CA5"/>
    <w:rsid w:val="00F97439"/>
    <w:rsid w:val="00FC27C9"/>
    <w:rsid w:val="00FF0E95"/>
    <w:rsid w:val="02346795"/>
    <w:rsid w:val="0310419A"/>
    <w:rsid w:val="03A664FB"/>
    <w:rsid w:val="060D2126"/>
    <w:rsid w:val="099F4786"/>
    <w:rsid w:val="0A463F28"/>
    <w:rsid w:val="0A717628"/>
    <w:rsid w:val="0BD31A79"/>
    <w:rsid w:val="11271AB6"/>
    <w:rsid w:val="11B46F34"/>
    <w:rsid w:val="132414DE"/>
    <w:rsid w:val="143E2110"/>
    <w:rsid w:val="143F0A26"/>
    <w:rsid w:val="15164A91"/>
    <w:rsid w:val="22BB36DF"/>
    <w:rsid w:val="246A539D"/>
    <w:rsid w:val="25911B08"/>
    <w:rsid w:val="26FC2E78"/>
    <w:rsid w:val="27C808DB"/>
    <w:rsid w:val="27F03E2A"/>
    <w:rsid w:val="28267FA5"/>
    <w:rsid w:val="296C2A6A"/>
    <w:rsid w:val="2BEE72AE"/>
    <w:rsid w:val="2D274311"/>
    <w:rsid w:val="2E2F6002"/>
    <w:rsid w:val="2F631C4A"/>
    <w:rsid w:val="35730DF1"/>
    <w:rsid w:val="35D83F6D"/>
    <w:rsid w:val="368A085F"/>
    <w:rsid w:val="36B23E43"/>
    <w:rsid w:val="37164509"/>
    <w:rsid w:val="3A626DCC"/>
    <w:rsid w:val="3A6A7820"/>
    <w:rsid w:val="3BF33A92"/>
    <w:rsid w:val="3DBD6E90"/>
    <w:rsid w:val="3E962B96"/>
    <w:rsid w:val="41476C78"/>
    <w:rsid w:val="4175749A"/>
    <w:rsid w:val="42644DA1"/>
    <w:rsid w:val="44D401CC"/>
    <w:rsid w:val="45286B52"/>
    <w:rsid w:val="478666B6"/>
    <w:rsid w:val="486B6EDA"/>
    <w:rsid w:val="48D10CB7"/>
    <w:rsid w:val="49A447ED"/>
    <w:rsid w:val="49CD147E"/>
    <w:rsid w:val="4B8418AA"/>
    <w:rsid w:val="4CCC371D"/>
    <w:rsid w:val="4CF934CB"/>
    <w:rsid w:val="4E5F0668"/>
    <w:rsid w:val="50CF5102"/>
    <w:rsid w:val="52A129F2"/>
    <w:rsid w:val="536C566A"/>
    <w:rsid w:val="54B35714"/>
    <w:rsid w:val="58A04049"/>
    <w:rsid w:val="5AF3106F"/>
    <w:rsid w:val="5D8660BC"/>
    <w:rsid w:val="5E8F3B09"/>
    <w:rsid w:val="5EF16C9B"/>
    <w:rsid w:val="5F7D704B"/>
    <w:rsid w:val="61413DB2"/>
    <w:rsid w:val="62035F2D"/>
    <w:rsid w:val="6AFA1321"/>
    <w:rsid w:val="6C1C6154"/>
    <w:rsid w:val="6D492F46"/>
    <w:rsid w:val="6DC641B4"/>
    <w:rsid w:val="6FC85C67"/>
    <w:rsid w:val="72FA0957"/>
    <w:rsid w:val="746678CC"/>
    <w:rsid w:val="764E3D8F"/>
    <w:rsid w:val="765A4FAE"/>
    <w:rsid w:val="778B58D8"/>
    <w:rsid w:val="7795123D"/>
    <w:rsid w:val="7BCA2929"/>
    <w:rsid w:val="7F0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4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8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qFormat/>
    <w:uiPriority w:val="0"/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9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2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3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Verdana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8</Pages>
  <Words>2578</Words>
  <Characters>2745</Characters>
  <Lines>18</Lines>
  <Paragraphs>5</Paragraphs>
  <TotalTime>0</TotalTime>
  <ScaleCrop>false</ScaleCrop>
  <LinksUpToDate>false</LinksUpToDate>
  <CharactersWithSpaces>2970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稳稳的幸福</cp:lastModifiedBy>
  <dcterms:modified xsi:type="dcterms:W3CDTF">2025-08-11T08:22:33Z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F2E18BA0D74540888545F36A5C2AF3E0_13</vt:lpwstr>
  </property>
  <property fmtid="{D5CDD505-2E9C-101B-9397-08002B2CF9AE}" pid="4" name="KSOTemplateDocerSaveRecord">
    <vt:lpwstr>eyJoZGlkIjoiNmM1N2IwNjFkYWRkODI0ZDU4YTRkZmUzOGJhYzdmYTgiLCJ1c2VySWQiOiIzMTQwOTY2MzAifQ==</vt:lpwstr>
  </property>
</Properties>
</file>