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4648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b/>
          <w:bCs/>
          <w:snapToGrid w:val="0"/>
          <w:color w:val="000000"/>
          <w:kern w:val="0"/>
          <w:sz w:val="24"/>
          <w:szCs w:val="24"/>
          <w:lang w:val="en-US" w:eastAsia="zh-CN" w:bidi="ar-SA"/>
        </w:rPr>
      </w:pPr>
      <w:r>
        <w:rPr>
          <w:rFonts w:hint="eastAsia" w:ascii="宋体" w:hAnsi="宋体" w:eastAsia="宋体" w:cs="宋体"/>
          <w:b/>
          <w:bCs/>
          <w:snapToGrid w:val="0"/>
          <w:color w:val="000000"/>
          <w:kern w:val="0"/>
          <w:sz w:val="24"/>
          <w:szCs w:val="24"/>
          <w:lang w:val="en-US" w:eastAsia="zh-CN" w:bidi="ar-SA"/>
        </w:rPr>
        <w:t>空调系统离心泵技术要求</w:t>
      </w:r>
    </w:p>
    <w:p w14:paraId="531C3BF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napToGrid w:val="0"/>
          <w:color w:val="000000"/>
          <w:kern w:val="0"/>
          <w:sz w:val="24"/>
          <w:szCs w:val="24"/>
          <w:lang w:val="en-US" w:eastAsia="zh-CN" w:bidi="ar-SA"/>
        </w:rPr>
      </w:pPr>
      <w:r>
        <w:rPr>
          <w:rFonts w:hint="eastAsia" w:ascii="宋体" w:hAnsi="宋体" w:eastAsia="宋体" w:cs="宋体"/>
          <w:b/>
          <w:bCs/>
          <w:snapToGrid w:val="0"/>
          <w:color w:val="000000"/>
          <w:kern w:val="0"/>
          <w:sz w:val="24"/>
          <w:szCs w:val="24"/>
          <w:lang w:val="en-US" w:eastAsia="zh-CN" w:bidi="ar-SA"/>
        </w:rPr>
        <w:t>1.总体要求</w:t>
      </w:r>
    </w:p>
    <w:p w14:paraId="4FAB795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      水泵应采用单级端吸卧式离心泵，</w:t>
      </w:r>
      <w:bookmarkStart w:id="0" w:name="_Toc66351900"/>
      <w:bookmarkStart w:id="1" w:name="_Toc421690579"/>
      <w:bookmarkStart w:id="2" w:name="_Toc56758349"/>
      <w:bookmarkStart w:id="3" w:name="_Toc423102150"/>
      <w:r>
        <w:rPr>
          <w:rFonts w:hint="eastAsia" w:ascii="宋体" w:hAnsi="宋体" w:eastAsia="宋体" w:cs="宋体"/>
          <w:snapToGrid w:val="0"/>
          <w:color w:val="000000"/>
          <w:kern w:val="0"/>
          <w:sz w:val="24"/>
          <w:szCs w:val="24"/>
          <w:lang w:val="en-US" w:eastAsia="zh-CN" w:bidi="ar-SA"/>
        </w:rPr>
        <w:t>水泵的流量、扬程特性曲线应是从最大流量到关闭时的平滑而连续上升的光滑曲线。水泵应运行在最高效率点附近，允许在超越设计流量15~20%的情况下运行而不超破坏点。水泵在负载变动时，能稳定运行，在正常使用状态下能保持高效率，并适合并联运行。</w:t>
      </w:r>
      <w:bookmarkEnd w:id="0"/>
      <w:bookmarkEnd w:id="1"/>
      <w:bookmarkEnd w:id="2"/>
      <w:bookmarkEnd w:id="3"/>
    </w:p>
    <w:p w14:paraId="1DFF303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     水泵产品应通过节能认证且须在投标文件中明确所提供型号的泵在各点的效率值；水泵设计最大承压满足16bar要求。</w:t>
      </w:r>
      <w:bookmarkStart w:id="4" w:name="_Toc112569878"/>
      <w:bookmarkStart w:id="5" w:name="_Toc199043896"/>
      <w:bookmarkStart w:id="6" w:name="_Toc205177450"/>
      <w:bookmarkStart w:id="7" w:name="_Toc66351911"/>
    </w:p>
    <w:bookmarkEnd w:id="4"/>
    <w:bookmarkEnd w:id="5"/>
    <w:bookmarkEnd w:id="6"/>
    <w:bookmarkEnd w:id="7"/>
    <w:p w14:paraId="5DE70B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napToGrid w:val="0"/>
          <w:color w:val="000000"/>
          <w:kern w:val="0"/>
          <w:sz w:val="24"/>
          <w:szCs w:val="24"/>
          <w:lang w:val="en-US" w:eastAsia="zh-CN" w:bidi="ar-SA"/>
        </w:rPr>
      </w:pPr>
      <w:r>
        <w:rPr>
          <w:rFonts w:hint="eastAsia" w:ascii="宋体" w:hAnsi="宋体" w:eastAsia="宋体" w:cs="宋体"/>
          <w:b/>
          <w:bCs/>
          <w:snapToGrid w:val="0"/>
          <w:color w:val="000000"/>
          <w:kern w:val="0"/>
          <w:sz w:val="24"/>
          <w:szCs w:val="24"/>
          <w:lang w:val="en-US" w:eastAsia="zh-CN" w:bidi="ar-SA"/>
        </w:rPr>
        <w:t>2．泵壳和泵盖</w:t>
      </w:r>
    </w:p>
    <w:p w14:paraId="7450AD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2.1 材质为灰铁HT250，采用一体式泵头泵脚中心线出水设计，泵壳自带支撑，方便出口法兰上所承受的外力能立刻传递到底座，保证泵头运行过程中不受损伤，提高设备安全性。</w:t>
      </w:r>
    </w:p>
    <w:p w14:paraId="319B6EC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2.2 泵壳由刚性泵底座支撑。</w:t>
      </w:r>
    </w:p>
    <w:p w14:paraId="32F4D49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2.3 在泵壳的最高处设置运行所需的排气孔座及排气阀，在泵壳的最低处设置所需的排水孔座及螺塞。</w:t>
      </w:r>
    </w:p>
    <w:p w14:paraId="758D06C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2.4 在泵壳进出口上设置适当数量的测压孔，测压孔尺寸标准按IEC标准设计。</w:t>
      </w:r>
    </w:p>
    <w:p w14:paraId="3E49597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2.5 泵壳上应用箭头标明叶轮旋转方向。</w:t>
      </w:r>
    </w:p>
    <w:p w14:paraId="1247FF9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★2.6 泵入口应设置可更换的耐磨口环，材质为青铜。</w:t>
      </w:r>
    </w:p>
    <w:p w14:paraId="13686AB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napToGrid w:val="0"/>
          <w:color w:val="000000"/>
          <w:kern w:val="0"/>
          <w:sz w:val="24"/>
          <w:szCs w:val="24"/>
          <w:highlight w:val="none"/>
          <w:lang w:val="en-US" w:eastAsia="zh-CN" w:bidi="ar-SA"/>
        </w:rPr>
      </w:pPr>
      <w:r>
        <w:rPr>
          <w:rFonts w:hint="eastAsia" w:ascii="宋体" w:hAnsi="宋体" w:eastAsia="宋体" w:cs="宋体"/>
          <w:b/>
          <w:bCs/>
          <w:snapToGrid w:val="0"/>
          <w:color w:val="000000"/>
          <w:kern w:val="0"/>
          <w:sz w:val="24"/>
          <w:szCs w:val="24"/>
          <w:highlight w:val="none"/>
          <w:lang w:val="en-US" w:eastAsia="zh-CN" w:bidi="ar-SA"/>
        </w:rPr>
        <w:t>3.叶轮</w:t>
      </w:r>
    </w:p>
    <w:p w14:paraId="12998F5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highlight w:val="none"/>
          <w:lang w:val="en-US" w:eastAsia="zh-CN" w:bidi="ar-SA"/>
        </w:rPr>
        <w:t>★3.1 叶轮采用抗汽蚀性能良好的304不锈钢材料整体浇铸而成</w:t>
      </w:r>
      <w:r>
        <w:rPr>
          <w:rFonts w:hint="eastAsia" w:ascii="宋体" w:hAnsi="宋体" w:eastAsia="宋体" w:cs="宋体"/>
          <w:snapToGrid w:val="0"/>
          <w:color w:val="000000"/>
          <w:kern w:val="0"/>
          <w:sz w:val="24"/>
          <w:szCs w:val="24"/>
          <w:lang w:val="en-US" w:eastAsia="zh-CN" w:bidi="ar-SA"/>
        </w:rPr>
        <w:t>。</w:t>
      </w:r>
    </w:p>
    <w:p w14:paraId="20C4711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3.2 叶轮应根据额定工况点在生产工厂内定点切割。</w:t>
      </w:r>
    </w:p>
    <w:p w14:paraId="2B3433B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3.3 叶轮的过流表面应平滑，具有优异的水力性能。叶轮的内外表面不应有裂纹或凹凸不平等缺陷。</w:t>
      </w:r>
    </w:p>
    <w:p w14:paraId="4A5BA84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3.4 叶轮可靠地固定在轴上，防止产生轴向和周向位移。</w:t>
      </w:r>
    </w:p>
    <w:p w14:paraId="0EE8C3D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3.5 叶轮加工完成后，应在制造厂内进行动态平衡试验，并向最终用户提交试验报告</w:t>
      </w:r>
    </w:p>
    <w:p w14:paraId="0D6B7AF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3.6 对于叶轮和泵壳有滑动的部分，设置可以更换的密封衬环，密封环可靠地固定在泵体或叶轮上，密封环止水间隙小且必须均匀。密封环采用抗汽蚀性能及抗磨蚀性能良好的青铜。</w:t>
      </w:r>
    </w:p>
    <w:p w14:paraId="1737160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b/>
          <w:bCs/>
          <w:snapToGrid w:val="0"/>
          <w:color w:val="000000"/>
          <w:kern w:val="0"/>
          <w:sz w:val="24"/>
          <w:szCs w:val="24"/>
          <w:lang w:val="en-US" w:eastAsia="zh-CN" w:bidi="ar-SA"/>
        </w:rPr>
        <w:t>4.主轴</w:t>
      </w:r>
      <w:r>
        <w:rPr>
          <w:rFonts w:hint="eastAsia" w:ascii="宋体" w:hAnsi="宋体" w:eastAsia="宋体" w:cs="宋体"/>
          <w:snapToGrid w:val="0"/>
          <w:color w:val="000000"/>
          <w:kern w:val="0"/>
          <w:sz w:val="24"/>
          <w:szCs w:val="24"/>
          <w:lang w:val="en-US" w:eastAsia="zh-CN" w:bidi="ar-SA"/>
        </w:rPr>
        <w:t>采用20Cr13材质，有足够的抗拉强度、机械强度、刚度、耐疲劳强度，在各种工况下，长期运行不产生有害的振动和变形，且密封位应设置轴套结构，轴套应采用304材质，防止对轴的直接磨损。</w:t>
      </w:r>
    </w:p>
    <w:p w14:paraId="06D1019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napToGrid w:val="0"/>
          <w:color w:val="000000"/>
          <w:kern w:val="0"/>
          <w:sz w:val="24"/>
          <w:szCs w:val="24"/>
          <w:lang w:val="en-US" w:eastAsia="zh-CN" w:bidi="ar-SA"/>
        </w:rPr>
      </w:pPr>
      <w:r>
        <w:rPr>
          <w:rFonts w:hint="eastAsia" w:ascii="宋体" w:hAnsi="宋体" w:eastAsia="宋体" w:cs="宋体"/>
          <w:b/>
          <w:bCs/>
          <w:snapToGrid w:val="0"/>
          <w:color w:val="000000"/>
          <w:kern w:val="0"/>
          <w:sz w:val="24"/>
          <w:szCs w:val="24"/>
          <w:lang w:val="en-US" w:eastAsia="zh-CN" w:bidi="ar-SA"/>
        </w:rPr>
        <w:t>5.机械密封</w:t>
      </w:r>
    </w:p>
    <w:p w14:paraId="3EEED19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lang w:val="en-US" w:eastAsia="zh-CN" w:bidi="ar-SA"/>
        </w:rPr>
        <w:t>水泵机封材质为石墨碳化硅/EPDM，机械密封互换性强，替换方便，</w:t>
      </w:r>
      <w:r>
        <w:rPr>
          <w:rFonts w:hint="eastAsia" w:ascii="宋体" w:hAnsi="宋体" w:eastAsia="宋体" w:cs="宋体"/>
          <w:snapToGrid w:val="0"/>
          <w:color w:val="auto"/>
          <w:kern w:val="0"/>
          <w:sz w:val="24"/>
          <w:szCs w:val="24"/>
          <w:lang w:val="en-US" w:eastAsia="zh-CN" w:bidi="ar-SA"/>
        </w:rPr>
        <w:t>采用约翰克兰，博格曼或同等品质的著名品牌。</w:t>
      </w:r>
    </w:p>
    <w:p w14:paraId="17DE05C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6.轴承</w:t>
      </w:r>
    </w:p>
    <w:p w14:paraId="445EB23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000000"/>
          <w:kern w:val="0"/>
          <w:sz w:val="24"/>
          <w:szCs w:val="24"/>
          <w:highlight w:val="none"/>
          <w:lang w:val="en-US" w:eastAsia="zh-CN" w:bidi="ar-SA"/>
        </w:rPr>
        <w:t>★</w:t>
      </w:r>
      <w:r>
        <w:rPr>
          <w:rFonts w:hint="eastAsia" w:ascii="宋体" w:hAnsi="宋体" w:eastAsia="宋体" w:cs="宋体"/>
          <w:snapToGrid w:val="0"/>
          <w:color w:val="auto"/>
          <w:kern w:val="0"/>
          <w:sz w:val="24"/>
          <w:szCs w:val="24"/>
          <w:lang w:val="en-US" w:eastAsia="zh-CN" w:bidi="ar-SA"/>
        </w:rPr>
        <w:t>6.1 水泵轴承采用耐磨损和润滑性能好的材料制成。轴承L10工作寿命大于100,000小时，应选用SKF、NSK、FAG或同等品质的著名品牌。</w:t>
      </w:r>
    </w:p>
    <w:p w14:paraId="064ECDD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6.2 水泵在正常连续运行条件下，轴承的温度不得超过70℃。</w:t>
      </w:r>
    </w:p>
    <w:p w14:paraId="3FBC838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napToGrid w:val="0"/>
          <w:color w:val="000000"/>
          <w:kern w:val="0"/>
          <w:sz w:val="24"/>
          <w:szCs w:val="24"/>
          <w:lang w:val="en-US" w:eastAsia="zh-CN" w:bidi="ar-SA"/>
        </w:rPr>
      </w:pPr>
      <w:r>
        <w:rPr>
          <w:rFonts w:hint="eastAsia" w:ascii="宋体" w:hAnsi="宋体" w:eastAsia="宋体" w:cs="宋体"/>
          <w:b/>
          <w:bCs/>
          <w:snapToGrid w:val="0"/>
          <w:color w:val="000000"/>
          <w:kern w:val="0"/>
          <w:sz w:val="24"/>
          <w:szCs w:val="24"/>
          <w:lang w:val="en-US" w:eastAsia="zh-CN" w:bidi="ar-SA"/>
        </w:rPr>
        <w:t>7.水泵底座</w:t>
      </w:r>
    </w:p>
    <w:p w14:paraId="1CB58AC8">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采用重载刚性底座，无需灌浆，可长期保持不变形及泵轴的对中，提高水泵运行寿命。</w:t>
      </w:r>
    </w:p>
    <w:p w14:paraId="70B4861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napToGrid w:val="0"/>
          <w:color w:val="000000"/>
          <w:kern w:val="0"/>
          <w:sz w:val="24"/>
          <w:szCs w:val="24"/>
          <w:lang w:val="en-US" w:eastAsia="zh-CN" w:bidi="ar-SA"/>
        </w:rPr>
      </w:pPr>
      <w:r>
        <w:rPr>
          <w:rFonts w:hint="eastAsia" w:ascii="宋体" w:hAnsi="宋体" w:eastAsia="宋体" w:cs="宋体"/>
          <w:b/>
          <w:bCs/>
          <w:snapToGrid w:val="0"/>
          <w:color w:val="000000"/>
          <w:kern w:val="0"/>
          <w:sz w:val="24"/>
          <w:szCs w:val="24"/>
          <w:lang w:val="en-US" w:eastAsia="zh-CN" w:bidi="ar-SA"/>
        </w:rPr>
        <w:t>8.水泵配套电机</w:t>
      </w:r>
    </w:p>
    <w:p w14:paraId="5888ECB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lang w:val="en-US" w:eastAsia="zh-CN" w:bidi="ar-SA"/>
        </w:rPr>
        <w:t>8.1 配套电机使用电压380V；功率与水泵配套；转速与水泵配套，且必须为标准电动机，</w:t>
      </w:r>
      <w:r>
        <w:rPr>
          <w:rFonts w:hint="eastAsia" w:ascii="宋体" w:hAnsi="宋体" w:eastAsia="宋体" w:cs="宋体"/>
          <w:snapToGrid w:val="0"/>
          <w:color w:val="auto"/>
          <w:kern w:val="0"/>
          <w:sz w:val="24"/>
          <w:szCs w:val="24"/>
          <w:lang w:val="en-US" w:eastAsia="zh-CN" w:bidi="ar-SA"/>
        </w:rPr>
        <w:t>应选用西门子，ABB或</w:t>
      </w:r>
      <w:r>
        <w:rPr>
          <w:rFonts w:hint="eastAsia" w:ascii="宋体" w:hAnsi="宋体" w:eastAsia="宋体" w:cs="宋体"/>
          <w:snapToGrid w:val="0"/>
          <w:color w:val="auto"/>
          <w:kern w:val="0"/>
          <w:sz w:val="24"/>
          <w:szCs w:val="24"/>
          <w:highlight w:val="none"/>
          <w:lang w:val="en-US" w:eastAsia="zh-CN" w:bidi="ar-SA"/>
        </w:rPr>
        <w:t>同等</w:t>
      </w:r>
      <w:r>
        <w:rPr>
          <w:rFonts w:hint="eastAsia" w:ascii="宋体" w:hAnsi="宋体" w:eastAsia="宋体" w:cs="宋体"/>
          <w:snapToGrid w:val="0"/>
          <w:color w:val="auto"/>
          <w:kern w:val="0"/>
          <w:sz w:val="24"/>
          <w:szCs w:val="24"/>
          <w:lang w:val="en-US" w:eastAsia="zh-CN" w:bidi="ar-SA"/>
        </w:rPr>
        <w:t>档次</w:t>
      </w:r>
      <w:r>
        <w:rPr>
          <w:rFonts w:hint="eastAsia" w:ascii="宋体" w:hAnsi="宋体" w:eastAsia="宋体" w:cs="宋体"/>
          <w:snapToGrid w:val="0"/>
          <w:color w:val="auto"/>
          <w:kern w:val="0"/>
          <w:sz w:val="24"/>
          <w:szCs w:val="24"/>
          <w:highlight w:val="none"/>
          <w:lang w:val="en-US" w:eastAsia="zh-CN" w:bidi="ar-SA"/>
        </w:rPr>
        <w:t>品牌电机。</w:t>
      </w:r>
    </w:p>
    <w:p w14:paraId="17EDB93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8.2 水泵电动机能效</w:t>
      </w:r>
      <w:bookmarkStart w:id="8" w:name="_Hlk120524831"/>
      <w:bookmarkStart w:id="9" w:name="_Hlk120525511"/>
      <w:r>
        <w:rPr>
          <w:rFonts w:hint="eastAsia" w:ascii="宋体" w:hAnsi="宋体" w:eastAsia="宋体" w:cs="宋体"/>
          <w:snapToGrid w:val="0"/>
          <w:color w:val="auto"/>
          <w:kern w:val="0"/>
          <w:sz w:val="24"/>
          <w:szCs w:val="24"/>
          <w:lang w:val="en-US" w:eastAsia="zh-CN" w:bidi="ar-SA"/>
        </w:rPr>
        <w:t>为1级。</w:t>
      </w:r>
      <w:bookmarkEnd w:id="8"/>
      <w:bookmarkEnd w:id="9"/>
      <w:r>
        <w:rPr>
          <w:rFonts w:hint="eastAsia" w:ascii="宋体" w:hAnsi="宋体" w:eastAsia="宋体" w:cs="宋体"/>
          <w:snapToGrid w:val="0"/>
          <w:color w:val="auto"/>
          <w:kern w:val="0"/>
          <w:sz w:val="24"/>
          <w:szCs w:val="24"/>
          <w:lang w:val="en-US" w:eastAsia="zh-CN" w:bidi="ar-SA"/>
        </w:rPr>
        <w:t>电机外壳采取烤漆工艺，且需有中国能效标识标签。</w:t>
      </w:r>
    </w:p>
    <w:p w14:paraId="6E47914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8.3 电动机绝缘等级F级，防护等级为IP55；电机应有可靠的接地，应标注电机的旋转方向。</w:t>
      </w:r>
    </w:p>
    <w:p w14:paraId="75E0F55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8.4 配套电机额定功率与水泵工况点轴功率之比应大于至少1.1倍，必须保证泵在全运行曲线过程中，电机不过载。</w:t>
      </w:r>
    </w:p>
    <w:p w14:paraId="0332ED9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8.5 水泵控制系统按变频控制，控制柜主要元器件为西门子\ABB\施耐德同等档次品牌。</w:t>
      </w:r>
    </w:p>
    <w:p w14:paraId="5CE5CE9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注：以上文件中“★”条款为必须满足项，技术文件需做出响应，</w:t>
      </w:r>
      <w:r>
        <w:rPr>
          <w:rFonts w:hint="eastAsia" w:ascii="宋体" w:hAnsi="宋体" w:eastAsia="宋体" w:cs="宋体"/>
          <w:snapToGrid w:val="0"/>
          <w:color w:val="auto"/>
          <w:kern w:val="0"/>
          <w:sz w:val="24"/>
          <w:szCs w:val="24"/>
          <w:lang w:val="en-US" w:eastAsia="zh-CN" w:bidi="ar-SA"/>
        </w:rPr>
        <w:t>文件需加盖制造商公章</w:t>
      </w:r>
      <w:bookmarkStart w:id="10" w:name="_GoBack"/>
      <w:bookmarkEnd w:id="10"/>
      <w:r>
        <w:rPr>
          <w:rFonts w:hint="eastAsia" w:ascii="宋体" w:hAnsi="宋体" w:eastAsia="宋体" w:cs="宋体"/>
          <w:snapToGrid w:val="0"/>
          <w:color w:val="000000"/>
          <w:kern w:val="0"/>
          <w:sz w:val="24"/>
          <w:szCs w:val="24"/>
          <w:lang w:val="en-US" w:eastAsia="zh-CN" w:bidi="ar-SA"/>
        </w:rPr>
        <w:t>。</w:t>
      </w:r>
    </w:p>
    <w:sectPr>
      <w:headerReference r:id="rId5" w:type="default"/>
      <w:footerReference r:id="rId6" w:type="default"/>
      <w:pgSz w:w="11906" w:h="16838"/>
      <w:pgMar w:top="1440" w:right="1083" w:bottom="1440" w:left="1083" w:header="851" w:footer="992" w:gutter="0"/>
      <w:pgBorders>
        <w:top w:val="none" w:sz="0" w:space="0"/>
        <w:left w:val="none" w:sz="0" w:space="0"/>
        <w:bottom w:val="none" w:sz="0" w:space="0"/>
        <w:right w:val="none" w:sz="0" w:space="0"/>
      </w:pgBorders>
      <w:cols w:space="0" w:num="1"/>
      <w:rtlGutter w:val="0"/>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051FC">
    <w:pPr>
      <w:spacing w:line="176" w:lineRule="auto"/>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A3771">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7"/>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mMWI2MDU5NWYyMDBhNjhjNGNhYmJkZWUxOTM4N2YifQ=="/>
  </w:docVars>
  <w:rsids>
    <w:rsidRoot w:val="76480A64"/>
    <w:rsid w:val="01326C5B"/>
    <w:rsid w:val="029D62C7"/>
    <w:rsid w:val="03215252"/>
    <w:rsid w:val="03996EA0"/>
    <w:rsid w:val="04597892"/>
    <w:rsid w:val="07981A0C"/>
    <w:rsid w:val="0F19203C"/>
    <w:rsid w:val="118A1E34"/>
    <w:rsid w:val="1735791B"/>
    <w:rsid w:val="1913591C"/>
    <w:rsid w:val="19996254"/>
    <w:rsid w:val="1B080D44"/>
    <w:rsid w:val="1C5320E0"/>
    <w:rsid w:val="1D7E7777"/>
    <w:rsid w:val="1EB61656"/>
    <w:rsid w:val="1FCF54B9"/>
    <w:rsid w:val="220B1CB9"/>
    <w:rsid w:val="251C7214"/>
    <w:rsid w:val="27455C6D"/>
    <w:rsid w:val="29914ABB"/>
    <w:rsid w:val="2A1536D4"/>
    <w:rsid w:val="2C207254"/>
    <w:rsid w:val="305C4409"/>
    <w:rsid w:val="331F7372"/>
    <w:rsid w:val="36560645"/>
    <w:rsid w:val="372C6ADE"/>
    <w:rsid w:val="37EC17C4"/>
    <w:rsid w:val="3C8446EA"/>
    <w:rsid w:val="3D6021C9"/>
    <w:rsid w:val="41A438B4"/>
    <w:rsid w:val="4CE94821"/>
    <w:rsid w:val="4F4949A5"/>
    <w:rsid w:val="4F811EA2"/>
    <w:rsid w:val="54EF3D47"/>
    <w:rsid w:val="5D392742"/>
    <w:rsid w:val="61025A59"/>
    <w:rsid w:val="61C77968"/>
    <w:rsid w:val="61E3378E"/>
    <w:rsid w:val="62B26619"/>
    <w:rsid w:val="62FC2D90"/>
    <w:rsid w:val="64A15589"/>
    <w:rsid w:val="6836142F"/>
    <w:rsid w:val="69213891"/>
    <w:rsid w:val="6943265A"/>
    <w:rsid w:val="6EA17EC1"/>
    <w:rsid w:val="71843CC5"/>
    <w:rsid w:val="743D7AFF"/>
    <w:rsid w:val="76480A64"/>
    <w:rsid w:val="76DF66A9"/>
    <w:rsid w:val="772045D2"/>
    <w:rsid w:val="793C1069"/>
    <w:rsid w:val="7E7C7E92"/>
    <w:rsid w:val="7F394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qFormat/>
    <w:uiPriority w:val="0"/>
    <w:pPr>
      <w:keepNext/>
      <w:numPr>
        <w:ilvl w:val="0"/>
        <w:numId w:val="1"/>
      </w:numPr>
      <w:spacing w:line="216" w:lineRule="auto"/>
      <w:outlineLvl w:val="2"/>
    </w:pPr>
    <w:rPr>
      <w:rFonts w:ascii="宋体"/>
      <w:b/>
      <w:bCs/>
      <w:sz w:val="28"/>
      <w:szCs w:val="20"/>
    </w:rPr>
  </w:style>
  <w:style w:type="paragraph" w:styleId="5">
    <w:name w:val="heading 9"/>
    <w:basedOn w:val="1"/>
    <w:qFormat/>
    <w:uiPriority w:val="1"/>
    <w:pPr>
      <w:ind w:left="1192" w:hanging="360"/>
      <w:outlineLvl w:val="8"/>
    </w:pPr>
    <w:rPr>
      <w:rFonts w:ascii="微软雅黑" w:hAnsi="微软雅黑" w:eastAsia="微软雅黑" w:cs="微软雅黑"/>
      <w:b/>
      <w:bCs/>
      <w:sz w:val="21"/>
      <w:szCs w:val="21"/>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semiHidden/>
    <w:qFormat/>
    <w:uiPriority w:val="0"/>
    <w:rPr>
      <w:rFonts w:ascii="宋体" w:hAnsi="宋体" w:eastAsia="宋体" w:cs="宋体"/>
      <w:sz w:val="28"/>
      <w:szCs w:val="28"/>
      <w:lang w:val="en-US" w:eastAsia="en-US" w:bidi="ar-SA"/>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after="100" w:line="276" w:lineRule="auto"/>
      <w:jc w:val="left"/>
    </w:pPr>
    <w:rPr>
      <w:rFonts w:asciiTheme="minorHAnsi" w:hAnsiTheme="minorHAnsi" w:eastAsiaTheme="minorEastAsia"/>
      <w:kern w:val="0"/>
      <w:sz w:val="22"/>
    </w:rPr>
  </w:style>
  <w:style w:type="paragraph" w:styleId="10">
    <w:name w:val="Body Text First Indent"/>
    <w:basedOn w:val="6"/>
    <w:qFormat/>
    <w:uiPriority w:val="0"/>
    <w:pPr>
      <w:spacing w:line="360" w:lineRule="auto"/>
      <w:ind w:firstLine="420"/>
    </w:pPr>
    <w:rPr>
      <w:rFonts w:ascii="宋体" w:hAnsi="宋体"/>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qFormat/>
    <w:uiPriority w:val="99"/>
    <w:rPr>
      <w:color w:val="0000FF"/>
      <w:u w:val="single"/>
    </w:rPr>
  </w:style>
  <w:style w:type="paragraph" w:customStyle="1" w:styleId="16">
    <w:name w:val="Table Text"/>
    <w:basedOn w:val="1"/>
    <w:semiHidden/>
    <w:qFormat/>
    <w:uiPriority w:val="0"/>
    <w:rPr>
      <w:rFonts w:ascii="宋体" w:hAnsi="宋体" w:eastAsia="宋体" w:cs="宋体"/>
      <w:sz w:val="20"/>
      <w:szCs w:val="20"/>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9">
    <w:name w:val="List Paragraph"/>
    <w:basedOn w:val="1"/>
    <w:qFormat/>
    <w:uiPriority w:val="99"/>
    <w:pPr>
      <w:ind w:firstLine="420" w:firstLineChars="200"/>
    </w:pPr>
  </w:style>
  <w:style w:type="paragraph" w:customStyle="1" w:styleId="20">
    <w:name w:val="Table Paragraph"/>
    <w:basedOn w:val="1"/>
    <w:qFormat/>
    <w:uiPriority w:val="1"/>
  </w:style>
  <w:style w:type="character" w:customStyle="1" w:styleId="21">
    <w:name w:val="font01"/>
    <w:basedOn w:val="13"/>
    <w:qFormat/>
    <w:uiPriority w:val="0"/>
    <w:rPr>
      <w:rFonts w:hint="eastAsia" w:ascii="宋体" w:hAnsi="宋体" w:eastAsia="宋体" w:cs="宋体"/>
      <w:color w:val="000000"/>
      <w:sz w:val="22"/>
      <w:szCs w:val="22"/>
      <w:u w:val="none"/>
    </w:rPr>
  </w:style>
  <w:style w:type="character" w:customStyle="1" w:styleId="22">
    <w:name w:val="font31"/>
    <w:basedOn w:val="13"/>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1168</Words>
  <Characters>1270</Characters>
  <Lines>0</Lines>
  <Paragraphs>0</Paragraphs>
  <TotalTime>66</TotalTime>
  <ScaleCrop>false</ScaleCrop>
  <LinksUpToDate>false</LinksUpToDate>
  <CharactersWithSpaces>1300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2025-02-02T04:22:00Z</dcterms:created>
  <dc:creator>想想</dc:creator>
  <cp:lastModifiedBy>二话不说撒腿儿就跑</cp:lastModifiedBy>
  <dcterms:modified xsi:type="dcterms:W3CDTF">2025-08-20T09:14:44Z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B6187E54F279492E90CA947096A5C0B7_13</vt:lpwstr>
  </property>
  <property fmtid="{D5CDD505-2E9C-101B-9397-08002B2CF9AE}" pid="4" name="KSOTemplateDocerSaveRecord">
    <vt:lpwstr>eyJoZGlkIjoiMmJlMDc3NTkwMTJlMzEyZTI4NGQ0OGEyMTlhZWVkZjUiLCJ1c2VySWQiOiIzMDY0MTcyMTkifQ==</vt:lpwstr>
  </property>
</Properties>
</file>