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21" w:tblpY="521"/>
        <w:tblOverlap w:val="never"/>
        <w:tblW w:w="99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185"/>
        <w:gridCol w:w="6946"/>
        <w:gridCol w:w="1124"/>
      </w:tblGrid>
      <w:tr w14:paraId="49FAA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5625DA">
            <w:pPr>
              <w:widowControl/>
              <w:jc w:val="both"/>
              <w:textAlignment w:val="center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EE4F6">
            <w:pPr>
              <w:widowControl/>
              <w:jc w:val="both"/>
              <w:textAlignment w:val="center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产品名称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96F1F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详细参数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D8403">
            <w:pPr>
              <w:widowControl/>
              <w:jc w:val="both"/>
              <w:textAlignment w:val="bottom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备注</w:t>
            </w:r>
          </w:p>
        </w:tc>
      </w:tr>
      <w:tr w14:paraId="33AC0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4FD01">
            <w:pPr>
              <w:widowControl/>
              <w:jc w:val="center"/>
              <w:textAlignment w:val="center"/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83FA3">
            <w:pPr>
              <w:widowControl/>
              <w:jc w:val="both"/>
              <w:textAlignment w:val="center"/>
              <w:rPr>
                <w:rFonts w:hint="eastAsia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高性能工作站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主机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标准版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61ACC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市场主流品牌商用台式电脑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04A4E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仅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主机</w:t>
            </w:r>
          </w:p>
        </w:tc>
      </w:tr>
      <w:tr w14:paraId="7D135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953A3">
            <w:pPr>
              <w:jc w:val="center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FCC19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C0028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 xml:space="preserve">CPU：Intel 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i5-14600K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及以上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52CE12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5413E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1883C">
            <w:pPr>
              <w:jc w:val="center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E9467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FA413">
            <w:pPr>
              <w:widowControl/>
              <w:jc w:val="both"/>
              <w:textAlignment w:val="top"/>
              <w:rPr>
                <w:rFonts w:hint="eastAsia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主板：商用芯片组（兼容所用配件）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，支持扩展独立显卡（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RTX 4060 Ti、RTX 5060等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），支持更新升级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CPU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DBD06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15853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3BEBAA">
            <w:pPr>
              <w:jc w:val="center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51073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570A3">
            <w:pPr>
              <w:widowControl/>
              <w:jc w:val="both"/>
              <w:textAlignment w:val="top"/>
              <w:rPr>
                <w:rFonts w:hint="eastAsia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内存：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16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 xml:space="preserve">G 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DDR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5及以上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，有扩展插槽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，可扩展至 64GB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及以上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C91CB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42856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5861CA">
            <w:pPr>
              <w:jc w:val="center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73331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6AB32C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硬盘：1TB PCIe 4.0 SSD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及以上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27AA5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28856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1E076">
            <w:pPr>
              <w:jc w:val="center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8EBF3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B2AA1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显卡：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集显或核显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，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支持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HDMI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2.0+DP1.4及以上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（根据需求免费提供转接头）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68017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5AF92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3C898">
            <w:pPr>
              <w:jc w:val="center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86904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D6F90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网卡：千兆有线网卡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A788B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00F70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9530">
            <w:pPr>
              <w:jc w:val="center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C9B10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8D4FD3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接口： USB 接口8个或以上（前置两个及以上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至少带两个USB3.0及以上接口），1个串口，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至少一个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HDMI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2.0及以上，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至少一个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PD1.4及以上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；如有其它需求免费提供转接头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E4C5A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508BD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5A799">
            <w:pPr>
              <w:jc w:val="center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70584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FDEB9D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键盘/鼠标：同一品牌USB键盘鼠标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078EC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32721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E3AE2">
            <w:pPr>
              <w:jc w:val="center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68FC2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2746E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电源：高能效电源（满足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整机配件稳定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供电需求）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1EF89F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2C4AE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653A7">
            <w:pPr>
              <w:jc w:val="center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08643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3992FD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插槽：不少于1个PCIe 5.0x16、1个PCIe x1、1个PCI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8C8520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31B6B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C246D">
            <w:pPr>
              <w:jc w:val="center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B49DC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5D96E7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稳定性：主机平均无故障时间（MTBF）大于100万小时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675E8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60B0F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86F74">
            <w:pPr>
              <w:jc w:val="center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E4B4A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0AE939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售后服务：原厂一年上门质保(建立资产管理台账或系统，监督质保时间)（质保时间从交付使用开始计算）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5124D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18A7A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1B4B8">
            <w:pPr>
              <w:jc w:val="center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3C296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498874">
            <w:pPr>
              <w:widowControl/>
              <w:jc w:val="both"/>
              <w:textAlignment w:val="top"/>
              <w:rPr>
                <w:rFonts w:hint="eastAsia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操作系统：出厂预装正版Win 10 企业版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及以上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AC251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4D188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C8393">
            <w:pPr>
              <w:widowControl/>
              <w:jc w:val="center"/>
              <w:textAlignment w:val="center"/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FF036">
            <w:pPr>
              <w:widowControl/>
              <w:jc w:val="both"/>
              <w:textAlignment w:val="center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lang w:val="en-US" w:eastAsia="zh-CN"/>
              </w:rPr>
              <w:t>高性能工作站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主机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升级版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3F0846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市场主流品牌商用台式电脑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4FF70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仅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主机</w:t>
            </w:r>
          </w:p>
        </w:tc>
      </w:tr>
      <w:tr w14:paraId="16CF0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420A0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4FBA3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02BE1">
            <w:pPr>
              <w:widowControl/>
              <w:jc w:val="both"/>
              <w:textAlignment w:val="top"/>
              <w:rPr>
                <w:rFonts w:hint="eastAsia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 xml:space="preserve">CPU：Intel 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i7-14700K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及以上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，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B4704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0DCF9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42B04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D5E67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773BF">
            <w:pPr>
              <w:widowControl/>
              <w:jc w:val="both"/>
              <w:textAlignment w:val="top"/>
              <w:rPr>
                <w:rFonts w:hint="default" w:hAnsi="宋体" w:eastAsia="宋体" w:cs="宋体"/>
                <w:color w:val="000000"/>
                <w:sz w:val="22"/>
                <w:lang w:val="en-US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主板：商用芯片组（兼容所用配件）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，支持扩展高端独立显卡（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RTX 5080、RTX 5090等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），支持更新升级高端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CPU（如：R9 9950X3D、i9-14900K）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69FFA3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09F05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C2331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1F94C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8A95E">
            <w:pPr>
              <w:widowControl/>
              <w:jc w:val="both"/>
              <w:textAlignment w:val="top"/>
              <w:rPr>
                <w:rFonts w:hint="default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内存：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16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 xml:space="preserve">G 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DDR5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及以上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，有扩展插槽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 xml:space="preserve">，可扩展至 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128G及以上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A130A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417BE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1EFEB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54AD7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803C8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硬盘：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2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TB PCIe 4.0 SSD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及以上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7DEED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293EA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98616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DD493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C52BC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显卡：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集显或核显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，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支持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HDMI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2.0+DP1.4及以上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（根据需求免费提供转接头）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7FE161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3B4EB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F3243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889F8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424F8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网卡：千兆有线网卡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6F304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743F9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B4290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385B9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2BF814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接口： USB 接口8个或以上（前置两个及以上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至少带两个USB3.0及以上接口），1个串口，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至少一个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HDMI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2.0及以上，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至少一个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PD1.4及以上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；如有其它需求免费提供转接头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40EDAD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14896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301EC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BDAF0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28AD3C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键盘/鼠标：同一品牌USB键盘鼠标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DD55B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700AC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4EEBA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2EAF5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6B081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电源：高能效电源（满足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整机配件稳定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供电需求）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C82E5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22D67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44873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2C93D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1BA930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插槽：不少于1个PCIe 5.0x16、1个PCIe x1、1个PCI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EBF1C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7BFAD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3E4E4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5E1CE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17176A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稳定性：主机平均无故障时间（MTBF）大于100万小时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C74AA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616B1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82FE0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31786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F95A20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售后服务：原厂一年上门质保(建立资产管理台账或系统，监督质保时间)（质保时间从交付使用开始计算）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127B1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10EA8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60BB6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8887C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FEB7CF">
            <w:pPr>
              <w:widowControl/>
              <w:jc w:val="both"/>
              <w:textAlignment w:val="top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操作系统：出厂预装正版Win 10 企业版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及以上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290DC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65DC5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1C3EA1">
            <w:pPr>
              <w:widowControl/>
              <w:jc w:val="center"/>
              <w:textAlignment w:val="center"/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4F2C7">
            <w:pPr>
              <w:widowControl/>
              <w:jc w:val="both"/>
              <w:textAlignment w:val="center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24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寸可升降显示器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A7563">
            <w:pPr>
              <w:widowControl/>
              <w:jc w:val="both"/>
              <w:textAlignment w:val="center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24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寸IPS 窄边框液晶显示器，分辨率1920*1080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及以上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，带至少两种视频接口（VGA，HDMI，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DP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），并根据实际需要免费提供视频接口转接头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BFFB6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1B022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86908C">
            <w:pPr>
              <w:widowControl/>
              <w:jc w:val="center"/>
              <w:textAlignment w:val="center"/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65933">
            <w:pPr>
              <w:widowControl/>
              <w:jc w:val="both"/>
              <w:textAlignment w:val="center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24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寸可升降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旋带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USB扩展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显示器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430FD">
            <w:pPr>
              <w:widowControl/>
              <w:jc w:val="both"/>
              <w:textAlignment w:val="center"/>
              <w:rPr>
                <w:rFonts w:hint="default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24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寸IPS 窄边框液晶显示器，分辨率1920*1080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及以上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，带至少两种视频接口（VGA，HDMI，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DP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），并根据实际需要免费提供视频接口转接头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，带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USB扩展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086614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7C661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EC53A">
            <w:pPr>
              <w:widowControl/>
              <w:jc w:val="center"/>
              <w:textAlignment w:val="center"/>
              <w:rPr>
                <w:rFonts w:hint="default" w:hAnsi="宋体" w:eastAsia="宋体" w:cs="宋体" w:asciiTheme="minorHAns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397A6">
            <w:pPr>
              <w:widowControl/>
              <w:jc w:val="both"/>
              <w:textAlignment w:val="center"/>
              <w:rPr>
                <w:rFonts w:hAnsi="宋体" w:eastAsia="宋体" w:cs="宋体" w:asciiTheme="minorHAns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27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寸可升降显示器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CE721">
            <w:pPr>
              <w:widowControl/>
              <w:jc w:val="both"/>
              <w:textAlignment w:val="center"/>
              <w:rPr>
                <w:rFonts w:hAnsi="宋体" w:eastAsia="宋体" w:cs="宋体" w:asciiTheme="minorHAns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24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寸IPS 窄边框液晶显示器，分辨率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2560*1440及以上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，带至少两种视频接口（VGA，HDMI，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DP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），并根据实际需要免费提供视频接口转接头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14663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07DD7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5DD4C">
            <w:pPr>
              <w:widowControl/>
              <w:jc w:val="center"/>
              <w:textAlignment w:val="center"/>
              <w:rPr>
                <w:rFonts w:hint="default" w:hAnsi="宋体" w:eastAsia="宋体" w:cs="宋体" w:asciiTheme="minorHAns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60806">
            <w:pPr>
              <w:widowControl/>
              <w:jc w:val="both"/>
              <w:textAlignment w:val="center"/>
              <w:rPr>
                <w:rFonts w:hAnsi="宋体" w:eastAsia="宋体" w:cs="宋体" w:asciiTheme="minorHAns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27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寸可升降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旋转带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USB扩展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显示器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A725C">
            <w:pPr>
              <w:widowControl/>
              <w:jc w:val="both"/>
              <w:textAlignment w:val="center"/>
              <w:rPr>
                <w:rFonts w:hint="default" w:hAnsi="宋体" w:eastAsia="宋体" w:cs="宋体" w:asciiTheme="minorHAns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24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寸IPS 窄边框液晶显示器，分辨率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2560*1440及以上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，带至少两种视频接口（VGA，HDMI，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DP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），并根据实际需要免费提供视频接口转接头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，带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USB扩展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DC1FC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7822B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38A28">
            <w:pPr>
              <w:widowControl/>
              <w:jc w:val="center"/>
              <w:textAlignment w:val="center"/>
              <w:rPr>
                <w:rFonts w:hint="default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884D3">
            <w:pPr>
              <w:widowControl/>
              <w:jc w:val="both"/>
              <w:textAlignment w:val="center"/>
              <w:rPr>
                <w:rFonts w:hint="default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Intel处理器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CE858">
            <w:pPr>
              <w:widowControl/>
              <w:tabs>
                <w:tab w:val="left" w:pos="776"/>
              </w:tabs>
              <w:jc w:val="both"/>
              <w:textAlignment w:val="top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i5-12600KF、i5-14600K、i7-12700KF‌、i7-14700K、i9-14900K、‌i9-14900KF、Ultra 7 265K、Ultra 9 285K‌等，分别单独报价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6FB25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6FCA6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2C7AD">
            <w:pPr>
              <w:widowControl/>
              <w:jc w:val="center"/>
              <w:textAlignment w:val="center"/>
              <w:rPr>
                <w:rFonts w:hint="default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9D70D">
            <w:pPr>
              <w:widowControl/>
              <w:jc w:val="both"/>
              <w:textAlignment w:val="center"/>
              <w:rPr>
                <w:rFonts w:hint="default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AMD处理器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A733F">
            <w:pPr>
              <w:widowControl/>
              <w:tabs>
                <w:tab w:val="left" w:pos="776"/>
              </w:tabs>
              <w:jc w:val="both"/>
              <w:textAlignment w:val="top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R7 7800X3D、R7 9700X、R7 9800X3D、R9 9900X、R9 9900X3D、R9 9950X、R9 9950X3D、‌PRO 7975WX、PRO 9995WX‌‌等，分别单独报价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8D30F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261FC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A6E46">
            <w:pPr>
              <w:widowControl/>
              <w:jc w:val="center"/>
              <w:textAlignment w:val="center"/>
              <w:rPr>
                <w:rFonts w:hint="default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C612D">
            <w:pPr>
              <w:widowControl/>
              <w:jc w:val="both"/>
              <w:textAlignment w:val="center"/>
              <w:rPr>
                <w:rFonts w:hint="eastAsia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 xml:space="preserve">NVIDIA </w:t>
            </w:r>
            <w:r>
              <w:rPr>
                <w:rFonts w:hint="eastAsia"/>
              </w:rPr>
              <w:t>RTX 40</w:t>
            </w:r>
            <w:r>
              <w:rPr>
                <w:rFonts w:hint="eastAsia"/>
                <w:lang w:eastAsia="zh-CN"/>
              </w:rPr>
              <w:t>系列</w:t>
            </w:r>
            <w:r>
              <w:rPr>
                <w:rFonts w:hint="eastAsia"/>
                <w:lang w:val="en-US" w:eastAsia="zh-CN"/>
              </w:rPr>
              <w:t>独立显卡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C7F65">
            <w:pPr>
              <w:widowControl/>
              <w:tabs>
                <w:tab w:val="left" w:pos="776"/>
              </w:tabs>
              <w:jc w:val="both"/>
              <w:textAlignment w:val="top"/>
              <w:rPr>
                <w:rFonts w:hint="default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</w:rPr>
              <w:t>RTX 4060</w:t>
            </w:r>
            <w:r>
              <w:rPr>
                <w:rFonts w:hint="eastAsia"/>
                <w:lang w:val="en-US" w:eastAsia="zh-CN"/>
              </w:rPr>
              <w:t>、RTX 4060 Ti、RTX 4070、RTX 4070 Ti、RTX 4080、RTX 4090等，RTX 40系列全系全规格，分别单独报价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0EF1E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79FD7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ECAD4">
            <w:pPr>
              <w:widowControl/>
              <w:jc w:val="center"/>
              <w:textAlignment w:val="center"/>
              <w:rPr>
                <w:rFonts w:hint="default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127078">
            <w:pPr>
              <w:widowControl/>
              <w:jc w:val="both"/>
              <w:textAlignment w:val="center"/>
              <w:rPr>
                <w:rFonts w:hint="default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 xml:space="preserve">NVIDIA RTX 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5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0系列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独立显卡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37493">
            <w:pPr>
              <w:widowControl/>
              <w:tabs>
                <w:tab w:val="left" w:pos="776"/>
              </w:tabs>
              <w:jc w:val="both"/>
              <w:textAlignment w:val="top"/>
              <w:rPr>
                <w:rFonts w:hint="default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 xml:space="preserve">RTX 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5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060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、RTX 5060 Ti、RTX 5070、RTX 5070 Ti、RTX 5080、RTX 5090等，RTX 50系列全系全规格，分别单独报价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35048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1F12F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34B8F">
            <w:pPr>
              <w:widowControl/>
              <w:jc w:val="center"/>
              <w:textAlignment w:val="center"/>
              <w:rPr>
                <w:rFonts w:hint="default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532A3">
            <w:pPr>
              <w:widowControl/>
              <w:jc w:val="both"/>
              <w:textAlignment w:val="center"/>
              <w:rPr>
                <w:rFonts w:hint="eastAsia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电源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FF181">
            <w:pPr>
              <w:widowControl/>
              <w:jc w:val="both"/>
              <w:textAlignment w:val="top"/>
              <w:rPr>
                <w:rFonts w:hint="eastAsia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400W、450W、500W、550W、600W、650W、750W、850W、1000W、1200W等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，根据具体设备配置，分别单独报价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ED53B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6BDF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C90EE">
            <w:pPr>
              <w:widowControl/>
              <w:jc w:val="center"/>
              <w:textAlignment w:val="center"/>
              <w:rPr>
                <w:rFonts w:hint="default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8E081">
            <w:pPr>
              <w:widowControl/>
              <w:jc w:val="both"/>
              <w:textAlignment w:val="center"/>
              <w:rPr>
                <w:rFonts w:hint="eastAsia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有线网卡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C1E61">
            <w:pPr>
              <w:widowControl/>
              <w:jc w:val="both"/>
              <w:textAlignment w:val="top"/>
              <w:rPr>
                <w:rFonts w:hint="default" w:hAnsi="宋体" w:eastAsia="宋体" w:cs="宋体"/>
                <w:color w:val="000000"/>
                <w:sz w:val="22"/>
                <w:lang w:val="en-US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1 Gbps、2.5 Gbps等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，分别单独报价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D55278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2223D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691335">
            <w:pPr>
              <w:widowControl/>
              <w:jc w:val="center"/>
              <w:textAlignment w:val="center"/>
              <w:rPr>
                <w:rFonts w:hint="default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21F56">
            <w:pPr>
              <w:widowControl/>
              <w:jc w:val="both"/>
              <w:textAlignment w:val="center"/>
              <w:rPr>
                <w:rFonts w:hint="eastAsia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无线网卡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2B179">
            <w:pPr>
              <w:widowControl/>
              <w:jc w:val="both"/>
              <w:textAlignment w:val="top"/>
              <w:rPr>
                <w:rFonts w:hint="eastAsia"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802.11ac、802.11ax等，1Gbps及以上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，分别单独报价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35AB2D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70AA8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CF885">
            <w:pPr>
              <w:widowControl/>
              <w:jc w:val="center"/>
              <w:textAlignment w:val="center"/>
              <w:rPr>
                <w:rFonts w:hint="default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C2C45">
            <w:pPr>
              <w:widowControl/>
              <w:jc w:val="both"/>
              <w:textAlignment w:val="center"/>
              <w:rPr>
                <w:rFonts w:hint="default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散热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3382D">
            <w:pPr>
              <w:widowControl/>
              <w:jc w:val="both"/>
              <w:textAlignment w:val="top"/>
              <w:rPr>
                <w:rFonts w:hint="eastAsia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根据具体设备配置，单独报价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B62AC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49DD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A1DEC">
            <w:pPr>
              <w:widowControl/>
              <w:jc w:val="center"/>
              <w:textAlignment w:val="center"/>
              <w:rPr>
                <w:rFonts w:hint="default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9DDC77">
            <w:pPr>
              <w:widowControl/>
              <w:jc w:val="both"/>
              <w:textAlignment w:val="center"/>
              <w:rPr>
                <w:rFonts w:hint="eastAsia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主板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8ACD8">
            <w:pPr>
              <w:widowControl/>
              <w:jc w:val="both"/>
              <w:textAlignment w:val="top"/>
              <w:rPr>
                <w:rFonts w:hint="eastAsia"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根据具体设备配置，单独报价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A9BBC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76CFB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B87CA">
            <w:pPr>
              <w:widowControl/>
              <w:jc w:val="center"/>
              <w:textAlignment w:val="center"/>
              <w:rPr>
                <w:rFonts w:hint="default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6CC1D">
            <w:pPr>
              <w:widowControl/>
              <w:jc w:val="both"/>
              <w:textAlignment w:val="center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操作系统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7D953">
            <w:pPr>
              <w:widowControl/>
              <w:jc w:val="both"/>
              <w:textAlignment w:val="top"/>
              <w:rPr>
                <w:rFonts w:hint="eastAsia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按照要求提供正版WINDOWS10企业版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及以上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1C570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47A32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49AF3">
            <w:pPr>
              <w:widowControl/>
              <w:jc w:val="center"/>
              <w:textAlignment w:val="center"/>
              <w:rPr>
                <w:rFonts w:hint="default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128E3">
            <w:pPr>
              <w:widowControl/>
              <w:jc w:val="both"/>
              <w:textAlignment w:val="center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内存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68E7A">
            <w:pPr>
              <w:widowControl/>
              <w:jc w:val="both"/>
              <w:textAlignment w:val="bottom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8GB、16GB、32GB、64GB、128GB，DDR4及DDR5，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分别单独报价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052B5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3F6C4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5F318">
            <w:pPr>
              <w:widowControl/>
              <w:jc w:val="center"/>
              <w:textAlignment w:val="center"/>
              <w:rPr>
                <w:rFonts w:hint="default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1B3B2">
            <w:pPr>
              <w:widowControl/>
              <w:tabs>
                <w:tab w:val="left" w:pos="371"/>
              </w:tabs>
              <w:jc w:val="both"/>
              <w:textAlignment w:val="center"/>
              <w:rPr>
                <w:rFonts w:hint="eastAsia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固态硬盘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B004A">
            <w:pPr>
              <w:widowControl/>
              <w:jc w:val="both"/>
              <w:textAlignment w:val="bottom"/>
              <w:rPr>
                <w:rFonts w:hint="eastAsia"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5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12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GB、1TB、2TB、4TB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，PCIe 4.0及以上，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分别单独报价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8606B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2C4A1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387513">
            <w:pPr>
              <w:widowControl/>
              <w:jc w:val="center"/>
              <w:textAlignment w:val="center"/>
              <w:rPr>
                <w:rFonts w:hint="default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088E6">
            <w:pPr>
              <w:widowControl/>
              <w:jc w:val="both"/>
              <w:textAlignment w:val="center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机械硬盘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AFABF">
            <w:pPr>
              <w:widowControl/>
              <w:jc w:val="both"/>
              <w:textAlignment w:val="bottom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1T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B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2T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B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4T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B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hAnsi="宋体" w:eastAsia="宋体" w:cs="宋体"/>
                <w:color w:val="000000"/>
                <w:sz w:val="22"/>
                <w:lang w:val="en-US" w:eastAsia="zh-CN"/>
              </w:rPr>
              <w:t>6TB、8TB、10TB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分别单独报价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CC4C9B">
            <w:pPr>
              <w:jc w:val="both"/>
              <w:rPr>
                <w:rFonts w:hAnsi="宋体" w:eastAsia="宋体" w:cs="宋体"/>
                <w:color w:val="000000"/>
                <w:sz w:val="22"/>
              </w:rPr>
            </w:pPr>
          </w:p>
        </w:tc>
      </w:tr>
      <w:tr w14:paraId="29DA3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296385">
            <w:pPr>
              <w:pStyle w:val="10"/>
              <w:numPr>
                <w:ilvl w:val="0"/>
                <w:numId w:val="1"/>
              </w:numPr>
              <w:ind w:firstLineChars="0"/>
              <w:jc w:val="both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所有终端设备及外设都报单价</w:t>
            </w:r>
          </w:p>
          <w:p w14:paraId="3B1139F8">
            <w:pPr>
              <w:pStyle w:val="10"/>
              <w:numPr>
                <w:ilvl w:val="0"/>
                <w:numId w:val="1"/>
              </w:numPr>
              <w:ind w:firstLineChars="0"/>
              <w:jc w:val="both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设备供货商需确保所提供硬件与医院方所有应用程序兼容。</w:t>
            </w:r>
          </w:p>
          <w:p w14:paraId="38FF5E9B">
            <w:pPr>
              <w:pStyle w:val="10"/>
              <w:numPr>
                <w:ilvl w:val="0"/>
                <w:numId w:val="1"/>
              </w:numPr>
              <w:ind w:firstLineChars="0"/>
              <w:jc w:val="both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在接到送货通知后，必须3天内送货到达现场完成交付。如遇特殊情况协商解决。</w:t>
            </w:r>
          </w:p>
          <w:p w14:paraId="5918C886">
            <w:pPr>
              <w:pStyle w:val="10"/>
              <w:numPr>
                <w:ilvl w:val="0"/>
                <w:numId w:val="1"/>
              </w:numPr>
              <w:ind w:firstLineChars="0"/>
              <w:jc w:val="both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电脑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五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年免费整机维保（质保时间从交付使用开始计算），打印机等外设</w:t>
            </w:r>
            <w:r>
              <w:rPr>
                <w:rFonts w:hint="eastAsia" w:hAnsi="宋体" w:eastAsia="宋体" w:cs="宋体"/>
                <w:color w:val="000000"/>
                <w:sz w:val="22"/>
                <w:lang w:eastAsia="zh-CN"/>
              </w:rPr>
              <w:t>三</w:t>
            </w:r>
            <w:r>
              <w:rPr>
                <w:rFonts w:hint="eastAsia" w:hAnsi="宋体" w:eastAsia="宋体" w:cs="宋体"/>
                <w:color w:val="000000"/>
                <w:sz w:val="22"/>
              </w:rPr>
              <w:t>年免费整机维保（质保时间从交付使用开始计算）</w:t>
            </w:r>
          </w:p>
          <w:p w14:paraId="54B70B86">
            <w:pPr>
              <w:pStyle w:val="10"/>
              <w:numPr>
                <w:ilvl w:val="0"/>
                <w:numId w:val="1"/>
              </w:numPr>
              <w:ind w:firstLineChars="0"/>
              <w:jc w:val="both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所有设备在质保期内包含免费安装调试（调试包含：接入网络，应用软件安装等），硬件质保期内的运维调试</w:t>
            </w:r>
          </w:p>
          <w:p w14:paraId="2570F208">
            <w:pPr>
              <w:pStyle w:val="10"/>
              <w:numPr>
                <w:ilvl w:val="0"/>
                <w:numId w:val="1"/>
              </w:numPr>
              <w:ind w:firstLineChars="0"/>
              <w:jc w:val="both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设备供货商需对所有设备的质保到期时间有明确登记（SN码一一对应）（在设备显眼处贴上质保时间和维保固定联系人电话），协助医院使用部门和设备处对设备资产进行管理，确保账物一致。</w:t>
            </w:r>
          </w:p>
          <w:p w14:paraId="526DE8B2">
            <w:pPr>
              <w:pStyle w:val="10"/>
              <w:numPr>
                <w:ilvl w:val="0"/>
                <w:numId w:val="1"/>
              </w:numPr>
              <w:ind w:firstLineChars="0"/>
              <w:jc w:val="both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每个院区安排一个驻场技术人员（按照我院正常工作时间考勤），特殊时间段内可临时增派人员</w:t>
            </w:r>
          </w:p>
          <w:p w14:paraId="30F97B5E">
            <w:pPr>
              <w:pStyle w:val="10"/>
              <w:numPr>
                <w:ilvl w:val="0"/>
                <w:numId w:val="1"/>
              </w:numPr>
              <w:ind w:firstLineChars="0"/>
              <w:jc w:val="both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签订保密协议，如有数据泄露公司承担相应责任。</w:t>
            </w:r>
          </w:p>
          <w:p w14:paraId="0FAA5703">
            <w:pPr>
              <w:pStyle w:val="10"/>
              <w:numPr>
                <w:ilvl w:val="0"/>
                <w:numId w:val="1"/>
              </w:numPr>
              <w:ind w:firstLineChars="0"/>
              <w:jc w:val="both"/>
              <w:rPr>
                <w:rFonts w:hAnsi="宋体" w:eastAsia="宋体" w:cs="宋体"/>
                <w:color w:val="000000"/>
                <w:sz w:val="22"/>
              </w:rPr>
            </w:pPr>
            <w:r>
              <w:rPr>
                <w:rFonts w:hint="eastAsia" w:hAnsi="宋体" w:eastAsia="宋体" w:cs="宋体"/>
                <w:color w:val="000000"/>
                <w:sz w:val="22"/>
              </w:rPr>
              <w:t>具有所有设备的备件库（在需要供货和备用机时保证两小时内送达现场）</w:t>
            </w:r>
          </w:p>
        </w:tc>
      </w:tr>
    </w:tbl>
    <w:p w14:paraId="7C3D2EED"/>
    <w:p w14:paraId="5087C1A6">
      <w:pPr>
        <w:ind w:firstLine="420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       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F674D"/>
    <w:multiLevelType w:val="multilevel"/>
    <w:tmpl w:val="3EBF674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DD"/>
    <w:rsid w:val="00002592"/>
    <w:rsid w:val="000175E5"/>
    <w:rsid w:val="00024139"/>
    <w:rsid w:val="00064A5B"/>
    <w:rsid w:val="000903EA"/>
    <w:rsid w:val="00094D9B"/>
    <w:rsid w:val="000969B0"/>
    <w:rsid w:val="000D21E4"/>
    <w:rsid w:val="001153AF"/>
    <w:rsid w:val="00145306"/>
    <w:rsid w:val="00153D87"/>
    <w:rsid w:val="00155BE6"/>
    <w:rsid w:val="00172199"/>
    <w:rsid w:val="001A03C5"/>
    <w:rsid w:val="001A2C75"/>
    <w:rsid w:val="001B028A"/>
    <w:rsid w:val="001B1973"/>
    <w:rsid w:val="001F440E"/>
    <w:rsid w:val="001F47E7"/>
    <w:rsid w:val="00204504"/>
    <w:rsid w:val="00215405"/>
    <w:rsid w:val="00215CB0"/>
    <w:rsid w:val="0024491F"/>
    <w:rsid w:val="00250D47"/>
    <w:rsid w:val="0026183E"/>
    <w:rsid w:val="00272453"/>
    <w:rsid w:val="002A112D"/>
    <w:rsid w:val="002C0BDD"/>
    <w:rsid w:val="00330ECA"/>
    <w:rsid w:val="00350EA8"/>
    <w:rsid w:val="00360714"/>
    <w:rsid w:val="003A0606"/>
    <w:rsid w:val="003A5933"/>
    <w:rsid w:val="003B149C"/>
    <w:rsid w:val="003B2152"/>
    <w:rsid w:val="003F372D"/>
    <w:rsid w:val="00401476"/>
    <w:rsid w:val="004016C4"/>
    <w:rsid w:val="00431CF5"/>
    <w:rsid w:val="0044182E"/>
    <w:rsid w:val="004418EF"/>
    <w:rsid w:val="00453CF1"/>
    <w:rsid w:val="00456F61"/>
    <w:rsid w:val="004A4F00"/>
    <w:rsid w:val="004F1A51"/>
    <w:rsid w:val="00501FEC"/>
    <w:rsid w:val="00527628"/>
    <w:rsid w:val="00534A82"/>
    <w:rsid w:val="00543DD9"/>
    <w:rsid w:val="00553A5E"/>
    <w:rsid w:val="005E0BA0"/>
    <w:rsid w:val="006001DC"/>
    <w:rsid w:val="00626192"/>
    <w:rsid w:val="00626F0E"/>
    <w:rsid w:val="006365F3"/>
    <w:rsid w:val="00637175"/>
    <w:rsid w:val="006674CB"/>
    <w:rsid w:val="00683896"/>
    <w:rsid w:val="00685A1F"/>
    <w:rsid w:val="00687ECF"/>
    <w:rsid w:val="00691C8D"/>
    <w:rsid w:val="00693235"/>
    <w:rsid w:val="006A28BA"/>
    <w:rsid w:val="006A5162"/>
    <w:rsid w:val="00725A51"/>
    <w:rsid w:val="00760570"/>
    <w:rsid w:val="00775931"/>
    <w:rsid w:val="007B00B0"/>
    <w:rsid w:val="007B0AA1"/>
    <w:rsid w:val="007B5AA9"/>
    <w:rsid w:val="007C40B8"/>
    <w:rsid w:val="00810BA7"/>
    <w:rsid w:val="00817C17"/>
    <w:rsid w:val="00840834"/>
    <w:rsid w:val="00851A69"/>
    <w:rsid w:val="00862DE0"/>
    <w:rsid w:val="0086512C"/>
    <w:rsid w:val="00872A16"/>
    <w:rsid w:val="00875F1C"/>
    <w:rsid w:val="008961DD"/>
    <w:rsid w:val="008A3D1D"/>
    <w:rsid w:val="008A5282"/>
    <w:rsid w:val="008A7E14"/>
    <w:rsid w:val="008E32A7"/>
    <w:rsid w:val="009130DA"/>
    <w:rsid w:val="0092403B"/>
    <w:rsid w:val="009632D8"/>
    <w:rsid w:val="00987242"/>
    <w:rsid w:val="009F06A6"/>
    <w:rsid w:val="009F5F3A"/>
    <w:rsid w:val="00A04A8E"/>
    <w:rsid w:val="00A11638"/>
    <w:rsid w:val="00A27C2B"/>
    <w:rsid w:val="00A36CDA"/>
    <w:rsid w:val="00A529C1"/>
    <w:rsid w:val="00A57547"/>
    <w:rsid w:val="00A67E03"/>
    <w:rsid w:val="00AB3133"/>
    <w:rsid w:val="00AC5B6D"/>
    <w:rsid w:val="00AD1345"/>
    <w:rsid w:val="00B13F03"/>
    <w:rsid w:val="00B16165"/>
    <w:rsid w:val="00B32D20"/>
    <w:rsid w:val="00B3401E"/>
    <w:rsid w:val="00B506DF"/>
    <w:rsid w:val="00B62781"/>
    <w:rsid w:val="00B90A98"/>
    <w:rsid w:val="00BC6B8E"/>
    <w:rsid w:val="00C021E0"/>
    <w:rsid w:val="00C364E0"/>
    <w:rsid w:val="00C457A8"/>
    <w:rsid w:val="00C471D9"/>
    <w:rsid w:val="00C835A0"/>
    <w:rsid w:val="00C8596F"/>
    <w:rsid w:val="00C9111D"/>
    <w:rsid w:val="00C94B1B"/>
    <w:rsid w:val="00C979E1"/>
    <w:rsid w:val="00CA0C4D"/>
    <w:rsid w:val="00CA3348"/>
    <w:rsid w:val="00CB3FA6"/>
    <w:rsid w:val="00CD7821"/>
    <w:rsid w:val="00D00998"/>
    <w:rsid w:val="00D24466"/>
    <w:rsid w:val="00D85CBA"/>
    <w:rsid w:val="00E13F7D"/>
    <w:rsid w:val="00E208BE"/>
    <w:rsid w:val="00E411BA"/>
    <w:rsid w:val="00E41F6E"/>
    <w:rsid w:val="00E8401A"/>
    <w:rsid w:val="00E944F0"/>
    <w:rsid w:val="00EA76E1"/>
    <w:rsid w:val="00EC3F88"/>
    <w:rsid w:val="00EF20A7"/>
    <w:rsid w:val="00F21A74"/>
    <w:rsid w:val="00F25560"/>
    <w:rsid w:val="00F32293"/>
    <w:rsid w:val="00F82504"/>
    <w:rsid w:val="00F94AF9"/>
    <w:rsid w:val="00FB014C"/>
    <w:rsid w:val="00FB3DFF"/>
    <w:rsid w:val="00FB4E36"/>
    <w:rsid w:val="00FD3D2A"/>
    <w:rsid w:val="079A1382"/>
    <w:rsid w:val="09B4704D"/>
    <w:rsid w:val="0FC71848"/>
    <w:rsid w:val="11E14978"/>
    <w:rsid w:val="187E1E79"/>
    <w:rsid w:val="1ABF0417"/>
    <w:rsid w:val="1DA21EAE"/>
    <w:rsid w:val="23C65907"/>
    <w:rsid w:val="25885C26"/>
    <w:rsid w:val="27FB5F25"/>
    <w:rsid w:val="2F091B49"/>
    <w:rsid w:val="3562450C"/>
    <w:rsid w:val="3CF062DA"/>
    <w:rsid w:val="3E68278E"/>
    <w:rsid w:val="3FB03189"/>
    <w:rsid w:val="4D0E072B"/>
    <w:rsid w:val="4F225EE7"/>
    <w:rsid w:val="5062574B"/>
    <w:rsid w:val="542576C2"/>
    <w:rsid w:val="544A5DA1"/>
    <w:rsid w:val="5C537F09"/>
    <w:rsid w:val="5F033C91"/>
    <w:rsid w:val="62205151"/>
    <w:rsid w:val="627731E4"/>
    <w:rsid w:val="6534525A"/>
    <w:rsid w:val="67E35B0B"/>
    <w:rsid w:val="71704B1D"/>
    <w:rsid w:val="71747376"/>
    <w:rsid w:val="71B76D22"/>
    <w:rsid w:val="745C1B5B"/>
    <w:rsid w:val="75B80E4C"/>
    <w:rsid w:val="77095BD0"/>
    <w:rsid w:val="79D3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7C84F-B2B8-4029-A32D-4FBE812ACA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1816</Words>
  <Characters>2453</Characters>
  <Lines>24</Lines>
  <Paragraphs>6</Paragraphs>
  <TotalTime>7</TotalTime>
  <ScaleCrop>false</ScaleCrop>
  <LinksUpToDate>false</LinksUpToDate>
  <CharactersWithSpaces>2627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2020-09-30T08:06:00Z</dcterms:created>
  <dc:creator>Windows 用户</dc:creator>
  <cp:lastModifiedBy>张娟</cp:lastModifiedBy>
  <cp:lastPrinted>2021-07-19T01:36:00Z</cp:lastPrinted>
  <dcterms:modified xsi:type="dcterms:W3CDTF">2025-08-27T02:27:17Z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eyJoZGlkIjoiNWY2YjI5NmM4NjcyZTgwOGJhOGNiODM4NTg0ZjVhNTAiLCJ1c2VySWQiOiIxNjE2NzM1NzA0In0=</vt:lpwstr>
  </property>
  <property fmtid="{D5CDD505-2E9C-101B-9397-08002B2CF9AE}" pid="3" name="KSOProductBuildVer">
    <vt:lpwstr>2052-12.1.0.21541</vt:lpwstr>
  </property>
  <property fmtid="{D5CDD505-2E9C-101B-9397-08002B2CF9AE}" pid="4" name="ICV">
    <vt:lpwstr>8C521B133E7D4248829458E0D292EB27_13</vt:lpwstr>
  </property>
</Properties>
</file>