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10059"/>
      <w:bookmarkStart w:id="3" w:name="_Toc76373863"/>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8264"/>
      <w:bookmarkStart w:id="9" w:name="_Toc15376"/>
      <w:bookmarkStart w:id="10" w:name="_Toc22435"/>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项目名称：一次性使用穿刺针套件</w:t>
      </w:r>
      <w:r>
        <w:rPr>
          <w:rFonts w:hint="eastAsia" w:ascii="宋体" w:hAnsi="宋体" w:cs="宋体"/>
          <w:color w:val="000000"/>
          <w:sz w:val="24"/>
          <w:szCs w:val="24"/>
          <w:lang w:eastAsia="zh-CN"/>
        </w:rPr>
        <w:t>、</w:t>
      </w:r>
      <w:r>
        <w:rPr>
          <w:rFonts w:hint="eastAsia" w:ascii="Times New Roman" w:hAnsi="Times New Roman" w:eastAsia="宋体" w:cs="Times New Roman"/>
          <w:i w:val="0"/>
          <w:iCs w:val="0"/>
          <w:color w:val="000000"/>
          <w:kern w:val="2"/>
          <w:sz w:val="24"/>
          <w:szCs w:val="24"/>
          <w:u w:val="none"/>
          <w:lang w:val="en-US" w:eastAsia="zh-CN" w:bidi="ar-SA"/>
        </w:rPr>
        <w:t>血浆分离器与管路配套</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22129"/>
            <w:bookmarkStart w:id="16" w:name="_Toc76373865"/>
            <w:bookmarkStart w:id="17" w:name="_Toc5838"/>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一次性使用穿刺针套件</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急救部</w:t>
            </w:r>
          </w:p>
        </w:tc>
      </w:tr>
      <w:tr w14:paraId="6993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35D035DF">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1EDAF025">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血浆分离器与管路配套</w:t>
            </w:r>
          </w:p>
        </w:tc>
        <w:tc>
          <w:tcPr>
            <w:tcW w:w="1327" w:type="dxa"/>
            <w:noWrap w:val="0"/>
            <w:vAlign w:val="center"/>
          </w:tcPr>
          <w:p w14:paraId="4F4BE64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16B147B">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33CF67DB">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急救部</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bookmarkStart w:id="190" w:name="_GoBack"/>
      <w:bookmarkEnd w:id="190"/>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0358"/>
      <w:bookmarkStart w:id="20" w:name="_Toc76373866"/>
      <w:bookmarkStart w:id="21" w:name="_Toc10137"/>
      <w:bookmarkStart w:id="22" w:name="_Toc26504"/>
      <w:bookmarkStart w:id="23" w:name="_Toc3434"/>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654"/>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急救部包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急救部</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急救部包X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急救部包X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9714"/>
      <w:bookmarkStart w:id="45" w:name="_Toc25272"/>
      <w:bookmarkStart w:id="46" w:name="_Toc4033"/>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2599"/>
      <w:bookmarkStart w:id="53" w:name="_Toc76373874"/>
      <w:bookmarkStart w:id="54" w:name="_Toc13391"/>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6355"/>
      <w:bookmarkStart w:id="60" w:name="_Toc29620"/>
      <w:bookmarkStart w:id="61" w:name="_Toc76373876"/>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1A0ECC2">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该产品按型号可与EZIO设备配合，为成人和儿童患者于紧急、急迫或者医疗必须情况下通路无法获得或获得困难时，在胫骨近端，胫骨远端和肱骨头以及儿童患者的股骨远端提供骨髓输液通路。最长留置时间为24小时。</w:t>
      </w:r>
    </w:p>
    <w:p w14:paraId="3365E5C8">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2、结构及组成：由穿刺针、病人腕带、导管注射器连接装置、尖锐物品保护器等组成。</w:t>
      </w:r>
    </w:p>
    <w:p w14:paraId="695FCA17">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3、技术参数：一次性使用穿刺针套件（含穿刺针，病人腕带，EZ-Connect延长管，提示卡，尖锐物品保护器）。15mm×15ga穿刺针（粉色）及配件；25mm×15ga穿刺针（蓝色）及配件；45mm×15ga穿刺针（黄色）及配件</w:t>
      </w:r>
      <w:r>
        <w:rPr>
          <w:rFonts w:hint="eastAsia" w:ascii="Times New Roman" w:hAnsi="Times New Roman" w:eastAsia="宋体" w:cs="Times New Roman"/>
          <w:sz w:val="24"/>
          <w:szCs w:val="24"/>
          <w:lang w:val="en-US" w:eastAsia="zh-CN"/>
        </w:rPr>
        <w:t>。</w:t>
      </w:r>
    </w:p>
    <w:p w14:paraId="765A6504">
      <w:pPr>
        <w:pStyle w:val="2"/>
        <w:ind w:firstLine="240" w:firstLineChars="100"/>
        <w:rPr>
          <w:rFonts w:hint="eastAsia" w:ascii="Times New Roman" w:hAnsi="Times New Roman" w:eastAsia="宋体" w:cs="Times New Roman"/>
          <w:sz w:val="24"/>
          <w:szCs w:val="24"/>
          <w:lang w:val="en-US" w:eastAsia="zh-CN"/>
        </w:rPr>
      </w:pPr>
    </w:p>
    <w:p w14:paraId="7E3F8453">
      <w:pPr>
        <w:spacing w:line="320" w:lineRule="exact"/>
        <w:ind w:left="479" w:leftChars="85" w:hanging="241" w:hangingChars="1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0906DA52">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eastAsia" w:asci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用途：治疗性血浆置换疗法</w:t>
      </w:r>
      <w:r>
        <w:rPr>
          <w:rFonts w:hint="eastAsia" w:ascii="Times New Roman" w:eastAsia="宋体" w:cs="Times New Roman"/>
          <w:sz w:val="24"/>
          <w:szCs w:val="24"/>
          <w:lang w:val="en-US" w:eastAsia="zh-CN"/>
        </w:rPr>
        <w:t>。</w:t>
      </w:r>
    </w:p>
    <w:p w14:paraId="7D6719BE">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eastAsia" w:asci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技术参数：</w:t>
      </w:r>
    </w:p>
    <w:p w14:paraId="64FC0391">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产品须适配于连续性血液净化设备（百特金宝，Prismaflex）</w:t>
      </w:r>
      <w:r>
        <w:rPr>
          <w:rFonts w:hint="eastAsia" w:ascii="Times New Roman" w:eastAsia="宋体" w:cs="Times New Roman"/>
          <w:sz w:val="24"/>
          <w:szCs w:val="24"/>
          <w:lang w:val="en-US" w:eastAsia="zh-CN"/>
        </w:rPr>
        <w:t>；</w:t>
      </w:r>
    </w:p>
    <w:p w14:paraId="5ED883A4">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一体化管路，预先连接，配套内血容量125ml，浆分离器为空心纤维（聚丙烯），血浆分离器血容量：41ml，膜面积0.35m²</w:t>
      </w:r>
      <w:r>
        <w:rPr>
          <w:rFonts w:hint="eastAsia" w:ascii="Times New Roman" w:eastAsia="宋体" w:cs="Times New Roman"/>
          <w:sz w:val="24"/>
          <w:szCs w:val="24"/>
          <w:lang w:val="en-US" w:eastAsia="zh-CN"/>
        </w:rPr>
        <w:t>。</w:t>
      </w:r>
    </w:p>
    <w:p w14:paraId="0EAF80C6">
      <w:pPr>
        <w:pStyle w:val="2"/>
        <w:ind w:firstLine="240" w:firstLineChars="100"/>
        <w:rPr>
          <w:rFonts w:hint="eastAsia"/>
          <w:lang w:val="en-US" w:eastAsia="zh-CN"/>
        </w:rPr>
      </w:pPr>
      <w:r>
        <w:rPr>
          <w:rFonts w:hint="eastAsia" w:ascii="Times New Roman" w:hAnsi="Times New Roman" w:eastAsia="宋体" w:cs="Times New Roman"/>
          <w:sz w:val="24"/>
          <w:szCs w:val="24"/>
          <w:lang w:val="en-US" w:eastAsia="zh-CN"/>
        </w:rPr>
        <w:t>3</w:t>
      </w:r>
      <w:r>
        <w:rPr>
          <w:rFonts w:hint="eastAsia" w:asci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组成及规格包括：prismaflex TPE2000 set等</w:t>
      </w:r>
      <w:r>
        <w:rPr>
          <w:rFonts w:hint="eastAsia" w:ascii="Times New Roman" w:eastAsia="宋体" w:cs="Times New Roman"/>
          <w:sz w:val="24"/>
          <w:szCs w:val="24"/>
          <w:lang w:val="en-US" w:eastAsia="zh-CN"/>
        </w:rPr>
        <w:t>。</w:t>
      </w:r>
    </w:p>
    <w:p w14:paraId="3CDE8CB0">
      <w:pPr>
        <w:spacing w:line="320" w:lineRule="exact"/>
        <w:ind w:left="479" w:leftChars="85" w:hanging="241" w:hangingChars="100"/>
        <w:rPr>
          <w:rFonts w:hint="eastAsia" w:ascii="Times New Roman" w:hAnsi="Times New Roman" w:eastAsia="宋体" w:cs="Times New Roman"/>
          <w:b/>
          <w:bCs/>
          <w:sz w:val="24"/>
          <w:szCs w:val="24"/>
          <w:lang w:val="en-US" w:eastAsia="zh-CN"/>
        </w:rPr>
      </w:pPr>
    </w:p>
    <w:p w14:paraId="77730534">
      <w:pPr>
        <w:pStyle w:val="2"/>
        <w:ind w:firstLine="240" w:firstLineChars="100"/>
        <w:rPr>
          <w:rFonts w:hint="default" w:ascii="Times New Roman" w:hAnsi="Times New Roman" w:eastAsia="宋体" w:cs="Times New Roman"/>
          <w:sz w:val="24"/>
          <w:szCs w:val="24"/>
          <w:lang w:val="en-US" w:eastAsia="zh-CN"/>
        </w:rPr>
      </w:pPr>
    </w:p>
    <w:p w14:paraId="07B39720">
      <w:pPr>
        <w:pStyle w:val="2"/>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31843"/>
      <w:bookmarkStart w:id="68" w:name="_Toc7794"/>
      <w:bookmarkStart w:id="69" w:name="_Toc1768"/>
      <w:bookmarkStart w:id="70" w:name="_Toc4791"/>
      <w:bookmarkStart w:id="71" w:name="_Toc76373878"/>
      <w:bookmarkStart w:id="72" w:name="_Toc2072"/>
      <w:bookmarkStart w:id="73" w:name="_Toc24122"/>
      <w:bookmarkStart w:id="74" w:name="_Toc15650"/>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14311"/>
      <w:bookmarkStart w:id="79" w:name="_Toc76373879"/>
      <w:bookmarkStart w:id="80" w:name="_Toc30551"/>
      <w:bookmarkStart w:id="81" w:name="_Toc29836"/>
      <w:bookmarkStart w:id="82" w:name="_Toc9339"/>
      <w:bookmarkStart w:id="83" w:name="_Toc595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12384"/>
      <w:bookmarkStart w:id="89" w:name="_Toc27737"/>
      <w:bookmarkStart w:id="90" w:name="_Toc2258"/>
      <w:bookmarkStart w:id="91" w:name="_Toc27893"/>
      <w:bookmarkStart w:id="92" w:name="_Toc20772"/>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7115"/>
      <w:bookmarkStart w:id="96" w:name="_Toc28189"/>
      <w:bookmarkStart w:id="97" w:name="_Toc11052"/>
      <w:bookmarkStart w:id="98" w:name="_Toc76373886"/>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76373889"/>
      <w:bookmarkStart w:id="103" w:name="_Toc8546"/>
      <w:bookmarkStart w:id="104" w:name="_Toc5251"/>
      <w:bookmarkStart w:id="105" w:name="_Toc2900"/>
      <w:bookmarkStart w:id="106" w:name="_Toc30068"/>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6071"/>
      <w:bookmarkStart w:id="110" w:name="_Toc11342"/>
      <w:bookmarkStart w:id="111" w:name="_Toc20034"/>
      <w:bookmarkStart w:id="112" w:name="_Toc76373890"/>
      <w:bookmarkStart w:id="113" w:name="_Toc27443"/>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10864"/>
      <w:bookmarkStart w:id="118" w:name="_Toc20391"/>
      <w:bookmarkStart w:id="119" w:name="_Toc76373891"/>
      <w:bookmarkStart w:id="120" w:name="_Toc25199"/>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0762"/>
      <w:bookmarkStart w:id="129" w:name="_Toc2975"/>
      <w:bookmarkStart w:id="130" w:name="_Toc19409"/>
      <w:bookmarkStart w:id="131" w:name="_Toc76373904"/>
      <w:bookmarkStart w:id="132" w:name="_Toc24088"/>
      <w:bookmarkStart w:id="133" w:name="_Toc1015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6112"/>
      <w:bookmarkStart w:id="135" w:name="_Toc25920"/>
      <w:bookmarkStart w:id="136" w:name="_Toc11892"/>
      <w:bookmarkStart w:id="137" w:name="_Toc76373907"/>
      <w:bookmarkStart w:id="138" w:name="_Toc12863"/>
      <w:bookmarkStart w:id="139" w:name="_Toc11763"/>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7306"/>
      <w:bookmarkStart w:id="163" w:name="_Toc76373909"/>
      <w:bookmarkStart w:id="164" w:name="_Toc9795"/>
      <w:bookmarkStart w:id="165" w:name="_Toc21830"/>
      <w:bookmarkStart w:id="166" w:name="_Toc21431"/>
      <w:bookmarkStart w:id="167" w:name="_Toc493178790"/>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2647"/>
      <w:bookmarkStart w:id="172" w:name="_Toc76373910"/>
      <w:bookmarkStart w:id="173" w:name="_Toc492721039"/>
      <w:bookmarkStart w:id="174" w:name="_Toc20258"/>
      <w:bookmarkStart w:id="175" w:name="_Toc411"/>
      <w:bookmarkStart w:id="176" w:name="_Toc20875"/>
      <w:bookmarkStart w:id="177" w:name="_Toc16487"/>
      <w:bookmarkStart w:id="178"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250"/>
      <w:bookmarkStart w:id="181" w:name="_Toc493178793"/>
      <w:bookmarkStart w:id="182" w:name="_Toc76373912"/>
      <w:bookmarkStart w:id="183" w:name="_Toc8925"/>
      <w:bookmarkStart w:id="184" w:name="_Toc492721038"/>
      <w:bookmarkStart w:id="185" w:name="_Toc20605"/>
      <w:bookmarkStart w:id="186" w:name="_Toc16151"/>
      <w:bookmarkStart w:id="187" w:name="_Toc6217"/>
      <w:bookmarkStart w:id="188" w:name="_Toc19291"/>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89A0A85">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7D9DD2-599F-461C-B933-A1F89CB44DE7}"/>
  </w:font>
  <w:font w:name="黑体">
    <w:panose1 w:val="02010609060101010101"/>
    <w:charset w:val="86"/>
    <w:family w:val="auto"/>
    <w:pitch w:val="default"/>
    <w:sig w:usb0="800002BF" w:usb1="38CF7CFA" w:usb2="00000016" w:usb3="00000000" w:csb0="00040001" w:csb1="00000000"/>
    <w:embedRegular r:id="rId2" w:fontKey="{9C7506A5-1D0B-4583-BB90-B330AC3318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35CFF5A8-A315-4A31-866A-732169B5AE4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25E3750-87E6-4CEE-A423-AACD7AC0ECD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399ADE7-20A5-43D3-A991-07E67560A093}"/>
  </w:font>
  <w:font w:name="方正黑体_GBK">
    <w:panose1 w:val="03000509000000000000"/>
    <w:charset w:val="86"/>
    <w:family w:val="script"/>
    <w:pitch w:val="default"/>
    <w:sig w:usb0="00000001" w:usb1="080E0000" w:usb2="00000000" w:usb3="00000000" w:csb0="00040000" w:csb1="00000000"/>
    <w:embedRegular r:id="rId6" w:fontKey="{376C7B3A-5BC7-4C8F-B89E-14D6C9A6038C}"/>
  </w:font>
  <w:font w:name="方正小标宋_GBK">
    <w:panose1 w:val="03000509000000000000"/>
    <w:charset w:val="86"/>
    <w:family w:val="script"/>
    <w:pitch w:val="default"/>
    <w:sig w:usb0="00000001" w:usb1="080E0000" w:usb2="00000000" w:usb3="00000000" w:csb0="00040000" w:csb1="00000000"/>
    <w:embedRegular r:id="rId7" w:fontKey="{48163673-F88E-44B6-B53A-080E31560EAA}"/>
  </w:font>
  <w:font w:name="微软雅黑">
    <w:panose1 w:val="020B0503020204020204"/>
    <w:charset w:val="86"/>
    <w:family w:val="swiss"/>
    <w:pitch w:val="default"/>
    <w:sig w:usb0="80000287" w:usb1="2ACF3C50" w:usb2="00000016" w:usb3="00000000" w:csb0="0004001F" w:csb1="00000000"/>
    <w:embedRegular r:id="rId8" w:fontKey="{7FCC8193-73DB-4A82-A33C-1D63F8454286}"/>
  </w:font>
  <w:font w:name="仿宋">
    <w:panose1 w:val="02010609060101010101"/>
    <w:charset w:val="86"/>
    <w:family w:val="modern"/>
    <w:pitch w:val="default"/>
    <w:sig w:usb0="800002BF" w:usb1="38CF7CFA" w:usb2="00000016" w:usb3="00000000" w:csb0="00040001" w:csb1="00000000"/>
    <w:embedRegular r:id="rId9" w:fontKey="{9CC2A5EE-C6AB-418B-A5CB-A3B7726DD589}"/>
  </w:font>
  <w:font w:name="楷体">
    <w:panose1 w:val="02010609060101010101"/>
    <w:charset w:val="86"/>
    <w:family w:val="modern"/>
    <w:pitch w:val="default"/>
    <w:sig w:usb0="800002BF" w:usb1="38CF7CFA" w:usb2="00000016" w:usb3="00000000" w:csb0="00040001" w:csb1="00000000"/>
    <w:embedRegular r:id="rId10" w:fontKey="{F4174AAD-2169-478C-9177-95979FCD2DE1}"/>
  </w:font>
  <w:font w:name="WPSEMBED29">
    <w:panose1 w:val="03000509000000000000"/>
    <w:charset w:val="86"/>
    <w:family w:val="auto"/>
    <w:pitch w:val="default"/>
    <w:sig w:usb0="00000001" w:usb1="080E0000" w:usb2="00000000" w:usb3="00000000" w:csb0="00040000" w:csb1="00000000"/>
  </w:font>
  <w:font w:name="WPSEMBED3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982EA5"/>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431694"/>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5186</Words>
  <Characters>5366</Characters>
  <Lines>101</Lines>
  <Paragraphs>28</Paragraphs>
  <TotalTime>2</TotalTime>
  <ScaleCrop>false</ScaleCrop>
  <LinksUpToDate>false</LinksUpToDate>
  <CharactersWithSpaces>5662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2025-11-07T01:59:58Z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