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1304"/>
      <w:bookmarkStart w:id="2" w:name="_Toc31066"/>
      <w:bookmarkStart w:id="3" w:name="_Toc13868"/>
      <w:bookmarkStart w:id="4" w:name="_Toc76373863"/>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2435"/>
      <w:bookmarkStart w:id="8" w:name="_Toc28264"/>
      <w:bookmarkStart w:id="9" w:name="_Toc5909"/>
      <w:bookmarkStart w:id="10" w:name="_Toc15376"/>
      <w:bookmarkStart w:id="11" w:name="_Toc763738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一次性使用胆管引流管</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一次性使用取石网篮</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咬口</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一次性活检钳</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右股动脉电子压迫止血器</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肠镜视野清晰度增强仪-冲洗包</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129"/>
            <w:bookmarkStart w:id="15" w:name="_Toc76373865"/>
            <w:bookmarkStart w:id="16" w:name="_Toc5838"/>
            <w:bookmarkStart w:id="17" w:name="_Toc22707"/>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一次性使用胆管引流管</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1进口/1国产</w:t>
            </w:r>
          </w:p>
        </w:tc>
        <w:tc>
          <w:tcPr>
            <w:tcW w:w="1594" w:type="dxa"/>
            <w:vMerge w:val="restart"/>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消化内科、肝胆外科</w:t>
            </w:r>
          </w:p>
        </w:tc>
      </w:tr>
      <w:tr w14:paraId="2C73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03FA9159">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57E1FA98">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一次性使用取石网篮</w:t>
            </w:r>
          </w:p>
        </w:tc>
        <w:tc>
          <w:tcPr>
            <w:tcW w:w="1327" w:type="dxa"/>
            <w:noWrap w:val="0"/>
            <w:vAlign w:val="center"/>
          </w:tcPr>
          <w:p w14:paraId="445E7683">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FE48CE9">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1进口/1国产</w:t>
            </w:r>
          </w:p>
        </w:tc>
        <w:tc>
          <w:tcPr>
            <w:tcW w:w="1594" w:type="dxa"/>
            <w:vMerge w:val="continue"/>
            <w:shd w:val="clear" w:color="auto" w:fill="auto"/>
            <w:noWrap w:val="0"/>
            <w:vAlign w:val="center"/>
          </w:tcPr>
          <w:p w14:paraId="5CFCA8AF">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p>
        </w:tc>
      </w:tr>
      <w:tr w14:paraId="70BD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6850B54">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5066D4D3">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咬口</w:t>
            </w:r>
          </w:p>
        </w:tc>
        <w:tc>
          <w:tcPr>
            <w:tcW w:w="1327" w:type="dxa"/>
            <w:noWrap w:val="0"/>
            <w:vAlign w:val="center"/>
          </w:tcPr>
          <w:p w14:paraId="4EC6A0B9">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A8C67BA">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shd w:val="clear" w:color="auto" w:fill="auto"/>
            <w:noWrap w:val="0"/>
            <w:vAlign w:val="center"/>
          </w:tcPr>
          <w:p w14:paraId="4B7AF0B3">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消化内科</w:t>
            </w:r>
          </w:p>
        </w:tc>
      </w:tr>
      <w:tr w14:paraId="3B94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EFFFD74">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20D0C1E0">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一次性活检钳</w:t>
            </w:r>
          </w:p>
        </w:tc>
        <w:tc>
          <w:tcPr>
            <w:tcW w:w="1327" w:type="dxa"/>
            <w:noWrap w:val="0"/>
            <w:vAlign w:val="center"/>
          </w:tcPr>
          <w:p w14:paraId="5A31D53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51C62A26">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shd w:val="clear" w:color="auto" w:fill="auto"/>
            <w:noWrap w:val="0"/>
            <w:vAlign w:val="center"/>
          </w:tcPr>
          <w:p w14:paraId="2CF06140">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消化内科、胃肠（胃镜室）</w:t>
            </w:r>
          </w:p>
        </w:tc>
      </w:tr>
      <w:tr w14:paraId="1EB9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254A66B">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包五</w:t>
            </w:r>
          </w:p>
        </w:tc>
        <w:tc>
          <w:tcPr>
            <w:tcW w:w="2456" w:type="dxa"/>
            <w:noWrap w:val="0"/>
            <w:vAlign w:val="center"/>
          </w:tcPr>
          <w:p w14:paraId="0E80F40F">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右股动脉电子压迫止血器</w:t>
            </w:r>
          </w:p>
        </w:tc>
        <w:tc>
          <w:tcPr>
            <w:tcW w:w="1327" w:type="dxa"/>
            <w:noWrap w:val="0"/>
            <w:vAlign w:val="center"/>
          </w:tcPr>
          <w:p w14:paraId="1EFE6D2A">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44E338A">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p>
        </w:tc>
        <w:tc>
          <w:tcPr>
            <w:tcW w:w="1594" w:type="dxa"/>
            <w:shd w:val="clear" w:color="auto" w:fill="auto"/>
            <w:noWrap w:val="0"/>
            <w:vAlign w:val="center"/>
          </w:tcPr>
          <w:p w14:paraId="5DF1A7F6">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消化内科、肝胆外科、放射科</w:t>
            </w:r>
          </w:p>
        </w:tc>
      </w:tr>
      <w:tr w14:paraId="28C6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3D96296">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包六</w:t>
            </w:r>
          </w:p>
        </w:tc>
        <w:tc>
          <w:tcPr>
            <w:tcW w:w="2456" w:type="dxa"/>
            <w:noWrap w:val="0"/>
            <w:vAlign w:val="center"/>
          </w:tcPr>
          <w:p w14:paraId="445C55AA">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肠镜视野清晰度增强仪-冲洗包</w:t>
            </w:r>
          </w:p>
        </w:tc>
        <w:tc>
          <w:tcPr>
            <w:tcW w:w="1327" w:type="dxa"/>
            <w:shd w:val="clear" w:color="auto" w:fill="auto"/>
            <w:noWrap w:val="0"/>
            <w:vAlign w:val="center"/>
          </w:tcPr>
          <w:p w14:paraId="2F2CC71F">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42E77B11">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shd w:val="clear" w:color="auto" w:fill="auto"/>
            <w:noWrap w:val="0"/>
            <w:vAlign w:val="center"/>
          </w:tcPr>
          <w:p w14:paraId="2D8E0C23">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消化内科、胃肠外科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包六</w:t>
      </w:r>
      <w:bookmarkStart w:id="197" w:name="_GoBack"/>
      <w:bookmarkEnd w:id="197"/>
      <w:r>
        <w:rPr>
          <w:rFonts w:hint="eastAsia" w:ascii="宋体" w:hAnsi="宋体" w:cs="宋体"/>
          <w:color w:val="auto"/>
          <w:sz w:val="24"/>
          <w:szCs w:val="24"/>
          <w:lang w:val="en-US" w:eastAsia="zh-CN"/>
        </w:rPr>
        <w:t>期限五年，其余期限三年。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到</w:t>
      </w:r>
      <w:r>
        <w:rPr>
          <w:rFonts w:hint="eastAsia" w:ascii="宋体" w:hAnsi="宋体" w:eastAsia="宋体" w:cs="宋体"/>
          <w:color w:val="auto"/>
          <w:sz w:val="24"/>
          <w:szCs w:val="24"/>
        </w:rPr>
        <w:t>期重新采购</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434"/>
      <w:bookmarkStart w:id="20" w:name="_Toc25496"/>
      <w:bookmarkStart w:id="21" w:name="_Toc10137"/>
      <w:bookmarkStart w:id="22" w:name="_Toc76373866"/>
      <w:bookmarkStart w:id="23" w:name="_Toc26504"/>
      <w:bookmarkStart w:id="24" w:name="_Toc30358"/>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28099"/>
      <w:bookmarkStart w:id="31" w:name="_Toc654"/>
      <w:bookmarkStart w:id="32" w:name="_Toc7527"/>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消化内科包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消化内科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消化内科包X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消化内科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4033"/>
      <w:bookmarkStart w:id="45" w:name="_Toc14224"/>
      <w:bookmarkStart w:id="46" w:name="_Toc9714"/>
      <w:bookmarkStart w:id="47" w:name="_Toc763738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2599"/>
      <w:bookmarkStart w:id="53" w:name="_Toc3153"/>
      <w:bookmarkStart w:id="54" w:name="_Toc11474"/>
      <w:bookmarkStart w:id="55" w:name="_Toc763738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76373876"/>
      <w:bookmarkStart w:id="59" w:name="_Toc29620"/>
      <w:bookmarkStart w:id="60" w:name="_Toc30465"/>
      <w:bookmarkStart w:id="61" w:name="_Toc6355"/>
      <w:bookmarkStart w:id="62" w:name="_Toc2922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734EF97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cs="Times New Roman"/>
          <w:sz w:val="24"/>
          <w:szCs w:val="24"/>
          <w:lang w:val="en-US" w:eastAsia="zh-CN"/>
        </w:rPr>
        <w:t>、</w:t>
      </w:r>
      <w:r>
        <w:rPr>
          <w:rFonts w:hint="eastAsia" w:ascii="Times New Roman" w:eastAsia="宋体" w:cs="Times New Roman"/>
          <w:sz w:val="24"/>
          <w:szCs w:val="24"/>
          <w:lang w:val="en-US" w:eastAsia="zh-CN"/>
        </w:rPr>
        <w:t>用途：用于在内窥镜下置入胆管，进行胆汁的内引流</w:t>
      </w:r>
    </w:p>
    <w:p w14:paraId="0EBCCC38">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技术参数：</w:t>
      </w:r>
    </w:p>
    <w:p w14:paraId="2FAF6771">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由支架和置入器组成的套装，或不包括置入器的单支架；</w:t>
      </w:r>
    </w:p>
    <w:p w14:paraId="0CA39192">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引流管形状：直行、弧形、偏弯形、S形；引流管按头端分为无造型、猪尾、单侧翼、双侧翼</w:t>
      </w:r>
    </w:p>
    <w:p w14:paraId="2645454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材质：引流管材料为聚氨酯/聚乙烯/聚四氟乙烯；置入器材料为聚四氟乙烯、聚醚醚酮、丙烯腈-苯乙烯-丁二烯共聚物及聚碳酸酯</w:t>
      </w:r>
      <w:r>
        <w:rPr>
          <w:rFonts w:hint="default" w:ascii="Times New Roman" w:hAnsi="Times New Roman" w:eastAsia="宋体" w:cs="Times New Roman"/>
          <w:i w:val="0"/>
          <w:kern w:val="2"/>
          <w:sz w:val="24"/>
          <w:szCs w:val="24"/>
          <w:lang w:val="en-US" w:eastAsia="zh-CN" w:bidi="ar-SA"/>
        </w:rPr>
        <w:t>。</w:t>
      </w:r>
    </w:p>
    <w:p w14:paraId="51D1C6D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ECBE6EA">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79F633A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1、功能需求：与内镜配套使用，用于取出消化道的异物、结石或已切除组织样本。</w:t>
      </w:r>
    </w:p>
    <w:p w14:paraId="5CFFBA0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6A575AE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（1）网篮金属头固定牢靠，圆滑</w:t>
      </w:r>
    </w:p>
    <w:p w14:paraId="27D314A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（2）X光下定位清晰定位，利于保护腔壁;</w:t>
      </w:r>
    </w:p>
    <w:p w14:paraId="1C3438C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（3）手柄操作，整体360°双向顺畅旋转，方便套取，造影</w:t>
      </w:r>
      <w:r>
        <w:rPr>
          <w:rFonts w:hint="default" w:ascii="Times New Roman" w:hAnsi="Times New Roman" w:eastAsia="宋体" w:cs="Times New Roman"/>
          <w:i w:val="0"/>
          <w:kern w:val="2"/>
          <w:sz w:val="24"/>
          <w:szCs w:val="24"/>
          <w:lang w:val="en-US" w:eastAsia="zh-CN" w:bidi="ar-SA"/>
        </w:rPr>
        <w:t>。</w:t>
      </w:r>
    </w:p>
    <w:p w14:paraId="3BE549EF">
      <w:pPr>
        <w:spacing w:line="320" w:lineRule="exact"/>
        <w:rPr>
          <w:rFonts w:hint="default" w:ascii="Times New Roman" w:eastAsia="宋体" w:cs="Times New Roman"/>
          <w:sz w:val="24"/>
          <w:szCs w:val="24"/>
          <w:lang w:val="en-US" w:eastAsia="zh-CN"/>
        </w:rPr>
      </w:pPr>
    </w:p>
    <w:p w14:paraId="77C06118">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5F519C89">
      <w:pPr>
        <w:numPr>
          <w:ilvl w:val="0"/>
          <w:numId w:val="0"/>
        </w:num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hAnsi="Times New Roman" w:eastAsia="宋体" w:cs="Times New Roman"/>
          <w:kern w:val="2"/>
          <w:sz w:val="24"/>
          <w:szCs w:val="24"/>
          <w:lang w:val="en-US" w:eastAsia="zh-CN" w:bidi="ar-SA"/>
        </w:rPr>
        <w:t>1</w:t>
      </w:r>
      <w:r>
        <w:rPr>
          <w:rFonts w:hint="eastAsia" w:cs="Times New Roman"/>
          <w:kern w:val="2"/>
          <w:sz w:val="24"/>
          <w:szCs w:val="24"/>
          <w:lang w:val="en-US" w:eastAsia="zh-CN" w:bidi="ar-SA"/>
        </w:rPr>
        <w:t>、</w:t>
      </w:r>
      <w:r>
        <w:rPr>
          <w:rFonts w:hint="default" w:ascii="Times New Roman" w:eastAsia="宋体" w:cs="Times New Roman"/>
          <w:sz w:val="24"/>
          <w:szCs w:val="24"/>
          <w:lang w:val="en-US" w:eastAsia="zh-CN"/>
        </w:rPr>
        <w:t>用途：主要作用是固定口腔位置、防止咬伤仪器，并确保诊疗视野清晰，保障诊疗过程安全顺利。</w:t>
      </w:r>
    </w:p>
    <w:p w14:paraId="4770CD5E">
      <w:pPr>
        <w:numPr>
          <w:ilvl w:val="0"/>
          <w:numId w:val="0"/>
        </w:num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eastAsia" w:cs="Times New Roman"/>
          <w:kern w:val="2"/>
          <w:sz w:val="24"/>
          <w:szCs w:val="24"/>
          <w:lang w:val="en-US" w:eastAsia="zh-CN" w:bidi="ar-SA"/>
        </w:rPr>
        <w:t>、</w:t>
      </w:r>
      <w:r>
        <w:rPr>
          <w:rFonts w:hint="default" w:ascii="Times New Roman" w:eastAsia="宋体" w:cs="Times New Roman"/>
          <w:sz w:val="24"/>
          <w:szCs w:val="24"/>
          <w:lang w:val="en-US" w:eastAsia="zh-CN"/>
        </w:rPr>
        <w:t>技术参数：</w:t>
      </w:r>
    </w:p>
    <w:p w14:paraId="4B33A642">
      <w:pPr>
        <w:numPr>
          <w:ilvl w:val="0"/>
          <w:numId w:val="0"/>
        </w:num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（1）咬口的表面及边角光滑整洁、无破损、毛刺、油溃、杂物</w:t>
      </w:r>
      <w:r>
        <w:rPr>
          <w:rFonts w:hint="eastAsia" w:cs="Times New Roman"/>
          <w:sz w:val="24"/>
          <w:szCs w:val="24"/>
          <w:lang w:val="en-US" w:eastAsia="zh-CN"/>
        </w:rPr>
        <w:t>；</w:t>
      </w:r>
    </w:p>
    <w:p w14:paraId="30E4BCA1">
      <w:pPr>
        <w:numPr>
          <w:ilvl w:val="0"/>
          <w:numId w:val="0"/>
        </w:num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（2）咬口窄侧面能承受700N的作用力，宽侧面能承受450N的作用力无破裂，变形量≤5mm</w:t>
      </w:r>
      <w:r>
        <w:rPr>
          <w:rFonts w:hint="eastAsia" w:cs="Times New Roman"/>
          <w:sz w:val="24"/>
          <w:szCs w:val="24"/>
          <w:lang w:val="en-US" w:eastAsia="zh-CN"/>
        </w:rPr>
        <w:t>；</w:t>
      </w:r>
    </w:p>
    <w:p w14:paraId="2669ECA9">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（3）咬口无异常气味</w:t>
      </w:r>
      <w:r>
        <w:rPr>
          <w:rFonts w:hint="eastAsia" w:cs="Times New Roman"/>
          <w:sz w:val="24"/>
          <w:szCs w:val="24"/>
          <w:lang w:val="en-US" w:eastAsia="zh-CN"/>
        </w:rPr>
        <w:t>；</w:t>
      </w:r>
    </w:p>
    <w:p w14:paraId="662FEBF9">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（4）咬口初始污染菌≤100cfu/g</w:t>
      </w:r>
      <w:r>
        <w:rPr>
          <w:rFonts w:hint="eastAsia" w:cs="Times New Roman"/>
          <w:sz w:val="24"/>
          <w:szCs w:val="24"/>
          <w:lang w:val="en-US" w:eastAsia="zh-CN"/>
        </w:rPr>
        <w:t>。</w:t>
      </w:r>
    </w:p>
    <w:p w14:paraId="0163FB05">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3、</w:t>
      </w:r>
      <w:r>
        <w:rPr>
          <w:rFonts w:hint="default" w:ascii="Times New Roman" w:eastAsia="宋体" w:cs="Times New Roman"/>
          <w:sz w:val="24"/>
          <w:szCs w:val="24"/>
          <w:lang w:val="en-US" w:eastAsia="zh-CN"/>
        </w:rPr>
        <w:t>耗材组成或成分：咬口采用符合GB11115-2009聚乙烯(PE)树脂材料制成</w:t>
      </w:r>
      <w:r>
        <w:rPr>
          <w:rFonts w:hint="eastAsia" w:cs="Times New Roman"/>
          <w:sz w:val="24"/>
          <w:szCs w:val="24"/>
          <w:lang w:val="en-US" w:eastAsia="zh-CN"/>
        </w:rPr>
        <w:t>。</w:t>
      </w:r>
    </w:p>
    <w:p w14:paraId="45C7680F">
      <w:pPr>
        <w:pStyle w:val="2"/>
        <w:rPr>
          <w:rFonts w:hint="default"/>
          <w:lang w:val="en-US" w:eastAsia="zh-CN"/>
        </w:rPr>
      </w:pPr>
    </w:p>
    <w:p w14:paraId="18BA37A1">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4E913617">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1、用途：供消化道、呼吸道内窥镜下活组织取样或钳取和清除异物用。</w:t>
      </w:r>
    </w:p>
    <w:p w14:paraId="2AC1607E">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2、技术参数：</w:t>
      </w:r>
    </w:p>
    <w:p w14:paraId="2ADA8D18">
      <w:pPr>
        <w:spacing w:line="320" w:lineRule="exact"/>
        <w:ind w:left="478" w:leftChars="85" w:hanging="240" w:hangingChars="100"/>
        <w:rPr>
          <w:rFonts w:hint="default" w:ascii="Times New Roman" w:eastAsia="宋体" w:cs="Times New Roman"/>
          <w:sz w:val="24"/>
          <w:szCs w:val="24"/>
          <w:lang w:val="en-US" w:eastAsia="zh-CN"/>
        </w:rPr>
      </w:pPr>
      <w:r>
        <w:rPr>
          <w:rFonts w:hint="eastAsia" w:cs="Times New Roman"/>
          <w:sz w:val="24"/>
          <w:szCs w:val="24"/>
          <w:lang w:val="en-US" w:eastAsia="zh-CN"/>
        </w:rPr>
        <w:t>（1）</w:t>
      </w:r>
      <w:r>
        <w:rPr>
          <w:rFonts w:hint="default" w:ascii="Times New Roman" w:eastAsia="宋体" w:cs="Times New Roman"/>
          <w:sz w:val="24"/>
          <w:szCs w:val="24"/>
          <w:lang w:val="en-US" w:eastAsia="zh-CN"/>
        </w:rPr>
        <w:t>钳口闭合直径：1.8mm、2.3mm二种</w:t>
      </w:r>
    </w:p>
    <w:p w14:paraId="24F5A7F6">
      <w:pPr>
        <w:spacing w:line="320" w:lineRule="exact"/>
        <w:ind w:left="478" w:leftChars="85" w:hanging="240" w:hangingChars="100"/>
        <w:rPr>
          <w:rFonts w:hint="default" w:ascii="Times New Roman" w:eastAsia="宋体" w:cs="Times New Roman"/>
          <w:sz w:val="24"/>
          <w:szCs w:val="24"/>
          <w:lang w:val="en-US" w:eastAsia="zh-CN"/>
        </w:rPr>
      </w:pPr>
      <w:r>
        <w:rPr>
          <w:rFonts w:hint="eastAsia" w:cs="Times New Roman"/>
          <w:sz w:val="24"/>
          <w:szCs w:val="24"/>
          <w:lang w:val="en-US" w:eastAsia="zh-CN"/>
        </w:rPr>
        <w:t>（2）</w:t>
      </w:r>
      <w:r>
        <w:rPr>
          <w:rFonts w:hint="default" w:ascii="Times New Roman" w:eastAsia="宋体" w:cs="Times New Roman"/>
          <w:sz w:val="24"/>
          <w:szCs w:val="24"/>
          <w:lang w:val="en-US" w:eastAsia="zh-CN"/>
        </w:rPr>
        <w:t>长度为300mm、450mm、600mm、800mm、1050mm、1200mm、1600mm、1800mm、2000mm、2300mm等。</w:t>
      </w:r>
    </w:p>
    <w:p w14:paraId="0A0962A0">
      <w:pPr>
        <w:spacing w:line="320" w:lineRule="exact"/>
        <w:ind w:left="478" w:leftChars="85" w:hanging="240" w:hangingChars="100"/>
        <w:rPr>
          <w:rFonts w:hint="default" w:ascii="Times New Roman" w:eastAsia="宋体" w:cs="Times New Roman"/>
          <w:sz w:val="24"/>
          <w:szCs w:val="24"/>
          <w:lang w:val="en-US" w:eastAsia="zh-CN"/>
        </w:rPr>
      </w:pPr>
      <w:r>
        <w:rPr>
          <w:rFonts w:hint="eastAsia" w:cs="Times New Roman"/>
          <w:sz w:val="24"/>
          <w:szCs w:val="24"/>
          <w:lang w:val="en-US" w:eastAsia="zh-CN"/>
        </w:rPr>
        <w:t>（3）</w:t>
      </w:r>
      <w:r>
        <w:rPr>
          <w:rFonts w:hint="default" w:ascii="Times New Roman" w:eastAsia="宋体" w:cs="Times New Roman"/>
          <w:sz w:val="24"/>
          <w:szCs w:val="24"/>
          <w:lang w:val="en-US" w:eastAsia="zh-CN"/>
        </w:rPr>
        <w:t>钳口型式：齿形钳头、椭圆形钳头。</w:t>
      </w:r>
    </w:p>
    <w:p w14:paraId="3CEAA1B9">
      <w:pPr>
        <w:spacing w:line="320" w:lineRule="exact"/>
        <w:ind w:left="478" w:leftChars="85" w:hanging="240" w:hangingChars="100"/>
        <w:rPr>
          <w:rFonts w:hint="default" w:ascii="Times New Roman" w:eastAsia="宋体" w:cs="Times New Roman"/>
          <w:sz w:val="24"/>
          <w:szCs w:val="24"/>
          <w:lang w:val="en-US" w:eastAsia="zh-CN"/>
        </w:rPr>
      </w:pPr>
      <w:r>
        <w:rPr>
          <w:rFonts w:hint="eastAsia" w:cs="Times New Roman"/>
          <w:sz w:val="24"/>
          <w:szCs w:val="24"/>
          <w:lang w:val="en-US" w:eastAsia="zh-CN"/>
        </w:rPr>
        <w:t>（4）</w:t>
      </w:r>
      <w:r>
        <w:rPr>
          <w:rFonts w:hint="default" w:ascii="Times New Roman" w:eastAsia="宋体" w:cs="Times New Roman"/>
          <w:sz w:val="24"/>
          <w:szCs w:val="24"/>
          <w:lang w:val="en-US" w:eastAsia="zh-CN"/>
        </w:rPr>
        <w:t>经环氧乙烷灭菌，一次性使用。</w:t>
      </w:r>
    </w:p>
    <w:p w14:paraId="74AC11DE">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3、耗材组成或成分：主要由钳头、拉索、外管、芯杆、滑环以及手环组成。</w:t>
      </w:r>
    </w:p>
    <w:p w14:paraId="0BE76810">
      <w:pPr>
        <w:pStyle w:val="2"/>
        <w:rPr>
          <w:rFonts w:hint="default"/>
          <w:lang w:val="en-US" w:eastAsia="zh-CN"/>
        </w:rPr>
      </w:pPr>
    </w:p>
    <w:p w14:paraId="2E8492C4">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54C87BC3">
      <w:pPr>
        <w:numPr>
          <w:ilvl w:val="0"/>
          <w:numId w:val="1"/>
        </w:num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用途：主要用于经皮介入术后对患者的动脉穿刺部位进行压迫止血。</w:t>
      </w:r>
    </w:p>
    <w:p w14:paraId="736D0A02">
      <w:pPr>
        <w:numPr>
          <w:ilvl w:val="0"/>
          <w:numId w:val="1"/>
        </w:num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技术参数：</w:t>
      </w:r>
    </w:p>
    <w:p w14:paraId="647B6517">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1）压力控制范围：0-40 kPa(0-300 mmHg)可调；</w:t>
      </w:r>
    </w:p>
    <w:p w14:paraId="7C61BF98">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2）压力控制精度：±2kPa(±15mmHg)；</w:t>
      </w:r>
    </w:p>
    <w:p w14:paraId="54D7DD52">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3）工作时间：0-240分钟可设，具备自动减压功能；</w:t>
      </w:r>
    </w:p>
    <w:p w14:paraId="33250F93">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4）电源：AC 220V&amp;内置蓄电池（备用）；</w:t>
      </w:r>
    </w:p>
    <w:p w14:paraId="03756B4B">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5）显示与报警：数字显示实时压力与时间，具备压力异常、断电等声光报警功能。</w:t>
      </w:r>
    </w:p>
    <w:p w14:paraId="502DAF3B">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3、耗材组成或成分：压迫垫（医用高分子海绵/硅胶）、压迫基座（板）（医疗级塑料）、固定带（含腰带与腿带，医用无纺布/弹性绷带）。</w:t>
      </w:r>
    </w:p>
    <w:p w14:paraId="568D0098">
      <w:pPr>
        <w:spacing w:line="320" w:lineRule="exact"/>
        <w:ind w:left="478" w:leftChars="85" w:hanging="240" w:hangingChars="100"/>
        <w:rPr>
          <w:rFonts w:hint="default" w:ascii="Times New Roman" w:eastAsia="宋体" w:cs="Times New Roman"/>
          <w:sz w:val="24"/>
          <w:szCs w:val="24"/>
          <w:lang w:val="en-US" w:eastAsia="zh-CN"/>
        </w:rPr>
      </w:pPr>
    </w:p>
    <w:p w14:paraId="4F123FED">
      <w:pPr>
        <w:spacing w:line="320" w:lineRule="exact"/>
        <w:ind w:left="479" w:leftChars="85" w:hanging="241" w:hangingChars="100"/>
        <w:rPr>
          <w:rFonts w:hint="default" w:asci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6</w:t>
      </w:r>
    </w:p>
    <w:p w14:paraId="5D33A3FC">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1.用途：与胃肠镜视野清晰度增强仪配套使用，用于清洗清洁胃肠道粘膜</w:t>
      </w:r>
      <w:r>
        <w:rPr>
          <w:rFonts w:hint="eastAsia" w:cs="Times New Roman"/>
          <w:sz w:val="24"/>
          <w:szCs w:val="24"/>
          <w:lang w:val="en-US" w:eastAsia="zh-CN"/>
        </w:rPr>
        <w:t>.</w:t>
      </w:r>
    </w:p>
    <w:p w14:paraId="0199B061">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2.技术参数：</w:t>
      </w:r>
    </w:p>
    <w:p w14:paraId="686718E4">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（1）性能：消泡能力≥80%。</w:t>
      </w:r>
    </w:p>
    <w:p w14:paraId="0644438E">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（2）院感需求：微生物含量符合院感规定。</w:t>
      </w:r>
    </w:p>
    <w:p w14:paraId="4EC245FD">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3.耗材组成或成分：主要由药用级葡萄糖、西甲硅油和聚山梨酯80组成。外观为白色或类白色粉末。</w:t>
      </w:r>
    </w:p>
    <w:p w14:paraId="23C9F9D6">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4.配套设备2台（胃肠镜视野清晰度增强仪）参数：</w:t>
      </w:r>
    </w:p>
    <w:p w14:paraId="4979D516">
      <w:pPr>
        <w:spacing w:line="320" w:lineRule="exact"/>
        <w:ind w:left="478" w:leftChars="85" w:hanging="240" w:hangingChars="100"/>
        <w:rPr>
          <w:rFonts w:hint="default" w:ascii="Times New Roman" w:eastAsia="宋体" w:cs="Times New Roman"/>
          <w:sz w:val="24"/>
          <w:szCs w:val="24"/>
          <w:lang w:val="en-US" w:eastAsia="zh-CN"/>
        </w:rPr>
      </w:pPr>
      <w:r>
        <w:rPr>
          <w:rFonts w:hint="eastAsia" w:cs="Times New Roman"/>
          <w:sz w:val="24"/>
          <w:szCs w:val="24"/>
          <w:lang w:val="en-US" w:eastAsia="zh-CN"/>
        </w:rPr>
        <w:t>（1）</w:t>
      </w:r>
      <w:r>
        <w:rPr>
          <w:rFonts w:hint="default" w:ascii="Times New Roman" w:eastAsia="宋体" w:cs="Times New Roman"/>
          <w:sz w:val="24"/>
          <w:szCs w:val="24"/>
          <w:lang w:val="en-US" w:eastAsia="zh-CN"/>
        </w:rPr>
        <w:t>脚踏开关启动；可兼容现有品牌胃镜、肠镜等；流量可调节，最大送水量≥450ml/min</w:t>
      </w:r>
      <w:r>
        <w:rPr>
          <w:rFonts w:hint="eastAsia" w:cs="Times New Roman"/>
          <w:sz w:val="24"/>
          <w:szCs w:val="24"/>
          <w:lang w:val="en-US" w:eastAsia="zh-CN"/>
        </w:rPr>
        <w:t>；</w:t>
      </w:r>
    </w:p>
    <w:p w14:paraId="74820A3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（2）</w:t>
      </w:r>
      <w:r>
        <w:rPr>
          <w:rFonts w:hint="default" w:ascii="Times New Roman" w:eastAsia="宋体" w:cs="Times New Roman"/>
          <w:sz w:val="24"/>
          <w:szCs w:val="24"/>
          <w:lang w:val="en-US" w:eastAsia="zh-CN"/>
        </w:rPr>
        <w:t>具备加热保温功能，保温范围：≥35-39℃</w:t>
      </w:r>
      <w:r>
        <w:rPr>
          <w:rFonts w:hint="eastAsia" w:cs="Times New Roman"/>
          <w:sz w:val="24"/>
          <w:szCs w:val="24"/>
          <w:lang w:val="en-US" w:eastAsia="zh-CN"/>
        </w:rPr>
        <w:t>。</w:t>
      </w:r>
    </w:p>
    <w:p w14:paraId="572EADA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7BC6031D">
      <w:pPr>
        <w:ind w:firstLine="240" w:firstLineChars="100"/>
        <w:rPr>
          <w:rFonts w:hint="default" w:ascii="Times New Roman" w:hAnsi="Times New Roman" w:eastAsia="宋体" w:cs="Times New Roman"/>
          <w:i w:val="0"/>
          <w:kern w:val="2"/>
          <w:sz w:val="24"/>
          <w:szCs w:val="24"/>
          <w:lang w:val="en-US" w:eastAsia="zh-CN" w:bidi="ar-SA"/>
        </w:rPr>
      </w:pPr>
    </w:p>
    <w:p w14:paraId="3A19B832">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24122"/>
      <w:bookmarkStart w:id="68" w:name="_Toc76373878"/>
      <w:bookmarkStart w:id="69" w:name="_Toc17524"/>
      <w:bookmarkStart w:id="70" w:name="_Toc4791"/>
      <w:bookmarkStart w:id="71" w:name="_Toc2072"/>
      <w:bookmarkStart w:id="72" w:name="_Toc31843"/>
      <w:bookmarkStart w:id="73" w:name="_Toc1768"/>
      <w:bookmarkStart w:id="74" w:name="_Toc17944"/>
      <w:bookmarkStart w:id="75" w:name="_Toc779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30551"/>
      <w:bookmarkStart w:id="79" w:name="_Toc9339"/>
      <w:bookmarkStart w:id="80" w:name="_Toc14311"/>
      <w:bookmarkStart w:id="81" w:name="_Toc5959"/>
      <w:bookmarkStart w:id="82" w:name="_Toc76373879"/>
      <w:bookmarkStart w:id="83" w:name="_Toc22561"/>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258"/>
      <w:bookmarkStart w:id="88" w:name="_Toc27893"/>
      <w:bookmarkStart w:id="89" w:name="_Toc27737"/>
      <w:bookmarkStart w:id="90" w:name="_Toc12384"/>
      <w:bookmarkStart w:id="91" w:name="_Toc20263"/>
      <w:bookmarkStart w:id="92" w:name="_Toc76373885"/>
      <w:bookmarkStart w:id="93" w:name="_Toc20772"/>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11052"/>
      <w:bookmarkStart w:id="96" w:name="_Toc7115"/>
      <w:bookmarkStart w:id="97" w:name="_Toc76373886"/>
      <w:bookmarkStart w:id="98" w:name="_Toc12712"/>
      <w:bookmarkStart w:id="99" w:name="_Toc2818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5535"/>
      <w:bookmarkStart w:id="102" w:name="_Toc9147"/>
      <w:bookmarkStart w:id="103" w:name="_Toc19809"/>
      <w:bookmarkStart w:id="104" w:name="_Toc13585"/>
      <w:bookmarkStart w:id="105" w:name="_Toc26754"/>
      <w:bookmarkStart w:id="106" w:name="_Toc31293"/>
      <w:bookmarkStart w:id="107" w:name="_Toc7637388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30068"/>
      <w:bookmarkStart w:id="109" w:name="_Toc5251"/>
      <w:bookmarkStart w:id="110" w:name="_Toc76373889"/>
      <w:bookmarkStart w:id="111" w:name="_Toc8546"/>
      <w:bookmarkStart w:id="112" w:name="_Toc2900"/>
      <w:bookmarkStart w:id="113" w:name="_Toc16925"/>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654"/>
      <w:bookmarkStart w:id="117" w:name="_Toc20034"/>
      <w:bookmarkStart w:id="118" w:name="_Toc76373890"/>
      <w:bookmarkStart w:id="119" w:name="_Toc27443"/>
      <w:bookmarkStart w:id="120" w:name="_Toc26071"/>
      <w:bookmarkStart w:id="121" w:name="_Toc11342"/>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0391"/>
      <w:bookmarkStart w:id="124" w:name="_Toc76373891"/>
      <w:bookmarkStart w:id="125" w:name="_Toc10864"/>
      <w:bookmarkStart w:id="126" w:name="_Toc25199"/>
      <w:bookmarkStart w:id="127" w:name="_Toc27646"/>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9409"/>
      <w:bookmarkStart w:id="136" w:name="_Toc2975"/>
      <w:bookmarkStart w:id="137" w:name="_Toc24088"/>
      <w:bookmarkStart w:id="138" w:name="_Toc10152"/>
      <w:bookmarkStart w:id="139" w:name="_Toc20762"/>
      <w:bookmarkStart w:id="140" w:name="_Toc76373904"/>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25920"/>
      <w:bookmarkStart w:id="142" w:name="_Toc11892"/>
      <w:bookmarkStart w:id="143" w:name="_Toc7750"/>
      <w:bookmarkStart w:id="144" w:name="_Toc76373907"/>
      <w:bookmarkStart w:id="145" w:name="_Toc11763"/>
      <w:bookmarkStart w:id="146" w:name="_Toc16112"/>
      <w:bookmarkStart w:id="147" w:name="_Toc12863"/>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2"/>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2"/>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2"/>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10063"/>
      <w:bookmarkStart w:id="157"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9795"/>
      <w:bookmarkStart w:id="170" w:name="_Toc21431"/>
      <w:bookmarkStart w:id="171" w:name="_Toc76373909"/>
      <w:bookmarkStart w:id="172" w:name="_Toc21830"/>
      <w:bookmarkStart w:id="173" w:name="_Toc493178790"/>
      <w:bookmarkStart w:id="174" w:name="_Toc27306"/>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93178791"/>
      <w:bookmarkStart w:id="179" w:name="_Toc411"/>
      <w:bookmarkStart w:id="180" w:name="_Toc12647"/>
      <w:bookmarkStart w:id="181" w:name="_Toc20258"/>
      <w:bookmarkStart w:id="182" w:name="_Toc492721039"/>
      <w:bookmarkStart w:id="183" w:name="_Toc20875"/>
      <w:bookmarkStart w:id="184" w:name="_Toc76373910"/>
      <w:bookmarkStart w:id="185" w:name="_Toc1648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76373912"/>
      <w:bookmarkStart w:id="188" w:name="_Toc493178793"/>
      <w:bookmarkStart w:id="189" w:name="_Toc16151"/>
      <w:bookmarkStart w:id="190" w:name="_Toc6217"/>
      <w:bookmarkStart w:id="191" w:name="_Toc8925"/>
      <w:bookmarkStart w:id="192" w:name="_Toc20605"/>
      <w:bookmarkStart w:id="193" w:name="_Toc4250"/>
      <w:bookmarkStart w:id="194" w:name="_Toc492721038"/>
      <w:bookmarkStart w:id="195" w:name="_Toc19291"/>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548D3E77">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440049-15C9-4235-903F-244BE1AF2B41}"/>
  </w:font>
  <w:font w:name="黑体">
    <w:panose1 w:val="02010609060101010101"/>
    <w:charset w:val="86"/>
    <w:family w:val="auto"/>
    <w:pitch w:val="default"/>
    <w:sig w:usb0="800002BF" w:usb1="38CF7CFA" w:usb2="00000016" w:usb3="00000000" w:csb0="00040001" w:csb1="00000000"/>
    <w:embedRegular r:id="rId2" w:fontKey="{145BD25F-4D85-4134-830B-4FA1C849B6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7243604D-62CE-4B6F-90DB-2EC28C9DAFFC}"/>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32F7F042-5E9E-4702-B4C7-D5D1E84C0858}"/>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54DB0D38-B271-4AF4-89CF-16075A94EFF6}"/>
  </w:font>
  <w:font w:name="方正黑体_GBK">
    <w:panose1 w:val="03000509000000000000"/>
    <w:charset w:val="86"/>
    <w:family w:val="script"/>
    <w:pitch w:val="default"/>
    <w:sig w:usb0="00000001" w:usb1="080E0000" w:usb2="00000000" w:usb3="00000000" w:csb0="00040000" w:csb1="00000000"/>
    <w:embedRegular r:id="rId6" w:fontKey="{F84213E6-1EC0-44CF-9404-30DAB7977FC1}"/>
  </w:font>
  <w:font w:name="方正小标宋_GBK">
    <w:panose1 w:val="03000509000000000000"/>
    <w:charset w:val="86"/>
    <w:family w:val="script"/>
    <w:pitch w:val="default"/>
    <w:sig w:usb0="00000001" w:usb1="080E0000" w:usb2="00000000" w:usb3="00000000" w:csb0="00040000" w:csb1="00000000"/>
    <w:embedRegular r:id="rId7" w:fontKey="{8008E06F-930B-44D8-A0F9-852D701AF98A}"/>
  </w:font>
  <w:font w:name="微软雅黑">
    <w:panose1 w:val="020B0503020204020204"/>
    <w:charset w:val="86"/>
    <w:family w:val="swiss"/>
    <w:pitch w:val="default"/>
    <w:sig w:usb0="80000287" w:usb1="2ACF3C50" w:usb2="00000016" w:usb3="00000000" w:csb0="0004001F" w:csb1="00000000"/>
    <w:embedRegular r:id="rId8" w:fontKey="{5250CCD5-A245-4713-9B6A-767B3DC697F3}"/>
  </w:font>
  <w:font w:name="仿宋">
    <w:panose1 w:val="02010609060101010101"/>
    <w:charset w:val="86"/>
    <w:family w:val="modern"/>
    <w:pitch w:val="default"/>
    <w:sig w:usb0="800002BF" w:usb1="38CF7CFA" w:usb2="00000016" w:usb3="00000000" w:csb0="00040001" w:csb1="00000000"/>
    <w:embedRegular r:id="rId9" w:fontKey="{615E7376-B6B2-4CBD-8030-20F7C66FB479}"/>
  </w:font>
  <w:font w:name="楷体">
    <w:panose1 w:val="02010609060101010101"/>
    <w:charset w:val="86"/>
    <w:family w:val="modern"/>
    <w:pitch w:val="default"/>
    <w:sig w:usb0="800002BF" w:usb1="38CF7CFA" w:usb2="00000016" w:usb3="00000000" w:csb0="00040001" w:csb1="00000000"/>
    <w:embedRegular r:id="rId10" w:fontKey="{9A69FEF6-2F47-4D4B-8C0C-EA923BDD5EA0}"/>
  </w:font>
  <w:font w:name="WPSEMBED232">
    <w:panose1 w:val="03000509000000000000"/>
    <w:charset w:val="86"/>
    <w:family w:val="auto"/>
    <w:pitch w:val="default"/>
    <w:sig w:usb0="00000001" w:usb1="080E0000" w:usb2="00000000" w:usb3="00000000" w:csb0="00040000" w:csb1="00000000"/>
  </w:font>
  <w:font w:name="WPSEMBED23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abstractNum w:abstractNumId="1">
    <w:nsid w:val="3847186E"/>
    <w:multiLevelType w:val="singleLevel"/>
    <w:tmpl w:val="3847186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C93206"/>
    <w:rsid w:val="21DC692A"/>
    <w:rsid w:val="21F61A98"/>
    <w:rsid w:val="21FC1A76"/>
    <w:rsid w:val="2250591D"/>
    <w:rsid w:val="229A1929"/>
    <w:rsid w:val="22C40B4F"/>
    <w:rsid w:val="22D874DE"/>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2E2341"/>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14C10"/>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3B704B"/>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40FE7"/>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AD1D56"/>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C24018"/>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27239"/>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3367</Words>
  <Characters>3530</Characters>
  <Lines>101</Lines>
  <Paragraphs>28</Paragraphs>
  <TotalTime>3</TotalTime>
  <ScaleCrop>false</ScaleCrop>
  <LinksUpToDate>false</LinksUpToDate>
  <CharactersWithSpaces>3621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2025-11-07T08:18:06Z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