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304"/>
      <w:bookmarkStart w:id="3" w:name="_Toc76373863"/>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5909"/>
      <w:bookmarkStart w:id="9" w:name="_Toc22435"/>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BB5F183">
      <w:pPr>
        <w:widowControl/>
        <w:spacing w:line="400" w:lineRule="exact"/>
        <w:ind w:firstLine="48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双极射频消融隔离钳及连接带、双极射频消融笔；一次性使用肺结节定位针；胸外科生物补片；</w:t>
      </w:r>
      <w:bookmarkStart w:id="197" w:name="_GoBack"/>
      <w:bookmarkEnd w:id="197"/>
      <w:r>
        <w:rPr>
          <w:rFonts w:hint="eastAsia" w:ascii="宋体" w:hAnsi="宋体" w:cs="宋体"/>
          <w:color w:val="000000"/>
          <w:sz w:val="24"/>
          <w:szCs w:val="24"/>
          <w:lang w:val="en-US" w:eastAsia="zh-CN"/>
        </w:rPr>
        <w:t>一次性切口牵开保护套/器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5838"/>
            <w:bookmarkStart w:id="16" w:name="_Toc76373865"/>
            <w:bookmarkStart w:id="17" w:name="_Toc22707"/>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双极射频消融隔离钳及连接带、双极射频消融笔</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胸心外科</w:t>
            </w:r>
          </w:p>
        </w:tc>
      </w:tr>
      <w:tr w14:paraId="2C73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3FA9159">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57E1FA98">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一次性使用肺结节定位针</w:t>
            </w:r>
          </w:p>
        </w:tc>
        <w:tc>
          <w:tcPr>
            <w:tcW w:w="1327" w:type="dxa"/>
            <w:noWrap w:val="0"/>
            <w:vAlign w:val="center"/>
          </w:tcPr>
          <w:p w14:paraId="445E7683">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FE48CE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shd w:val="clear" w:color="auto" w:fill="auto"/>
            <w:noWrap w:val="0"/>
            <w:vAlign w:val="center"/>
          </w:tcPr>
          <w:p w14:paraId="5CFCA8A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p>
        </w:tc>
      </w:tr>
      <w:tr w14:paraId="759F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8533B2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07086850">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胸外科生物补片</w:t>
            </w:r>
          </w:p>
        </w:tc>
        <w:tc>
          <w:tcPr>
            <w:tcW w:w="1327" w:type="dxa"/>
            <w:noWrap w:val="0"/>
            <w:vAlign w:val="center"/>
          </w:tcPr>
          <w:p w14:paraId="3D36069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40856A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shd w:val="clear" w:color="auto" w:fill="auto"/>
            <w:noWrap w:val="0"/>
            <w:vAlign w:val="center"/>
          </w:tcPr>
          <w:p w14:paraId="1961F01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ED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331CFFC">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8DD0ECD">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一次性切口牵开保护套/器</w:t>
            </w:r>
          </w:p>
        </w:tc>
        <w:tc>
          <w:tcPr>
            <w:tcW w:w="1327" w:type="dxa"/>
            <w:noWrap w:val="0"/>
            <w:vAlign w:val="center"/>
          </w:tcPr>
          <w:p w14:paraId="34D3CBC4">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21DD1D4B">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3AAD320E">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胸心外科、胃肠外科、妇科、肝胆外科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10137"/>
      <w:bookmarkStart w:id="20" w:name="_Toc3434"/>
      <w:bookmarkStart w:id="21" w:name="_Toc30358"/>
      <w:bookmarkStart w:id="22" w:name="_Toc76373866"/>
      <w:bookmarkStart w:id="23" w:name="_Toc25496"/>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7527"/>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胸心外科包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胸心外科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胸心外科包X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胸心外科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14224"/>
      <w:bookmarkStart w:id="45" w:name="_Toc9714"/>
      <w:bookmarkStart w:id="46" w:name="_Toc25272"/>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2599"/>
      <w:bookmarkStart w:id="53" w:name="_Toc11474"/>
      <w:bookmarkStart w:id="54" w:name="_Toc76373874"/>
      <w:bookmarkStart w:id="55" w:name="_Toc13391"/>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29620"/>
      <w:bookmarkStart w:id="60" w:name="_Toc29225"/>
      <w:bookmarkStart w:id="61" w:name="_Toc76373876"/>
      <w:bookmarkStart w:id="62" w:name="_Toc6355"/>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82D8FDB">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一、</w:t>
      </w:r>
      <w:r>
        <w:rPr>
          <w:rFonts w:hint="eastAsia" w:ascii="Times New Roman" w:eastAsia="宋体" w:cs="Times New Roman"/>
          <w:sz w:val="24"/>
          <w:szCs w:val="24"/>
          <w:lang w:val="en-US" w:eastAsia="zh-CN"/>
        </w:rPr>
        <w:t>射频消融钳：</w:t>
      </w:r>
    </w:p>
    <w:p w14:paraId="21B3F1CA">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1.用途：主要用于心律失常的射频消融治疗，通过隔离钳将电能传递至心脏组织，达到消融病灶的目的。</w:t>
      </w:r>
    </w:p>
    <w:p w14:paraId="7D8A6DE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2.技术参数：钳夹闭合压力：3-8 g/mm²（视组织厚度与长度）；单条电极长度：60mm；</w:t>
      </w:r>
    </w:p>
    <w:p w14:paraId="3206397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3.耗材组成：两对射频电极、平行闭合的钳口、不锈钢鞘、手柄、锁控。</w:t>
      </w:r>
    </w:p>
    <w:p w14:paraId="473428A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二、射频消融笔：</w:t>
      </w:r>
    </w:p>
    <w:p w14:paraId="38EC734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1.用途：主要用于心律失常的射频消融治疗，通过消融笔将其核心作用是通过射频能量精准消融特定组织，实现手术中的精准切割或病变清除。</w:t>
      </w:r>
    </w:p>
    <w:p w14:paraId="4045A00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2.技术参数：电极长度7mm；电极宽度：1mm；两电极间宽度：3mm；</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3.耗材组成：射频笔头、电极、连接杆、手柄、电极电缆及连接插头组成</w:t>
      </w:r>
      <w:r>
        <w:rPr>
          <w:rFonts w:hint="default" w:ascii="Times New Roman" w:hAnsi="Times New Roman" w:eastAsia="宋体" w:cs="Times New Roman"/>
          <w:i w:val="0"/>
          <w:kern w:val="2"/>
          <w:sz w:val="24"/>
          <w:szCs w:val="24"/>
          <w:lang w:val="en-US" w:eastAsia="zh-CN" w:bidi="ar-SA"/>
        </w:rPr>
        <w:t>。</w:t>
      </w:r>
    </w:p>
    <w:p w14:paraId="51D1C6D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CBE6E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36011E8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1.用途：用于肺结节患者接受胸腔镜手术前的CT引导下的肺结节定位</w:t>
      </w:r>
    </w:p>
    <w:p w14:paraId="72D738D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2CE8E43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（1）针管总长10cm，定位线线总长11cm；</w:t>
      </w:r>
    </w:p>
    <w:p w14:paraId="63F37CD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（2）穿刺针由304不锈钢组成，针管直径0.9mm，1cm为1刻度，清楚指示穿刺深度；</w:t>
      </w:r>
    </w:p>
    <w:p w14:paraId="4D7D77C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定位线采用柔性材料，有三种不同颜色组成，0.5cm为1刻度，一种颜色为3cm，定位完成时推入胸腔，有效避免了线身对锚定针的牵拉力，从而减少了锚定针的移位，医生手术时可以清楚根据颜色判断病灶位置，行肺楔形切除时在确保安全的前提下可增加定位深度，行肺段切除时也可起到标记和指示作用</w:t>
      </w:r>
    </w:p>
    <w:p w14:paraId="194B74D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锚定针采用镍钛合金材料，是“四爪”圆弧形，每个爪长度4mm，打开直径4.6mm，子呈相互对称的“鱼钩状”钩子极细、尖端圆钝，钩子释放时完全主动“抓”入邻近肺组织，即便扎进邻近小血管，也不易出血且固定更加可靠</w:t>
      </w:r>
    </w:p>
    <w:p w14:paraId="7C44E20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3.耗材组成或成分：</w:t>
      </w:r>
    </w:p>
    <w:p w14:paraId="1C3438C2">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该产品由：防后撤卡扣、防击发卡扣、穿刺针、定位线、锚定定位针、推送装置、保护管等部分组成</w:t>
      </w:r>
      <w:r>
        <w:rPr>
          <w:rFonts w:hint="default" w:ascii="Times New Roman" w:eastAsia="宋体" w:cs="Times New Roman"/>
          <w:sz w:val="24"/>
          <w:szCs w:val="24"/>
          <w:lang w:val="en-US" w:eastAsia="zh-CN"/>
        </w:rPr>
        <w:t>。</w:t>
      </w:r>
    </w:p>
    <w:p w14:paraId="19D5C9F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0864BCC6">
      <w:pPr>
        <w:ind w:firstLine="240" w:firstLineChars="100"/>
        <w:rPr>
          <w:rFonts w:hint="eastAsia" w:cs="Times New Roman"/>
          <w:sz w:val="24"/>
          <w:szCs w:val="24"/>
          <w:lang w:val="en-US" w:eastAsia="zh-CN"/>
        </w:rPr>
      </w:pPr>
      <w:r>
        <w:rPr>
          <w:rFonts w:hint="eastAsia" w:cs="Times New Roman"/>
          <w:sz w:val="24"/>
          <w:szCs w:val="24"/>
          <w:lang w:val="en-US" w:eastAsia="zh-CN"/>
        </w:rPr>
        <w:t>1.用途：胸外科手术治疗肺部疾病时（伴有中重度慢性阻塞性肺疾病和/或肺裂发育不良患者），起到防肺组织漏气的作用。</w:t>
      </w:r>
    </w:p>
    <w:p w14:paraId="0898A72D">
      <w:pPr>
        <w:ind w:firstLine="240" w:firstLineChars="100"/>
        <w:rPr>
          <w:rFonts w:hint="eastAsia" w:cs="Times New Roman"/>
          <w:sz w:val="24"/>
          <w:szCs w:val="24"/>
          <w:lang w:val="en-US" w:eastAsia="zh-CN"/>
        </w:rPr>
      </w:pPr>
      <w:r>
        <w:rPr>
          <w:rFonts w:hint="eastAsia" w:cs="Times New Roman"/>
          <w:sz w:val="24"/>
          <w:szCs w:val="24"/>
          <w:lang w:val="en-US" w:eastAsia="zh-CN"/>
        </w:rPr>
        <w:t>2.技术参数（性状、材质、物理尺寸等，物理尺寸是范围）：</w:t>
      </w:r>
    </w:p>
    <w:p w14:paraId="0498AD02">
      <w:pPr>
        <w:ind w:firstLine="240" w:firstLineChars="100"/>
        <w:rPr>
          <w:rFonts w:hint="eastAsia" w:cs="Times New Roman"/>
          <w:sz w:val="24"/>
          <w:szCs w:val="24"/>
          <w:lang w:val="en-US" w:eastAsia="zh-CN"/>
        </w:rPr>
      </w:pPr>
      <w:r>
        <w:rPr>
          <w:rFonts w:hint="eastAsia" w:cs="Times New Roman"/>
          <w:sz w:val="24"/>
          <w:szCs w:val="24"/>
          <w:lang w:val="en-US" w:eastAsia="zh-CN"/>
        </w:rPr>
        <w:t>物理尺寸：不少于1.0*1.0cm，不大于30cm*30cm的方形或长方形，厚度为0.2~0.6mm，浅黄色；射线灭菌，一次性使用。</w:t>
      </w:r>
    </w:p>
    <w:p w14:paraId="1433D26B">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w:t>
      </w:r>
      <w:r>
        <w:rPr>
          <w:rFonts w:hint="eastAsia" w:cs="Times New Roman"/>
          <w:sz w:val="24"/>
          <w:szCs w:val="24"/>
          <w:lang w:val="en-US" w:eastAsia="zh-CN"/>
        </w:rPr>
        <w:t>耗材组成或成分：生物补片取自于经检疫确认健康的黄牛心包组织，经化学改性处理，最终制成一片式用于软组织修复的代用品</w:t>
      </w:r>
      <w:r>
        <w:rPr>
          <w:rFonts w:hint="default" w:ascii="Times New Roman" w:hAnsi="Times New Roman" w:eastAsia="宋体" w:cs="Times New Roman"/>
          <w:i w:val="0"/>
          <w:kern w:val="2"/>
          <w:sz w:val="24"/>
          <w:szCs w:val="24"/>
          <w:lang w:val="en-US" w:eastAsia="zh-CN" w:bidi="ar-SA"/>
        </w:rPr>
        <w:t>。</w:t>
      </w:r>
    </w:p>
    <w:p w14:paraId="5BDBF3B2">
      <w:pPr>
        <w:spacing w:line="320" w:lineRule="exact"/>
        <w:rPr>
          <w:rFonts w:hint="default" w:ascii="Times New Roman" w:hAnsi="Times New Roman" w:eastAsia="宋体" w:cs="Times New Roman"/>
          <w:b/>
          <w:bCs/>
          <w:sz w:val="24"/>
          <w:szCs w:val="24"/>
          <w:lang w:val="en-US" w:eastAsia="zh-CN"/>
        </w:rPr>
      </w:pPr>
    </w:p>
    <w:p w14:paraId="10A4F0D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4C22F954">
      <w:pPr>
        <w:ind w:firstLine="240" w:firstLineChars="100"/>
        <w:rPr>
          <w:rFonts w:hint="eastAsia" w:cs="Times New Roman"/>
          <w:sz w:val="24"/>
          <w:szCs w:val="24"/>
          <w:lang w:val="en-US" w:eastAsia="zh-CN"/>
        </w:rPr>
      </w:pPr>
      <w:r>
        <w:rPr>
          <w:rFonts w:hint="eastAsia" w:cs="Times New Roman"/>
          <w:sz w:val="24"/>
          <w:szCs w:val="24"/>
          <w:lang w:val="en-US" w:eastAsia="zh-CN"/>
        </w:rPr>
        <w:t>1.用途：供内窥镜手术以及小切口手术使用。其功能是扩展切口术野，保护切口免受损伤，减少切口感染。</w:t>
      </w:r>
    </w:p>
    <w:p w14:paraId="2929370E">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378D2111">
      <w:pPr>
        <w:ind w:firstLine="240" w:firstLineChars="100"/>
        <w:rPr>
          <w:rFonts w:hint="eastAsia" w:cs="Times New Roman"/>
          <w:sz w:val="24"/>
          <w:szCs w:val="24"/>
          <w:lang w:val="en-US" w:eastAsia="zh-CN"/>
        </w:rPr>
      </w:pPr>
      <w:r>
        <w:rPr>
          <w:rFonts w:hint="eastAsia" w:cs="Times New Roman"/>
          <w:sz w:val="24"/>
          <w:szCs w:val="24"/>
          <w:lang w:val="en-US" w:eastAsia="zh-CN"/>
        </w:rPr>
        <w:t>性能：牵开固定器各个使用连接均能承受牵拉力，不脱开、不撕裂。牵开固定器的置入环、外环之间受径向外力作用下，能产生弹性变形，外力释放后能弹性恢复。</w:t>
      </w:r>
    </w:p>
    <w:p w14:paraId="5E890366">
      <w:pPr>
        <w:ind w:firstLine="240" w:firstLineChars="100"/>
        <w:rPr>
          <w:rFonts w:hint="eastAsia" w:cs="Times New Roman"/>
          <w:sz w:val="24"/>
          <w:szCs w:val="24"/>
          <w:lang w:val="en-US" w:eastAsia="zh-CN"/>
        </w:rPr>
      </w:pPr>
      <w:r>
        <w:rPr>
          <w:rFonts w:hint="eastAsia" w:cs="Times New Roman"/>
          <w:sz w:val="24"/>
          <w:szCs w:val="24"/>
          <w:lang w:val="en-US" w:eastAsia="zh-CN"/>
        </w:rPr>
        <w:t>3.组成成分：由外环、置入环和通道组成。外环、置入环由PE和硅胶制成，通道由PU(聚氨酯)薄膜制成。</w:t>
      </w:r>
    </w:p>
    <w:p w14:paraId="55485BCA">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物理尺寸：外环外径： 40mm-320mm，置入环外径：30mm-330mm</w:t>
      </w:r>
      <w:r>
        <w:rPr>
          <w:rFonts w:hint="default" w:ascii="Times New Roman" w:hAnsi="Times New Roman" w:eastAsia="宋体" w:cs="Times New Roman"/>
          <w:i w:val="0"/>
          <w:kern w:val="2"/>
          <w:sz w:val="24"/>
          <w:szCs w:val="24"/>
          <w:lang w:val="en-US" w:eastAsia="zh-CN" w:bidi="ar-SA"/>
        </w:rPr>
        <w:t>。</w:t>
      </w:r>
    </w:p>
    <w:p w14:paraId="02654043">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24122"/>
      <w:bookmarkStart w:id="68" w:name="_Toc31843"/>
      <w:bookmarkStart w:id="69" w:name="_Toc76373878"/>
      <w:bookmarkStart w:id="70" w:name="_Toc17944"/>
      <w:bookmarkStart w:id="71" w:name="_Toc7794"/>
      <w:bookmarkStart w:id="72" w:name="_Toc4791"/>
      <w:bookmarkStart w:id="73" w:name="_Toc15650"/>
      <w:bookmarkStart w:id="74" w:name="_Toc1752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76373879"/>
      <w:bookmarkStart w:id="79" w:name="_Toc30551"/>
      <w:bookmarkStart w:id="80" w:name="_Toc14311"/>
      <w:bookmarkStart w:id="81" w:name="_Toc9339"/>
      <w:bookmarkStart w:id="82" w:name="_Toc29836"/>
      <w:bookmarkStart w:id="83" w:name="_Toc595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7737"/>
      <w:bookmarkStart w:id="89" w:name="_Toc27893"/>
      <w:bookmarkStart w:id="90" w:name="_Toc20772"/>
      <w:bookmarkStart w:id="91" w:name="_Toc2258"/>
      <w:bookmarkStart w:id="92" w:name="_Toc2026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12712"/>
      <w:bookmarkStart w:id="96" w:name="_Toc28189"/>
      <w:bookmarkStart w:id="97" w:name="_Toc76373886"/>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76373887"/>
      <w:bookmarkStart w:id="103" w:name="_Toc26754"/>
      <w:bookmarkStart w:id="104" w:name="_Toc5535"/>
      <w:bookmarkStart w:id="105" w:name="_Toc13585"/>
      <w:bookmarkStart w:id="106" w:name="_Toc31293"/>
      <w:bookmarkStart w:id="107" w:name="_Toc19809"/>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76373889"/>
      <w:bookmarkStart w:id="109" w:name="_Toc30068"/>
      <w:bookmarkStart w:id="110" w:name="_Toc5251"/>
      <w:bookmarkStart w:id="111" w:name="_Toc2900"/>
      <w:bookmarkStart w:id="112" w:name="_Toc8546"/>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6071"/>
      <w:bookmarkStart w:id="118" w:name="_Toc76373890"/>
      <w:bookmarkStart w:id="119" w:name="_Toc27443"/>
      <w:bookmarkStart w:id="120" w:name="_Toc11342"/>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7646"/>
      <w:bookmarkStart w:id="125" w:name="_Toc25199"/>
      <w:bookmarkStart w:id="126" w:name="_Toc76373891"/>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0152"/>
      <w:bookmarkStart w:id="136" w:name="_Toc24088"/>
      <w:bookmarkStart w:id="137" w:name="_Toc20762"/>
      <w:bookmarkStart w:id="138" w:name="_Toc2975"/>
      <w:bookmarkStart w:id="139" w:name="_Toc19409"/>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11892"/>
      <w:bookmarkStart w:id="143" w:name="_Toc76373907"/>
      <w:bookmarkStart w:id="144" w:name="_Toc7750"/>
      <w:bookmarkStart w:id="145" w:name="_Toc25920"/>
      <w:bookmarkStart w:id="146" w:name="_Toc16112"/>
      <w:bookmarkStart w:id="147" w:name="_Toc117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76373909"/>
      <w:bookmarkStart w:id="171" w:name="_Toc27306"/>
      <w:bookmarkStart w:id="172" w:name="_Toc21431"/>
      <w:bookmarkStart w:id="173" w:name="_Toc21830"/>
      <w:bookmarkStart w:id="174" w:name="_Toc9795"/>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411"/>
      <w:bookmarkStart w:id="180" w:name="_Toc492721039"/>
      <w:bookmarkStart w:id="181" w:name="_Toc20875"/>
      <w:bookmarkStart w:id="182" w:name="_Toc20258"/>
      <w:bookmarkStart w:id="183" w:name="_Toc16487"/>
      <w:bookmarkStart w:id="184" w:name="_Toc493178791"/>
      <w:bookmarkStart w:id="185" w:name="_Toc76373910"/>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20605"/>
      <w:bookmarkStart w:id="189" w:name="_Toc4250"/>
      <w:bookmarkStart w:id="190" w:name="_Toc19291"/>
      <w:bookmarkStart w:id="191" w:name="_Toc492721038"/>
      <w:bookmarkStart w:id="192" w:name="_Toc6217"/>
      <w:bookmarkStart w:id="193" w:name="_Toc76373912"/>
      <w:bookmarkStart w:id="194" w:name="_Toc493178793"/>
      <w:bookmarkStart w:id="195" w:name="_Toc8925"/>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E0CA6A-6B82-45EA-9E31-72A130FC8211}"/>
  </w:font>
  <w:font w:name="黑体">
    <w:panose1 w:val="02010609060101010101"/>
    <w:charset w:val="86"/>
    <w:family w:val="auto"/>
    <w:pitch w:val="default"/>
    <w:sig w:usb0="800002BF" w:usb1="38CF7CFA" w:usb2="00000016" w:usb3="00000000" w:csb0="00040001" w:csb1="00000000"/>
    <w:embedRegular r:id="rId2" w:fontKey="{A7C522D8-F19B-4B23-A704-F8D015213F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FFDFBF05-836F-4CF8-8890-B0BDBA24536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784C345D-96FE-4985-8741-53476201DAD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9F829C7-E899-44DD-A318-BD9D94CF9997}"/>
  </w:font>
  <w:font w:name="方正黑体_GBK">
    <w:panose1 w:val="03000509000000000000"/>
    <w:charset w:val="86"/>
    <w:family w:val="script"/>
    <w:pitch w:val="default"/>
    <w:sig w:usb0="00000001" w:usb1="080E0000" w:usb2="00000000" w:usb3="00000000" w:csb0="00040000" w:csb1="00000000"/>
    <w:embedRegular r:id="rId6" w:fontKey="{4302BC84-6D51-46F1-BCE3-EAED0BED300C}"/>
  </w:font>
  <w:font w:name="方正小标宋_GBK">
    <w:panose1 w:val="03000509000000000000"/>
    <w:charset w:val="86"/>
    <w:family w:val="script"/>
    <w:pitch w:val="default"/>
    <w:sig w:usb0="00000001" w:usb1="080E0000" w:usb2="00000000" w:usb3="00000000" w:csb0="00040000" w:csb1="00000000"/>
    <w:embedRegular r:id="rId7" w:fontKey="{10667BEB-A689-448A-828D-423A60811FA8}"/>
  </w:font>
  <w:font w:name="微软雅黑">
    <w:panose1 w:val="020B0503020204020204"/>
    <w:charset w:val="86"/>
    <w:family w:val="swiss"/>
    <w:pitch w:val="default"/>
    <w:sig w:usb0="80000287" w:usb1="2ACF3C50" w:usb2="00000016" w:usb3="00000000" w:csb0="0004001F" w:csb1="00000000"/>
    <w:embedRegular r:id="rId8" w:fontKey="{F38C8A9D-0295-4BB9-A96E-DDA8BB726F64}"/>
  </w:font>
  <w:font w:name="仿宋">
    <w:panose1 w:val="02010609060101010101"/>
    <w:charset w:val="86"/>
    <w:family w:val="modern"/>
    <w:pitch w:val="default"/>
    <w:sig w:usb0="800002BF" w:usb1="38CF7CFA" w:usb2="00000016" w:usb3="00000000" w:csb0="00040001" w:csb1="00000000"/>
    <w:embedRegular r:id="rId9" w:fontKey="{78805CEC-EE71-4000-8673-CDDBD6085BB1}"/>
  </w:font>
  <w:font w:name="楷体">
    <w:panose1 w:val="02010609060101010101"/>
    <w:charset w:val="86"/>
    <w:family w:val="modern"/>
    <w:pitch w:val="default"/>
    <w:sig w:usb0="800002BF" w:usb1="38CF7CFA" w:usb2="00000016" w:usb3="00000000" w:csb0="00040001" w:csb1="00000000"/>
    <w:embedRegular r:id="rId10" w:fontKey="{28B70C34-2561-4A34-84D2-80957B865D87}"/>
  </w:font>
  <w:font w:name="WPSEMBED5">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8373E1"/>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7E52FF"/>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350BA4"/>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334854"/>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9B02BA"/>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9340</Words>
  <Characters>9622</Characters>
  <Lines>101</Lines>
  <Paragraphs>28</Paragraphs>
  <TotalTime>10</TotalTime>
  <ScaleCrop>false</ScaleCrop>
  <LinksUpToDate>false</LinksUpToDate>
  <CharactersWithSpaces>11068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2025-11-07T08:20:16Z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