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10059"/>
      <w:bookmarkStart w:id="2" w:name="_Toc13868"/>
      <w:bookmarkStart w:id="3" w:name="_Toc76373863"/>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2435"/>
      <w:bookmarkStart w:id="8" w:name="_Toc28264"/>
      <w:bookmarkStart w:id="9" w:name="_Toc5909"/>
      <w:bookmarkStart w:id="10" w:name="_Toc76373864"/>
      <w:bookmarkStart w:id="11" w:name="_Toc15376"/>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cs="Times New Roman"/>
          <w:color w:val="000000"/>
          <w:sz w:val="24"/>
          <w:szCs w:val="24"/>
          <w:lang w:val="en-US" w:eastAsia="zh-CN"/>
        </w:rPr>
        <w:t>一次性使用宫颈扩张用模具；理疗电极片；一次性使用穿刺针；一次性宫腔镜组织切割器；</w:t>
      </w:r>
      <w:r>
        <w:rPr>
          <w:rFonts w:hint="eastAsia" w:ascii="Times New Roman" w:hAnsi="Times New Roman" w:cs="Times New Roman"/>
          <w:color w:val="000000"/>
          <w:sz w:val="24"/>
          <w:szCs w:val="24"/>
          <w:lang w:val="en-US" w:eastAsia="zh-CN"/>
        </w:rPr>
        <w:t>一次性使用手动流产吸引器/引流管</w:t>
      </w:r>
      <w:r>
        <w:rPr>
          <w:rFonts w:hint="eastAsia" w:cs="Times New Roman"/>
          <w:color w:val="000000"/>
          <w:sz w:val="24"/>
          <w:szCs w:val="24"/>
          <w:lang w:val="en-US" w:eastAsia="zh-CN"/>
        </w:rPr>
        <w:t>；细胞培养基；羊水细胞培养基；新生牛血清；医用Ⅲ型胶原无菌凝胶</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22707"/>
            <w:bookmarkStart w:id="16" w:name="_Toc5838"/>
            <w:bookmarkStart w:id="17" w:name="_Toc76373865"/>
            <w:bookmarkStart w:id="18" w:name="_Toc22129"/>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一次性使用宫颈扩张用模具</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妇产科</w:t>
            </w:r>
          </w:p>
        </w:tc>
      </w:tr>
      <w:tr w14:paraId="4011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3E36A200">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6F47260F">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理疗电极片</w:t>
            </w:r>
          </w:p>
        </w:tc>
        <w:tc>
          <w:tcPr>
            <w:tcW w:w="1327" w:type="dxa"/>
            <w:noWrap w:val="0"/>
            <w:vAlign w:val="center"/>
          </w:tcPr>
          <w:p w14:paraId="131F836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564E0AA4">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638E846E">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妇产科、消化内科、中西医结合科、神经内科</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三</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一次性使用穿刺针</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7CCBFB1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妇产科、脊柱外科</w:t>
            </w:r>
          </w:p>
        </w:tc>
      </w:tr>
      <w:tr w14:paraId="7A39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E90BB03">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四</w:t>
            </w:r>
          </w:p>
        </w:tc>
        <w:tc>
          <w:tcPr>
            <w:tcW w:w="2456" w:type="dxa"/>
            <w:noWrap w:val="0"/>
            <w:vAlign w:val="center"/>
          </w:tcPr>
          <w:p w14:paraId="274B0EC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一次性宫腔镜组织切割器</w:t>
            </w:r>
          </w:p>
        </w:tc>
        <w:tc>
          <w:tcPr>
            <w:tcW w:w="1327" w:type="dxa"/>
            <w:noWrap w:val="0"/>
            <w:vAlign w:val="center"/>
          </w:tcPr>
          <w:p w14:paraId="12A9722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91E10F9">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4E2DD587">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妇产科</w:t>
            </w:r>
          </w:p>
        </w:tc>
      </w:tr>
      <w:tr w14:paraId="7BCA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6B04C1B">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五</w:t>
            </w:r>
          </w:p>
        </w:tc>
        <w:tc>
          <w:tcPr>
            <w:tcW w:w="2456" w:type="dxa"/>
            <w:noWrap w:val="0"/>
            <w:vAlign w:val="center"/>
          </w:tcPr>
          <w:p w14:paraId="364C86DB">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一次性使用手动流产吸引器/引流管</w:t>
            </w:r>
          </w:p>
        </w:tc>
        <w:tc>
          <w:tcPr>
            <w:tcW w:w="1327" w:type="dxa"/>
            <w:noWrap w:val="0"/>
            <w:vAlign w:val="center"/>
          </w:tcPr>
          <w:p w14:paraId="5157794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3F5CB9F">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0CCAE0F2">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妇产科</w:t>
            </w:r>
          </w:p>
        </w:tc>
      </w:tr>
      <w:tr w14:paraId="3823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96B7C4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六</w:t>
            </w:r>
          </w:p>
        </w:tc>
        <w:tc>
          <w:tcPr>
            <w:tcW w:w="2456" w:type="dxa"/>
            <w:noWrap w:val="0"/>
            <w:vAlign w:val="center"/>
          </w:tcPr>
          <w:p w14:paraId="2CADA4B3">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细胞培养基</w:t>
            </w:r>
          </w:p>
        </w:tc>
        <w:tc>
          <w:tcPr>
            <w:tcW w:w="1327" w:type="dxa"/>
            <w:noWrap w:val="0"/>
            <w:vAlign w:val="center"/>
          </w:tcPr>
          <w:p w14:paraId="361BFCF1">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80BD97A">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p>
        </w:tc>
        <w:tc>
          <w:tcPr>
            <w:tcW w:w="1594" w:type="dxa"/>
            <w:noWrap w:val="0"/>
            <w:vAlign w:val="center"/>
          </w:tcPr>
          <w:p w14:paraId="63F15B3B">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妇产科</w:t>
            </w:r>
          </w:p>
        </w:tc>
      </w:tr>
      <w:tr w14:paraId="2D38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BF55B48">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七</w:t>
            </w:r>
          </w:p>
        </w:tc>
        <w:tc>
          <w:tcPr>
            <w:tcW w:w="2456" w:type="dxa"/>
            <w:noWrap w:val="0"/>
            <w:vAlign w:val="center"/>
          </w:tcPr>
          <w:p w14:paraId="3B493F1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羊水细胞培养基</w:t>
            </w:r>
          </w:p>
        </w:tc>
        <w:tc>
          <w:tcPr>
            <w:tcW w:w="1327" w:type="dxa"/>
            <w:noWrap w:val="0"/>
            <w:vAlign w:val="center"/>
          </w:tcPr>
          <w:p w14:paraId="1BDA2E1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4F11389C">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p>
        </w:tc>
        <w:tc>
          <w:tcPr>
            <w:tcW w:w="1594" w:type="dxa"/>
            <w:noWrap w:val="0"/>
            <w:vAlign w:val="center"/>
          </w:tcPr>
          <w:p w14:paraId="2F8EA303">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妇产科</w:t>
            </w:r>
          </w:p>
        </w:tc>
      </w:tr>
      <w:tr w14:paraId="724A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3C65EF16">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八</w:t>
            </w:r>
          </w:p>
        </w:tc>
        <w:tc>
          <w:tcPr>
            <w:tcW w:w="2456" w:type="dxa"/>
            <w:noWrap w:val="0"/>
            <w:vAlign w:val="center"/>
          </w:tcPr>
          <w:p w14:paraId="70E56B20">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新生牛血清</w:t>
            </w:r>
          </w:p>
        </w:tc>
        <w:tc>
          <w:tcPr>
            <w:tcW w:w="1327" w:type="dxa"/>
            <w:noWrap w:val="0"/>
            <w:vAlign w:val="center"/>
          </w:tcPr>
          <w:p w14:paraId="2ECF2EA9">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DD45763">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p>
        </w:tc>
        <w:tc>
          <w:tcPr>
            <w:tcW w:w="1594" w:type="dxa"/>
            <w:noWrap w:val="0"/>
            <w:vAlign w:val="center"/>
          </w:tcPr>
          <w:p w14:paraId="438010F7">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妇产科</w:t>
            </w:r>
          </w:p>
        </w:tc>
      </w:tr>
      <w:tr w14:paraId="3434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D6FA1C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九</w:t>
            </w:r>
          </w:p>
        </w:tc>
        <w:tc>
          <w:tcPr>
            <w:tcW w:w="2456" w:type="dxa"/>
            <w:noWrap w:val="0"/>
            <w:vAlign w:val="center"/>
          </w:tcPr>
          <w:p w14:paraId="61BBF22B">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医用Ⅲ型胶原无菌凝胶</w:t>
            </w:r>
          </w:p>
        </w:tc>
        <w:tc>
          <w:tcPr>
            <w:tcW w:w="1327" w:type="dxa"/>
            <w:noWrap w:val="0"/>
            <w:vAlign w:val="center"/>
          </w:tcPr>
          <w:p w14:paraId="7EA6D90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52182B47">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60605F48">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妇产科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30358"/>
      <w:bookmarkStart w:id="20" w:name="_Toc26504"/>
      <w:bookmarkStart w:id="21" w:name="_Toc10137"/>
      <w:bookmarkStart w:id="22" w:name="_Toc3434"/>
      <w:bookmarkStart w:id="23" w:name="_Toc76373866"/>
      <w:bookmarkStart w:id="24" w:name="_Toc2549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18799"/>
      <w:bookmarkStart w:id="32" w:name="_Toc280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妇产科包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妇产科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妇产科包X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妇产科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14224"/>
      <w:bookmarkStart w:id="44" w:name="_Toc9714"/>
      <w:bookmarkStart w:id="45" w:name="_Toc4033"/>
      <w:bookmarkStart w:id="46" w:name="_Toc25272"/>
      <w:bookmarkStart w:id="47" w:name="_Toc763738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2599"/>
      <w:bookmarkStart w:id="53" w:name="_Toc3153"/>
      <w:bookmarkStart w:id="54" w:name="_Toc11474"/>
      <w:bookmarkStart w:id="55" w:name="_Toc763738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29620"/>
      <w:bookmarkStart w:id="60" w:name="_Toc30465"/>
      <w:bookmarkStart w:id="61" w:name="_Toc6355"/>
      <w:bookmarkStart w:id="62" w:name="_Toc76373876"/>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7D36239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功能用途：用于宫腔操作前宫颈的预处理，以利于手术器械进入宫腔。</w:t>
      </w:r>
    </w:p>
    <w:p w14:paraId="14D22C6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69716A9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一次性使用扩张用模具杆身由聚乙烯醇缩甲醛制成，杆身手柄处环形绳子由纱线制成。</w:t>
      </w:r>
    </w:p>
    <w:p w14:paraId="5A4CB4F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1.直径≤3mm</w:t>
      </w:r>
    </w:p>
    <w:p w14:paraId="151C63F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2.抗断裂度：杆身具有良好的断裂牢固度，断裂力≥6N。</w:t>
      </w:r>
    </w:p>
    <w:p w14:paraId="38BA8E1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3.连接牢固度：杆身与绳子之间有良好的连接牢固度，应≥15N。</w:t>
      </w:r>
    </w:p>
    <w:p w14:paraId="41A5844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4.膨胀性：在水中浸泡5分钟后，膨胀率≥100%。</w:t>
      </w:r>
    </w:p>
    <w:p w14:paraId="4CC6031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5.膨胀后断裂牢固度：在水中浸泡5分钟后，杆身有良好的断裂牢固度，断裂力≥6N。</w:t>
      </w:r>
    </w:p>
    <w:p w14:paraId="13CD472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6.膨胀后连接牢固度：在水中浸泡5分钟后，杆身与绳子之间有良好的连接牢固度，应≥15N。</w:t>
      </w:r>
    </w:p>
    <w:p w14:paraId="1394B40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7.无菌：产品应经过一定有效的灭菌过程使产品无菌</w:t>
      </w:r>
      <w:r>
        <w:rPr>
          <w:rFonts w:hint="default" w:ascii="Times New Roman" w:hAnsi="Times New Roman" w:eastAsia="宋体" w:cs="Times New Roman"/>
          <w:i w:val="0"/>
          <w:kern w:val="2"/>
          <w:sz w:val="24"/>
          <w:szCs w:val="24"/>
          <w:lang w:val="en-US" w:eastAsia="zh-CN" w:bidi="ar-SA"/>
        </w:rPr>
        <w:t>。</w:t>
      </w:r>
    </w:p>
    <w:p w14:paraId="2025977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6D03662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功能用用途：用于传导仪器发出的电脉冲信号</w:t>
      </w:r>
    </w:p>
    <w:p w14:paraId="029CA80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17BEAB5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1.插孔式，材质导电硅胶层和其他辅助层，</w:t>
      </w:r>
    </w:p>
    <w:p w14:paraId="3D647DE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2.圆形，长方形，正方形与中低频理疗仪配套使用，</w:t>
      </w:r>
    </w:p>
    <w:p w14:paraId="0AA7105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3.由导电硅胶层和其他辅助层组成，不含药物成分。</w:t>
      </w:r>
    </w:p>
    <w:p w14:paraId="383B659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4.匹配临床现有的中/低频脉冲治疗仪（型号：TR-2000C/LG2000/GI-II/G6805-2）</w:t>
      </w:r>
      <w:r>
        <w:rPr>
          <w:rFonts w:hint="default" w:ascii="Times New Roman" w:hAnsi="Times New Roman" w:eastAsia="宋体" w:cs="Times New Roman"/>
          <w:i w:val="0"/>
          <w:kern w:val="2"/>
          <w:sz w:val="24"/>
          <w:szCs w:val="24"/>
          <w:lang w:val="en-US" w:eastAsia="zh-CN" w:bidi="ar-SA"/>
        </w:rPr>
        <w:t>。</w:t>
      </w:r>
    </w:p>
    <w:p w14:paraId="3D48875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5138AC60">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737B345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功能用用途：螺纹超声显影</w:t>
      </w:r>
    </w:p>
    <w:p w14:paraId="648C079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3F0EA22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1.规格包含但不限于：22Gx150mm，22Gx200mm；</w:t>
      </w:r>
    </w:p>
    <w:p w14:paraId="258D4A1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2.针尖螺纹超声显影，具有浮标尺</w:t>
      </w:r>
      <w:r>
        <w:rPr>
          <w:rFonts w:hint="default" w:ascii="Times New Roman" w:hAnsi="Times New Roman" w:eastAsia="宋体" w:cs="Times New Roman"/>
          <w:i w:val="0"/>
          <w:kern w:val="2"/>
          <w:sz w:val="24"/>
          <w:szCs w:val="24"/>
          <w:lang w:val="en-US" w:eastAsia="zh-CN" w:bidi="ar-SA"/>
        </w:rPr>
        <w:t>。</w:t>
      </w:r>
    </w:p>
    <w:p w14:paraId="0E95E60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4D887DE7">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67AA3DD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功能用用途：用于宫腔镜下组织切割</w:t>
      </w:r>
    </w:p>
    <w:p w14:paraId="6A10620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5D4D446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无需消毒，一次性使用，避免交叉感染。</w:t>
      </w:r>
    </w:p>
    <w:p w14:paraId="21A5ED9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cs="Times New Roman"/>
          <w:sz w:val="24"/>
          <w:szCs w:val="24"/>
          <w:lang w:val="en-US" w:eastAsia="zh-CN"/>
        </w:rPr>
        <w:t>.</w:t>
      </w:r>
      <w:r>
        <w:rPr>
          <w:rFonts w:hint="eastAsia" w:ascii="Times New Roman" w:eastAsia="宋体" w:cs="Times New Roman"/>
          <w:sz w:val="24"/>
          <w:szCs w:val="24"/>
          <w:lang w:val="en-US" w:eastAsia="zh-CN"/>
        </w:rPr>
        <w:t>操作手柄符合人体学设计，易于使用，使操作者感觉更舒适</w:t>
      </w:r>
    </w:p>
    <w:p w14:paraId="6A9FD72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*专利设计的刀片，高速旋转运动（顺时针＞8075转/分钟）的同时往复运动，可快速、有效的切除宫腔内组织。</w:t>
      </w:r>
    </w:p>
    <w:p w14:paraId="18D16D4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w:t>
      </w:r>
      <w:r>
        <w:rPr>
          <w:rFonts w:hint="eastAsia" w:cs="Times New Roman"/>
          <w:sz w:val="24"/>
          <w:szCs w:val="24"/>
          <w:lang w:val="en-US" w:eastAsia="zh-CN"/>
        </w:rPr>
        <w:t>.</w:t>
      </w:r>
      <w:r>
        <w:rPr>
          <w:rFonts w:hint="eastAsia" w:ascii="Times New Roman" w:eastAsia="宋体" w:cs="Times New Roman"/>
          <w:sz w:val="24"/>
          <w:szCs w:val="24"/>
          <w:lang w:val="en-US" w:eastAsia="zh-CN"/>
        </w:rPr>
        <w:t>*独有的侧面“切割窗口”设计，同时完成组织切割及组织抽吸，避免了由于更换手术器械造成的膨宫液过度吸收及手术时间延长，且保证切除深度可控，避免子宫穿孔。</w:t>
      </w:r>
    </w:p>
    <w:p w14:paraId="5481C9B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w:t>
      </w:r>
      <w:r>
        <w:rPr>
          <w:rFonts w:hint="eastAsia" w:cs="Times New Roman"/>
          <w:sz w:val="24"/>
          <w:szCs w:val="24"/>
          <w:lang w:val="en-US" w:eastAsia="zh-CN"/>
        </w:rPr>
        <w:t>.</w:t>
      </w:r>
      <w:r>
        <w:rPr>
          <w:rFonts w:hint="eastAsia" w:ascii="Times New Roman" w:eastAsia="宋体" w:cs="Times New Roman"/>
          <w:sz w:val="24"/>
          <w:szCs w:val="24"/>
          <w:lang w:val="en-US" w:eastAsia="zh-CN"/>
        </w:rPr>
        <w:t>组织切除装置外部管路外径：3±0.2mm</w:t>
      </w:r>
    </w:p>
    <w:p w14:paraId="31BC1EF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w:t>
      </w:r>
      <w:r>
        <w:rPr>
          <w:rFonts w:hint="eastAsia" w:cs="Times New Roman"/>
          <w:sz w:val="24"/>
          <w:szCs w:val="24"/>
          <w:lang w:val="en-US" w:eastAsia="zh-CN"/>
        </w:rPr>
        <w:t>.</w:t>
      </w:r>
      <w:r>
        <w:rPr>
          <w:rFonts w:hint="eastAsia" w:ascii="Times New Roman" w:eastAsia="宋体" w:cs="Times New Roman"/>
          <w:sz w:val="24"/>
          <w:szCs w:val="24"/>
          <w:lang w:val="en-US" w:eastAsia="zh-CN"/>
        </w:rPr>
        <w:t>切除后的组织被吸取到体外的收集罐中，以便下一步病理检查。</w:t>
      </w:r>
    </w:p>
    <w:p w14:paraId="3CB53F7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7</w:t>
      </w:r>
      <w:r>
        <w:rPr>
          <w:rFonts w:hint="eastAsia" w:cs="Times New Roman"/>
          <w:sz w:val="24"/>
          <w:szCs w:val="24"/>
          <w:lang w:val="en-US" w:eastAsia="zh-CN"/>
        </w:rPr>
        <w:t>.</w:t>
      </w:r>
      <w:r>
        <w:rPr>
          <w:rFonts w:hint="eastAsia" w:ascii="Times New Roman" w:eastAsia="宋体" w:cs="Times New Roman"/>
          <w:sz w:val="24"/>
          <w:szCs w:val="24"/>
          <w:lang w:val="en-US" w:eastAsia="zh-CN"/>
        </w:rPr>
        <w:t>须匹配医院现有控制器及宫腔镜（美奥舒）</w:t>
      </w:r>
      <w:r>
        <w:rPr>
          <w:rFonts w:hint="default" w:ascii="Times New Roman" w:hAnsi="Times New Roman" w:eastAsia="宋体" w:cs="Times New Roman"/>
          <w:i w:val="0"/>
          <w:kern w:val="2"/>
          <w:sz w:val="24"/>
          <w:szCs w:val="24"/>
          <w:lang w:val="en-US" w:eastAsia="zh-CN" w:bidi="ar-SA"/>
        </w:rPr>
        <w:t>。</w:t>
      </w:r>
    </w:p>
    <w:p w14:paraId="2C26B80C">
      <w:pPr>
        <w:spacing w:line="320" w:lineRule="exact"/>
        <w:rPr>
          <w:rFonts w:hint="default" w:ascii="Times New Roman" w:hAnsi="Times New Roman" w:eastAsia="宋体" w:cs="Times New Roman"/>
          <w:b/>
          <w:bCs/>
          <w:sz w:val="24"/>
          <w:szCs w:val="24"/>
          <w:lang w:val="en-US" w:eastAsia="zh-CN"/>
        </w:rPr>
      </w:pPr>
    </w:p>
    <w:p w14:paraId="1C0A896F">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433660A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功能用途：用于终止早期妊娠（人工流产），清除妊娠残留物（不全流产或流产后清宫），诊断性刮宫（取子宫内膜活检）</w:t>
      </w:r>
      <w:r>
        <w:rPr>
          <w:rFonts w:hint="eastAsia" w:cs="Times New Roman"/>
          <w:sz w:val="24"/>
          <w:szCs w:val="24"/>
          <w:lang w:val="en-US" w:eastAsia="zh-CN"/>
        </w:rPr>
        <w:t>。</w:t>
      </w:r>
    </w:p>
    <w:p w14:paraId="780EA11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63C6C42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1.产品由一次性使用负压吸引器和宫腔吸引管组成。</w:t>
      </w:r>
    </w:p>
    <w:p w14:paraId="44380DA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2.吸引器容量为60ml，吸引管分4/5/6号三个规格。其中4/5号吸引管带管套，6号吸引管不带管套。流产吸引管</w:t>
      </w:r>
      <w:r>
        <w:rPr>
          <w:rFonts w:hint="eastAsia" w:cs="Times New Roman"/>
          <w:sz w:val="24"/>
          <w:szCs w:val="24"/>
          <w:lang w:val="en-US" w:eastAsia="zh-CN"/>
        </w:rPr>
        <w:t>。</w:t>
      </w:r>
    </w:p>
    <w:p w14:paraId="42D6E64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3.基本尺寸</w:t>
      </w:r>
      <w:r>
        <w:rPr>
          <w:rFonts w:hint="eastAsia" w:cs="Times New Roman"/>
          <w:sz w:val="24"/>
          <w:szCs w:val="24"/>
          <w:lang w:val="en-US" w:eastAsia="zh-CN"/>
        </w:rPr>
        <w:t>：</w:t>
      </w:r>
    </w:p>
    <w:p w14:paraId="5B4AA055">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4号管吸引管总长230mm管身内径2.9mm管口外径5.9mm</w:t>
      </w:r>
      <w:r>
        <w:rPr>
          <w:rFonts w:hint="eastAsia" w:cs="Times New Roman"/>
          <w:sz w:val="24"/>
          <w:szCs w:val="24"/>
          <w:lang w:val="en-US" w:eastAsia="zh-CN"/>
        </w:rPr>
        <w:t>；</w:t>
      </w:r>
    </w:p>
    <w:p w14:paraId="7CC913BB">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5号管吸引管总长233mm管身内径3.7mm管口外径5.9mm</w:t>
      </w:r>
      <w:r>
        <w:rPr>
          <w:rFonts w:hint="eastAsia" w:cs="Times New Roman"/>
          <w:sz w:val="24"/>
          <w:szCs w:val="24"/>
          <w:lang w:val="en-US" w:eastAsia="zh-CN"/>
        </w:rPr>
        <w:t>；</w:t>
      </w:r>
    </w:p>
    <w:p w14:paraId="3296D281">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（3）</w:t>
      </w:r>
      <w:r>
        <w:rPr>
          <w:rFonts w:hint="eastAsia" w:ascii="Times New Roman" w:eastAsia="宋体" w:cs="Times New Roman"/>
          <w:sz w:val="24"/>
          <w:szCs w:val="24"/>
          <w:lang w:val="en-US" w:eastAsia="zh-CN"/>
        </w:rPr>
        <w:t>6号管吸引管总长234mm管身内径4.4mm管口外径5.9mm</w:t>
      </w:r>
      <w:r>
        <w:rPr>
          <w:rFonts w:hint="eastAsia" w:cs="Times New Roman"/>
          <w:sz w:val="24"/>
          <w:szCs w:val="24"/>
          <w:lang w:val="en-US" w:eastAsia="zh-CN"/>
        </w:rPr>
        <w:t>；</w:t>
      </w:r>
    </w:p>
    <w:p w14:paraId="3545F5F1">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eastAsia="宋体" w:cs="Times New Roman"/>
          <w:sz w:val="24"/>
          <w:szCs w:val="24"/>
          <w:lang w:val="en-US" w:eastAsia="zh-CN"/>
        </w:rPr>
        <w:t>流产吸引器基本尺寸</w:t>
      </w:r>
      <w:r>
        <w:rPr>
          <w:rFonts w:hint="eastAsia" w:cs="Times New Roman"/>
          <w:sz w:val="24"/>
          <w:szCs w:val="24"/>
          <w:lang w:val="en-US" w:eastAsia="zh-CN"/>
        </w:rPr>
        <w:t>；</w:t>
      </w:r>
    </w:p>
    <w:p w14:paraId="14743F96">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（5）</w:t>
      </w:r>
      <w:r>
        <w:rPr>
          <w:rFonts w:hint="eastAsia" w:ascii="Times New Roman" w:eastAsia="宋体" w:cs="Times New Roman"/>
          <w:sz w:val="24"/>
          <w:szCs w:val="24"/>
          <w:lang w:val="en-US" w:eastAsia="zh-CN"/>
        </w:rPr>
        <w:t>流产吸引器总长356mm</w:t>
      </w:r>
      <w:r>
        <w:rPr>
          <w:rFonts w:hint="eastAsia" w:cs="Times New Roman"/>
          <w:sz w:val="24"/>
          <w:szCs w:val="24"/>
          <w:lang w:val="en-US" w:eastAsia="zh-CN"/>
        </w:rPr>
        <w:t>；</w:t>
      </w:r>
    </w:p>
    <w:p w14:paraId="6132C3C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（6）</w:t>
      </w:r>
      <w:r>
        <w:rPr>
          <w:rFonts w:hint="eastAsia" w:ascii="Times New Roman" w:eastAsia="宋体" w:cs="Times New Roman"/>
          <w:sz w:val="24"/>
          <w:szCs w:val="24"/>
          <w:lang w:val="en-US" w:eastAsia="zh-CN"/>
        </w:rPr>
        <w:t>储气管直径29mm</w:t>
      </w:r>
      <w:r>
        <w:rPr>
          <w:rFonts w:hint="default" w:ascii="Times New Roman" w:hAnsi="Times New Roman" w:eastAsia="宋体" w:cs="Times New Roman"/>
          <w:i w:val="0"/>
          <w:kern w:val="2"/>
          <w:sz w:val="24"/>
          <w:szCs w:val="24"/>
          <w:lang w:val="en-US" w:eastAsia="zh-CN" w:bidi="ar-SA"/>
        </w:rPr>
        <w:t>。</w:t>
      </w:r>
    </w:p>
    <w:p w14:paraId="0E314FC5">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71BF2B07">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6</w:t>
      </w:r>
    </w:p>
    <w:p w14:paraId="1F6E4CB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功能用用途：细胞培养基可用于培养外周血淋巴细胞，用于细胞增殖培养，不具备对细胞的选择，诱导，分化功能。培养后的细胞用于体外诊断。</w:t>
      </w:r>
    </w:p>
    <w:p w14:paraId="2AA91FB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05AE85D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成分：以1640培养基，小牛血清，植物血球凝集素（PHA）为主要原辅料。5ml/瓶（管）。</w:t>
      </w:r>
    </w:p>
    <w:p w14:paraId="79C00D0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cs="Times New Roman"/>
          <w:sz w:val="24"/>
          <w:szCs w:val="24"/>
          <w:lang w:val="en-US" w:eastAsia="zh-CN"/>
        </w:rPr>
        <w:t>.</w:t>
      </w:r>
      <w:r>
        <w:rPr>
          <w:rFonts w:hint="eastAsia" w:ascii="Times New Roman" w:eastAsia="宋体" w:cs="Times New Roman"/>
          <w:sz w:val="24"/>
          <w:szCs w:val="24"/>
          <w:lang w:val="en-US" w:eastAsia="zh-CN"/>
        </w:rPr>
        <w:t>无菌：应无菌生长。</w:t>
      </w:r>
    </w:p>
    <w:p w14:paraId="7C814AD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PH值：PH值应为7.2~8.5。</w:t>
      </w:r>
    </w:p>
    <w:p w14:paraId="50DE451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w:t>
      </w:r>
      <w:r>
        <w:rPr>
          <w:rFonts w:hint="eastAsia" w:cs="Times New Roman"/>
          <w:sz w:val="24"/>
          <w:szCs w:val="24"/>
          <w:lang w:val="en-US" w:eastAsia="zh-CN"/>
        </w:rPr>
        <w:t>.</w:t>
      </w:r>
      <w:r>
        <w:rPr>
          <w:rFonts w:hint="eastAsia" w:ascii="Times New Roman" w:eastAsia="宋体" w:cs="Times New Roman"/>
          <w:sz w:val="24"/>
          <w:szCs w:val="24"/>
          <w:lang w:val="en-US" w:eastAsia="zh-CN"/>
        </w:rPr>
        <w:t>细胞处理效果：经处理的细胞，转化率≥40%。</w:t>
      </w:r>
    </w:p>
    <w:p w14:paraId="67E7A13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w:t>
      </w:r>
      <w:r>
        <w:rPr>
          <w:rFonts w:hint="eastAsia" w:cs="Times New Roman"/>
          <w:sz w:val="24"/>
          <w:szCs w:val="24"/>
          <w:lang w:val="en-US" w:eastAsia="zh-CN"/>
        </w:rPr>
        <w:t>.</w:t>
      </w:r>
      <w:r>
        <w:rPr>
          <w:rFonts w:hint="eastAsia" w:ascii="Times New Roman" w:eastAsia="宋体" w:cs="Times New Roman"/>
          <w:sz w:val="24"/>
          <w:szCs w:val="24"/>
          <w:lang w:val="en-US" w:eastAsia="zh-CN"/>
        </w:rPr>
        <w:t>批内差：PH值批内差应≤0.3。</w:t>
      </w:r>
    </w:p>
    <w:p w14:paraId="6F7C53B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w:t>
      </w:r>
      <w:r>
        <w:rPr>
          <w:rFonts w:hint="eastAsia" w:cs="Times New Roman"/>
          <w:sz w:val="24"/>
          <w:szCs w:val="24"/>
          <w:lang w:val="en-US" w:eastAsia="zh-CN"/>
        </w:rPr>
        <w:t>.</w:t>
      </w:r>
      <w:r>
        <w:rPr>
          <w:rFonts w:hint="eastAsia" w:ascii="Times New Roman" w:eastAsia="宋体" w:cs="Times New Roman"/>
          <w:sz w:val="24"/>
          <w:szCs w:val="24"/>
          <w:lang w:val="en-US" w:eastAsia="zh-CN"/>
        </w:rPr>
        <w:t>批间差：PH值批间差应≤0.8。</w:t>
      </w:r>
    </w:p>
    <w:p w14:paraId="1E257BB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7</w:t>
      </w:r>
      <w:r>
        <w:rPr>
          <w:rFonts w:hint="eastAsia" w:cs="Times New Roman"/>
          <w:sz w:val="24"/>
          <w:szCs w:val="24"/>
          <w:lang w:val="en-US" w:eastAsia="zh-CN"/>
        </w:rPr>
        <w:t>.</w:t>
      </w:r>
      <w:r>
        <w:rPr>
          <w:rFonts w:hint="eastAsia" w:ascii="Times New Roman" w:eastAsia="宋体" w:cs="Times New Roman"/>
          <w:sz w:val="24"/>
          <w:szCs w:val="24"/>
          <w:lang w:val="en-US" w:eastAsia="zh-CN"/>
        </w:rPr>
        <w:t>稳定性：产品在2℃-8℃保存或-20℃以下保存，应分别规定有效期限。取到期后的留样检测，结果应符合各项目规定的要求</w:t>
      </w:r>
      <w:r>
        <w:rPr>
          <w:rFonts w:hint="default" w:ascii="Times New Roman" w:hAnsi="Times New Roman" w:eastAsia="宋体" w:cs="Times New Roman"/>
          <w:i w:val="0"/>
          <w:kern w:val="2"/>
          <w:sz w:val="24"/>
          <w:szCs w:val="24"/>
          <w:lang w:val="en-US" w:eastAsia="zh-CN" w:bidi="ar-SA"/>
        </w:rPr>
        <w:t>。</w:t>
      </w:r>
    </w:p>
    <w:p w14:paraId="6851725A">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1D89D5D4">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7</w:t>
      </w:r>
    </w:p>
    <w:p w14:paraId="09A9223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功能用用途：羊水细胞培养基为完全培养基，针对羊水和绒毛细胞培养设计，缓冲效果更佳，适用于封闭和开放培养系统，增加细胞分裂中期产量，有丝分裂中期染色体形态更佳，条带更清晰。</w:t>
      </w:r>
    </w:p>
    <w:p w14:paraId="16C5DD4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308DD8B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由基础培养基，血清，谷氨酰胺，抗生素组成。100ml/瓶。</w:t>
      </w:r>
    </w:p>
    <w:p w14:paraId="3B3FF2B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cs="Times New Roman"/>
          <w:sz w:val="24"/>
          <w:szCs w:val="24"/>
          <w:lang w:val="en-US" w:eastAsia="zh-CN"/>
        </w:rPr>
        <w:t>.</w:t>
      </w:r>
      <w:r>
        <w:rPr>
          <w:rFonts w:hint="eastAsia" w:ascii="Times New Roman" w:eastAsia="宋体" w:cs="Times New Roman"/>
          <w:sz w:val="24"/>
          <w:szCs w:val="24"/>
          <w:lang w:val="en-US" w:eastAsia="zh-CN"/>
        </w:rPr>
        <w:t>装量差异限度：±3%</w:t>
      </w:r>
    </w:p>
    <w:p w14:paraId="104CEAE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澄清度：澄清</w:t>
      </w:r>
    </w:p>
    <w:p w14:paraId="57F9F73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w:t>
      </w:r>
      <w:r>
        <w:rPr>
          <w:rFonts w:hint="eastAsia" w:cs="Times New Roman"/>
          <w:sz w:val="24"/>
          <w:szCs w:val="24"/>
          <w:lang w:val="en-US" w:eastAsia="zh-CN"/>
        </w:rPr>
        <w:t>.</w:t>
      </w:r>
      <w:r>
        <w:rPr>
          <w:rFonts w:hint="eastAsia" w:ascii="Times New Roman" w:eastAsia="宋体" w:cs="Times New Roman"/>
          <w:sz w:val="24"/>
          <w:szCs w:val="24"/>
          <w:lang w:val="en-US" w:eastAsia="zh-CN"/>
        </w:rPr>
        <w:t>pH值：7.0-7.5</w:t>
      </w:r>
    </w:p>
    <w:p w14:paraId="2A3356F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w:t>
      </w:r>
      <w:r>
        <w:rPr>
          <w:rFonts w:hint="eastAsia" w:cs="Times New Roman"/>
          <w:sz w:val="24"/>
          <w:szCs w:val="24"/>
          <w:lang w:val="en-US" w:eastAsia="zh-CN"/>
        </w:rPr>
        <w:t>.</w:t>
      </w:r>
      <w:r>
        <w:rPr>
          <w:rFonts w:hint="eastAsia" w:ascii="Times New Roman" w:eastAsia="宋体" w:cs="Times New Roman"/>
          <w:sz w:val="24"/>
          <w:szCs w:val="24"/>
          <w:lang w:val="en-US" w:eastAsia="zh-CN"/>
        </w:rPr>
        <w:t>渗透压(mOsm/kg）：280-330</w:t>
      </w:r>
    </w:p>
    <w:p w14:paraId="2FFC785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w:t>
      </w:r>
      <w:r>
        <w:rPr>
          <w:rFonts w:hint="eastAsia" w:cs="Times New Roman"/>
          <w:sz w:val="24"/>
          <w:szCs w:val="24"/>
          <w:lang w:val="en-US" w:eastAsia="zh-CN"/>
        </w:rPr>
        <w:t>.</w:t>
      </w:r>
      <w:r>
        <w:rPr>
          <w:rFonts w:hint="eastAsia" w:ascii="Times New Roman" w:eastAsia="宋体" w:cs="Times New Roman"/>
          <w:sz w:val="24"/>
          <w:szCs w:val="24"/>
          <w:lang w:val="en-US" w:eastAsia="zh-CN"/>
        </w:rPr>
        <w:t>微生物：无菌</w:t>
      </w:r>
    </w:p>
    <w:p w14:paraId="2843E55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7</w:t>
      </w:r>
      <w:r>
        <w:rPr>
          <w:rFonts w:hint="eastAsia" w:cs="Times New Roman"/>
          <w:sz w:val="24"/>
          <w:szCs w:val="24"/>
          <w:lang w:val="en-US" w:eastAsia="zh-CN"/>
        </w:rPr>
        <w:t>.</w:t>
      </w:r>
      <w:r>
        <w:rPr>
          <w:rFonts w:hint="eastAsia" w:ascii="Times New Roman" w:eastAsia="宋体" w:cs="Times New Roman"/>
          <w:sz w:val="24"/>
          <w:szCs w:val="24"/>
          <w:lang w:val="en-US" w:eastAsia="zh-CN"/>
        </w:rPr>
        <w:t>内毒素(EU/ml)：＜10</w:t>
      </w:r>
    </w:p>
    <w:p w14:paraId="76F2FCC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8</w:t>
      </w:r>
      <w:r>
        <w:rPr>
          <w:rFonts w:hint="eastAsia" w:cs="Times New Roman"/>
          <w:sz w:val="24"/>
          <w:szCs w:val="24"/>
          <w:lang w:val="en-US" w:eastAsia="zh-CN"/>
        </w:rPr>
        <w:t>.</w:t>
      </w:r>
      <w:r>
        <w:rPr>
          <w:rFonts w:hint="eastAsia" w:ascii="Times New Roman" w:eastAsia="宋体" w:cs="Times New Roman"/>
          <w:sz w:val="24"/>
          <w:szCs w:val="24"/>
          <w:lang w:val="en-US" w:eastAsia="zh-CN"/>
        </w:rPr>
        <w:t>羊水细胞生长实验：细胞倍增指数&gt;2</w:t>
      </w:r>
      <w:r>
        <w:rPr>
          <w:rFonts w:hint="default" w:ascii="Times New Roman" w:hAnsi="Times New Roman" w:eastAsia="宋体" w:cs="Times New Roman"/>
          <w:i w:val="0"/>
          <w:kern w:val="2"/>
          <w:sz w:val="24"/>
          <w:szCs w:val="24"/>
          <w:lang w:val="en-US" w:eastAsia="zh-CN" w:bidi="ar-SA"/>
        </w:rPr>
        <w:t>。</w:t>
      </w:r>
    </w:p>
    <w:p w14:paraId="1FEDDF85">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0455DAB4">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8</w:t>
      </w:r>
    </w:p>
    <w:p w14:paraId="607B996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功能简介：适用于细胞培养。</w:t>
      </w:r>
    </w:p>
    <w:p w14:paraId="43FA697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09D684B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1.500ml/瓶，pH值（25℃）：7.0~8.5</w:t>
      </w:r>
    </w:p>
    <w:p w14:paraId="2591732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2.总蛋白含量（g/L）：35~50</w:t>
      </w:r>
      <w:r>
        <w:rPr>
          <w:rFonts w:hint="eastAsia" w:cs="Times New Roman"/>
          <w:sz w:val="24"/>
          <w:szCs w:val="24"/>
          <w:lang w:val="en-US" w:eastAsia="zh-CN"/>
        </w:rPr>
        <w:t>；</w:t>
      </w:r>
      <w:r>
        <w:rPr>
          <w:rFonts w:hint="eastAsia" w:ascii="Times New Roman" w:eastAsia="宋体" w:cs="Times New Roman"/>
          <w:sz w:val="24"/>
          <w:szCs w:val="24"/>
          <w:lang w:val="en-US" w:eastAsia="zh-CN"/>
        </w:rPr>
        <w:t>血红蛋白含量（g/L）：≤200</w:t>
      </w:r>
      <w:r>
        <w:rPr>
          <w:rFonts w:hint="eastAsia" w:cs="Times New Roman"/>
          <w:sz w:val="24"/>
          <w:szCs w:val="24"/>
          <w:lang w:val="en-US" w:eastAsia="zh-CN"/>
        </w:rPr>
        <w:t>；</w:t>
      </w:r>
      <w:r>
        <w:rPr>
          <w:rFonts w:hint="eastAsia" w:ascii="Times New Roman" w:eastAsia="宋体" w:cs="Times New Roman"/>
          <w:sz w:val="24"/>
          <w:szCs w:val="24"/>
          <w:lang w:val="en-US" w:eastAsia="zh-CN"/>
        </w:rPr>
        <w:t>细菌内毒素含量（EU/mL）：≤10。</w:t>
      </w:r>
    </w:p>
    <w:p w14:paraId="39238FE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3.渗透压摩尔浓度（mOsmol/Kg）：250~330</w:t>
      </w:r>
    </w:p>
    <w:p w14:paraId="3468AA8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4.sp2/0细胞曲线（×10^6）：≥1.0</w:t>
      </w:r>
    </w:p>
    <w:p w14:paraId="55CF29A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5.牛腹泻、牛腺、牛细小、呼肠孤、牛副流感、狂犬病毒检测结果均为阴性</w:t>
      </w:r>
      <w:r>
        <w:rPr>
          <w:rFonts w:hint="default" w:ascii="Times New Roman" w:hAnsi="Times New Roman" w:eastAsia="宋体" w:cs="Times New Roman"/>
          <w:i w:val="0"/>
          <w:kern w:val="2"/>
          <w:sz w:val="24"/>
          <w:szCs w:val="24"/>
          <w:lang w:val="en-US" w:eastAsia="zh-CN" w:bidi="ar-SA"/>
        </w:rPr>
        <w:t>。</w:t>
      </w:r>
    </w:p>
    <w:p w14:paraId="4F1691CC">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7120BE67">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9</w:t>
      </w:r>
    </w:p>
    <w:p w14:paraId="2D35353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功能用途</w:t>
      </w:r>
      <w:r>
        <w:rPr>
          <w:rFonts w:hint="eastAsia" w:cs="Times New Roman"/>
          <w:sz w:val="24"/>
          <w:szCs w:val="24"/>
          <w:lang w:val="en-US" w:eastAsia="zh-CN"/>
        </w:rPr>
        <w:t>；</w:t>
      </w:r>
      <w:r>
        <w:rPr>
          <w:rFonts w:hint="eastAsia" w:ascii="Times New Roman" w:eastAsia="宋体" w:cs="Times New Roman"/>
          <w:sz w:val="24"/>
          <w:szCs w:val="24"/>
          <w:lang w:val="en-US" w:eastAsia="zh-CN"/>
        </w:rPr>
        <w:t>促进表皮修复、抗炎</w:t>
      </w:r>
    </w:p>
    <w:p w14:paraId="690B62CD">
      <w:pPr>
        <w:spacing w:line="320" w:lineRule="exact"/>
        <w:ind w:left="478" w:leftChars="85" w:hanging="240" w:hangingChars="100"/>
        <w:rPr>
          <w:rFonts w:hint="default"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r>
        <w:rPr>
          <w:rFonts w:hint="eastAsia" w:cs="Times New Roman"/>
          <w:sz w:val="24"/>
          <w:szCs w:val="24"/>
          <w:lang w:val="en-US" w:eastAsia="zh-CN"/>
        </w:rPr>
        <w:t>：</w:t>
      </w:r>
    </w:p>
    <w:p w14:paraId="338A4A2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1.主要材料为重组Ⅲ型人源化胶原蛋白，其氨基酸序列与人体Ⅲ型胶原蛋白功能区一致。</w:t>
      </w:r>
    </w:p>
    <w:p w14:paraId="4EE8906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2.采用注射器式样包装，胶塞封口</w:t>
      </w:r>
    </w:p>
    <w:p w14:paraId="495837D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3.包装规格包含但不限于：2g/支/盒</w:t>
      </w:r>
      <w:r>
        <w:rPr>
          <w:rFonts w:hint="default" w:ascii="Times New Roman" w:hAnsi="Times New Roman" w:eastAsia="宋体" w:cs="Times New Roman"/>
          <w:i w:val="0"/>
          <w:kern w:val="2"/>
          <w:sz w:val="24"/>
          <w:szCs w:val="24"/>
          <w:lang w:val="en-US" w:eastAsia="zh-CN" w:bidi="ar-SA"/>
        </w:rPr>
        <w:t>。</w:t>
      </w:r>
    </w:p>
    <w:p w14:paraId="0C302B8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445D785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6B2EB3A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7BC6031D">
      <w:pPr>
        <w:rPr>
          <w:rFonts w:hint="default" w:ascii="Times New Roman" w:hAnsi="Times New Roman" w:eastAsia="宋体" w:cs="Times New Roman"/>
          <w:i w:val="0"/>
          <w:kern w:val="2"/>
          <w:sz w:val="24"/>
          <w:szCs w:val="24"/>
          <w:lang w:val="en-US" w:eastAsia="zh-CN" w:bidi="ar-SA"/>
        </w:rPr>
      </w:pPr>
    </w:p>
    <w:p w14:paraId="3A19B832">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7794"/>
      <w:bookmarkStart w:id="68" w:name="_Toc17524"/>
      <w:bookmarkStart w:id="69" w:name="_Toc24122"/>
      <w:bookmarkStart w:id="70" w:name="_Toc17944"/>
      <w:bookmarkStart w:id="71" w:name="_Toc2072"/>
      <w:bookmarkStart w:id="72" w:name="_Toc1768"/>
      <w:bookmarkStart w:id="73" w:name="_Toc4791"/>
      <w:bookmarkStart w:id="74" w:name="_Toc15650"/>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30551"/>
      <w:bookmarkStart w:id="79" w:name="_Toc14311"/>
      <w:bookmarkStart w:id="80" w:name="_Toc22561"/>
      <w:bookmarkStart w:id="81" w:name="_Toc29836"/>
      <w:bookmarkStart w:id="82" w:name="_Toc9339"/>
      <w:bookmarkStart w:id="83" w:name="_Toc5959"/>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2258"/>
      <w:bookmarkStart w:id="89" w:name="_Toc20772"/>
      <w:bookmarkStart w:id="90" w:name="_Toc76373885"/>
      <w:bookmarkStart w:id="91" w:name="_Toc27737"/>
      <w:bookmarkStart w:id="92" w:name="_Toc12384"/>
      <w:bookmarkStart w:id="93" w:name="_Toc2026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8189"/>
      <w:bookmarkStart w:id="95" w:name="_Toc12712"/>
      <w:bookmarkStart w:id="96" w:name="_Toc23699"/>
      <w:bookmarkStart w:id="97" w:name="_Toc76373886"/>
      <w:bookmarkStart w:id="98" w:name="_Toc11052"/>
      <w:bookmarkStart w:id="99" w:name="_Toc7115"/>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31293"/>
      <w:bookmarkStart w:id="102" w:name="_Toc26754"/>
      <w:bookmarkStart w:id="103" w:name="_Toc9147"/>
      <w:bookmarkStart w:id="104" w:name="_Toc19809"/>
      <w:bookmarkStart w:id="105" w:name="_Toc76373887"/>
      <w:bookmarkStart w:id="106" w:name="_Toc13585"/>
      <w:bookmarkStart w:id="107" w:name="_Toc553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76373889"/>
      <w:bookmarkStart w:id="109" w:name="_Toc16925"/>
      <w:bookmarkStart w:id="110" w:name="_Toc5251"/>
      <w:bookmarkStart w:id="111" w:name="_Toc30068"/>
      <w:bookmarkStart w:id="112" w:name="_Toc2900"/>
      <w:bookmarkStart w:id="113" w:name="_Toc8546"/>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0034"/>
      <w:bookmarkStart w:id="117" w:name="_Toc26071"/>
      <w:bookmarkStart w:id="118" w:name="_Toc11654"/>
      <w:bookmarkStart w:id="119" w:name="_Toc11342"/>
      <w:bookmarkStart w:id="120" w:name="_Toc76373890"/>
      <w:bookmarkStart w:id="121" w:name="_Toc27443"/>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76373891"/>
      <w:bookmarkStart w:id="124" w:name="_Toc20391"/>
      <w:bookmarkStart w:id="125" w:name="_Toc25199"/>
      <w:bookmarkStart w:id="126" w:name="_Toc10864"/>
      <w:bookmarkStart w:id="127" w:name="_Toc27646"/>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0152"/>
      <w:bookmarkStart w:id="136" w:name="_Toc19409"/>
      <w:bookmarkStart w:id="137" w:name="_Toc2975"/>
      <w:bookmarkStart w:id="138" w:name="_Toc76373904"/>
      <w:bookmarkStart w:id="139" w:name="_Toc20762"/>
      <w:bookmarkStart w:id="140" w:name="_Toc24088"/>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76373907"/>
      <w:bookmarkStart w:id="142" w:name="_Toc25920"/>
      <w:bookmarkStart w:id="143" w:name="_Toc7750"/>
      <w:bookmarkStart w:id="144" w:name="_Toc12863"/>
      <w:bookmarkStart w:id="145" w:name="_Toc11763"/>
      <w:bookmarkStart w:id="146" w:name="_Toc11892"/>
      <w:bookmarkStart w:id="147" w:name="_Toc1611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10063"/>
      <w:bookmarkStart w:id="157"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830"/>
      <w:bookmarkStart w:id="170" w:name="_Toc27306"/>
      <w:bookmarkStart w:id="171" w:name="_Toc493178790"/>
      <w:bookmarkStart w:id="172" w:name="_Toc9795"/>
      <w:bookmarkStart w:id="173" w:name="_Toc21431"/>
      <w:bookmarkStart w:id="174" w:name="_Toc76373909"/>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2647"/>
      <w:bookmarkStart w:id="179" w:name="_Toc20875"/>
      <w:bookmarkStart w:id="180" w:name="_Toc493178791"/>
      <w:bookmarkStart w:id="181" w:name="_Toc411"/>
      <w:bookmarkStart w:id="182" w:name="_Toc16487"/>
      <w:bookmarkStart w:id="183" w:name="_Toc492721039"/>
      <w:bookmarkStart w:id="184" w:name="_Toc76373910"/>
      <w:bookmarkStart w:id="185" w:name="_Toc20258"/>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492721038"/>
      <w:bookmarkStart w:id="188" w:name="_Toc8925"/>
      <w:bookmarkStart w:id="189" w:name="_Toc76373912"/>
      <w:bookmarkStart w:id="190" w:name="_Toc19291"/>
      <w:bookmarkStart w:id="191" w:name="_Toc6217"/>
      <w:bookmarkStart w:id="192" w:name="_Toc20605"/>
      <w:bookmarkStart w:id="193" w:name="_Toc493178793"/>
      <w:bookmarkStart w:id="194" w:name="_Toc4250"/>
      <w:bookmarkStart w:id="195" w:name="_Toc16151"/>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1995120A">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B189BD-5EBF-4BBC-9D26-1F678B53955B}"/>
  </w:font>
  <w:font w:name="黑体">
    <w:panose1 w:val="02010609060101010101"/>
    <w:charset w:val="86"/>
    <w:family w:val="auto"/>
    <w:pitch w:val="default"/>
    <w:sig w:usb0="800002BF" w:usb1="38CF7CFA" w:usb2="00000016" w:usb3="00000000" w:csb0="00040001" w:csb1="00000000"/>
    <w:embedRegular r:id="rId2" w:fontKey="{DD7E4F7B-E198-4FE2-8C84-6094144E6C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5F9536A7-AFA4-419E-85DB-7A17F785DA8C}"/>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AE136A4C-08D4-4369-B179-1673A48BE117}"/>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260B7617-7EF7-401F-BA48-780673B40340}"/>
  </w:font>
  <w:font w:name="方正黑体_GBK">
    <w:panose1 w:val="03000509000000000000"/>
    <w:charset w:val="86"/>
    <w:family w:val="script"/>
    <w:pitch w:val="default"/>
    <w:sig w:usb0="00000001" w:usb1="080E0000" w:usb2="00000000" w:usb3="00000000" w:csb0="00040000" w:csb1="00000000"/>
    <w:embedRegular r:id="rId6" w:fontKey="{AC8CDF33-116D-4231-A9AA-D06E849E425C}"/>
  </w:font>
  <w:font w:name="方正小标宋_GBK">
    <w:panose1 w:val="03000509000000000000"/>
    <w:charset w:val="86"/>
    <w:family w:val="script"/>
    <w:pitch w:val="default"/>
    <w:sig w:usb0="00000001" w:usb1="080E0000" w:usb2="00000000" w:usb3="00000000" w:csb0="00040000" w:csb1="00000000"/>
    <w:embedRegular r:id="rId7" w:fontKey="{7EBEAD5F-745C-4037-AB1F-BFEA05A789C2}"/>
  </w:font>
  <w:font w:name="微软雅黑">
    <w:panose1 w:val="020B0503020204020204"/>
    <w:charset w:val="86"/>
    <w:family w:val="swiss"/>
    <w:pitch w:val="default"/>
    <w:sig w:usb0="80000287" w:usb1="2ACF3C50" w:usb2="00000016" w:usb3="00000000" w:csb0="0004001F" w:csb1="00000000"/>
    <w:embedRegular r:id="rId8" w:fontKey="{3378D624-8175-4C72-8AE7-4B9D59EC8D23}"/>
  </w:font>
  <w:font w:name="仿宋">
    <w:panose1 w:val="02010609060101010101"/>
    <w:charset w:val="86"/>
    <w:family w:val="modern"/>
    <w:pitch w:val="default"/>
    <w:sig w:usb0="800002BF" w:usb1="38CF7CFA" w:usb2="00000016" w:usb3="00000000" w:csb0="00040001" w:csb1="00000000"/>
    <w:embedRegular r:id="rId9" w:fontKey="{19B2BC8A-070E-4D90-9C34-293CC44C9AFE}"/>
  </w:font>
  <w:font w:name="楷体">
    <w:panose1 w:val="02010609060101010101"/>
    <w:charset w:val="86"/>
    <w:family w:val="modern"/>
    <w:pitch w:val="default"/>
    <w:sig w:usb0="800002BF" w:usb1="38CF7CFA" w:usb2="00000016" w:usb3="00000000" w:csb0="00040001" w:csb1="00000000"/>
    <w:embedRegular r:id="rId10" w:fontKey="{201F1BF7-0C5A-4AA7-A710-76A991B1CB36}"/>
  </w:font>
  <w:font w:name="WPSEMBED35">
    <w:panose1 w:val="03000509000000000000"/>
    <w:charset w:val="86"/>
    <w:family w:val="auto"/>
    <w:pitch w:val="default"/>
    <w:sig w:usb0="00000001" w:usb1="080E0000" w:usb2="00000000" w:usb3="00000000" w:csb0="00040000" w:csb1="00000000"/>
  </w:font>
  <w:font w:name="WPSEMBED3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A0A11"/>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84404A"/>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3D6202B"/>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752698"/>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C83D1B"/>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1655A"/>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883E1E"/>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0F701A"/>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3940</Words>
  <Characters>4190</Characters>
  <Lines>101</Lines>
  <Paragraphs>28</Paragraphs>
  <TotalTime>0</TotalTime>
  <ScaleCrop>false</ScaleCrop>
  <LinksUpToDate>false</LinksUpToDate>
  <CharactersWithSpaces>4281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2025-11-21T07:27:40Z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