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10059"/>
      <w:bookmarkStart w:id="2" w:name="_Toc1304"/>
      <w:bookmarkStart w:id="3" w:name="_Toc31066"/>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5909"/>
      <w:bookmarkStart w:id="9" w:name="_Toc28264"/>
      <w:bookmarkStart w:id="10" w:name="_Toc22435"/>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项目名称：聚乳酸防粘连膜、一次性双极消融器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5838"/>
            <w:bookmarkStart w:id="16" w:name="_Toc22129"/>
            <w:bookmarkStart w:id="17" w:name="_Toc76373865"/>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聚乳酸防粘连膜</w:t>
            </w:r>
            <w:r>
              <w:rPr>
                <w:rFonts w:hint="eastAsia" w:cs="Times New Roman"/>
                <w:color w:val="000000"/>
                <w:sz w:val="24"/>
                <w:szCs w:val="24"/>
                <w:lang w:val="en-US" w:eastAsia="zh-CN"/>
              </w:rPr>
              <w:t>脐</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妇科</w:t>
            </w:r>
          </w:p>
        </w:tc>
      </w:tr>
      <w:tr w14:paraId="3AA1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D3F1774">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809B8D2">
            <w:pPr>
              <w:widowControl/>
              <w:spacing w:line="400" w:lineRule="exact"/>
              <w:jc w:val="center"/>
              <w:rPr>
                <w:rFonts w:hint="eastAsia" w:ascii="宋体" w:hAnsi="宋体" w:cs="宋体"/>
                <w:color w:val="000000"/>
                <w:sz w:val="24"/>
                <w:szCs w:val="24"/>
              </w:rPr>
            </w:pPr>
            <w:r>
              <w:rPr>
                <w:rFonts w:hint="eastAsia" w:ascii="宋体" w:hAnsi="宋体" w:cs="宋体"/>
                <w:color w:val="000000"/>
                <w:sz w:val="24"/>
                <w:szCs w:val="24"/>
              </w:rPr>
              <w:t>一次性双极消融器</w:t>
            </w:r>
          </w:p>
        </w:tc>
        <w:tc>
          <w:tcPr>
            <w:tcW w:w="1327" w:type="dxa"/>
            <w:noWrap w:val="0"/>
            <w:vAlign w:val="center"/>
          </w:tcPr>
          <w:p w14:paraId="5DC766AC">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7C658B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49A4697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76373866"/>
      <w:bookmarkStart w:id="20" w:name="_Toc26504"/>
      <w:bookmarkStart w:id="21" w:name="_Toc25496"/>
      <w:bookmarkStart w:id="22" w:name="_Toc3434"/>
      <w:bookmarkStart w:id="23" w:name="_Toc30358"/>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7527"/>
      <w:bookmarkStart w:id="32" w:name="_Toc654"/>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报名妇科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妇科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妇</w:t>
      </w:r>
      <w:r>
        <w:rPr>
          <w:rFonts w:hint="eastAsia" w:ascii="Times New Roman" w:hAnsi="Times New Roman" w:eastAsia="宋体" w:cs="Times New Roman"/>
          <w:b w:val="0"/>
          <w:bCs/>
          <w:kern w:val="0"/>
          <w:sz w:val="24"/>
          <w:szCs w:val="24"/>
          <w:u w:val="single"/>
          <w:lang w:val="en-US" w:eastAsia="zh-CN"/>
        </w:rPr>
        <w:t>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妇</w:t>
      </w:r>
      <w:r>
        <w:rPr>
          <w:rFonts w:hint="eastAsia" w:ascii="Times New Roman" w:hAnsi="Times New Roman" w:eastAsia="宋体" w:cs="Times New Roman"/>
          <w:b w:val="0"/>
          <w:bCs/>
          <w:kern w:val="0"/>
          <w:sz w:val="24"/>
          <w:szCs w:val="24"/>
          <w:u w:val="single"/>
          <w:lang w:val="en-US" w:eastAsia="zh-CN"/>
        </w:rPr>
        <w:t>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25272"/>
      <w:bookmarkStart w:id="45" w:name="_Toc9714"/>
      <w:bookmarkStart w:id="46" w:name="_Toc14224"/>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1474"/>
      <w:bookmarkStart w:id="53" w:name="_Toc3153"/>
      <w:bookmarkStart w:id="54" w:name="_Toc76373874"/>
      <w:bookmarkStart w:id="55" w:name="_Toc13391"/>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225"/>
      <w:bookmarkStart w:id="60" w:name="_Toc76373876"/>
      <w:bookmarkStart w:id="61" w:name="_Toc29620"/>
      <w:bookmarkStart w:id="62" w:name="_Toc3046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7315E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功能用途：用于手术中隔离创面与周围组织的创面修复材料；主要是由聚乳酸（PDLLA）制造的薄膜，用于人体的生物材料。</w:t>
      </w:r>
    </w:p>
    <w:p w14:paraId="289230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34367CD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1.符合ISO10993,GB/T16886规定的生物安全要求；</w:t>
      </w:r>
    </w:p>
    <w:p w14:paraId="65B949B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2.可降解、可塑形；</w:t>
      </w:r>
    </w:p>
    <w:p w14:paraId="78CF2AC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3.有效隔离创面与周围组织同时，维持完整性长于4周，8-12周完全降解</w:t>
      </w:r>
      <w:r>
        <w:rPr>
          <w:rFonts w:hint="eastAsia" w:cs="Times New Roman"/>
          <w:sz w:val="24"/>
          <w:szCs w:val="24"/>
          <w:lang w:val="en-US" w:eastAsia="zh-CN"/>
        </w:rPr>
        <w:t>；</w:t>
      </w:r>
    </w:p>
    <w:p w14:paraId="438A90D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4.聚乳酸防粘连膜的边和角均为圆弧形设计，防止二次损伤</w:t>
      </w:r>
      <w:r>
        <w:rPr>
          <w:rFonts w:hint="eastAsia" w:cs="Times New Roman"/>
          <w:sz w:val="24"/>
          <w:szCs w:val="24"/>
          <w:lang w:val="en-US" w:eastAsia="zh-CN"/>
        </w:rPr>
        <w:t>；</w:t>
      </w:r>
    </w:p>
    <w:p w14:paraId="72A7A2E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5.体积要求（mm）：长≥120，宽≥70，厚度0.04（误差≤0.01）</w:t>
      </w:r>
      <w:r>
        <w:rPr>
          <w:rFonts w:hint="default" w:ascii="Times New Roman" w:hAnsi="Times New Roman" w:eastAsia="宋体" w:cs="Times New Roman"/>
          <w:i w:val="0"/>
          <w:kern w:val="2"/>
          <w:sz w:val="24"/>
          <w:szCs w:val="24"/>
          <w:lang w:val="en-US" w:eastAsia="zh-CN" w:bidi="ar-SA"/>
        </w:rPr>
        <w:t>。</w:t>
      </w:r>
    </w:p>
    <w:p w14:paraId="35017A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130289A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79E77F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w:t>
      </w:r>
    </w:p>
    <w:p w14:paraId="2A688CC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可在不同子宫区域实现深浅可控的精准消融，有效切除病变组织，治疗异常子宫出血。</w:t>
      </w:r>
    </w:p>
    <w:p w14:paraId="7745326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0A53A53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无需消毒，一次性使用，避免交叉感染。</w:t>
      </w:r>
    </w:p>
    <w:p w14:paraId="0C6C573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双极网状电极设计，展开宽度2.5-5.5mm，展开长度4.0-6.5mm。</w:t>
      </w:r>
    </w:p>
    <w:p w14:paraId="10EFB7E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3D网状电极确保宫角和子宫下段切除的较浅，在宫底和宫体切除较深，且不受子宫内膜厚度影响</w:t>
      </w:r>
      <w:r>
        <w:rPr>
          <w:rFonts w:hint="default" w:ascii="Times New Roman" w:hAnsi="Times New Roman" w:eastAsia="宋体" w:cs="Times New Roman"/>
          <w:i w:val="0"/>
          <w:kern w:val="2"/>
          <w:sz w:val="24"/>
          <w:szCs w:val="24"/>
          <w:lang w:val="en-US" w:eastAsia="zh-CN" w:bidi="ar-SA"/>
        </w:rPr>
        <w:t>。</w:t>
      </w:r>
    </w:p>
    <w:p w14:paraId="53BC9E3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3A19B832">
      <w:pPr>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2072"/>
      <w:bookmarkStart w:id="68" w:name="_Toc24122"/>
      <w:bookmarkStart w:id="69" w:name="_Toc15650"/>
      <w:bookmarkStart w:id="70" w:name="_Toc1768"/>
      <w:bookmarkStart w:id="71" w:name="_Toc76373878"/>
      <w:bookmarkStart w:id="72" w:name="_Toc17944"/>
      <w:bookmarkStart w:id="73" w:name="_Toc4791"/>
      <w:bookmarkStart w:id="74" w:name="_Toc7794"/>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5959"/>
      <w:bookmarkStart w:id="79" w:name="_Toc30551"/>
      <w:bookmarkStart w:id="80" w:name="_Toc22561"/>
      <w:bookmarkStart w:id="81" w:name="_Toc29836"/>
      <w:bookmarkStart w:id="82" w:name="_Toc9339"/>
      <w:bookmarkStart w:id="83" w:name="_Toc7637387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12384"/>
      <w:bookmarkStart w:id="89" w:name="_Toc76373885"/>
      <w:bookmarkStart w:id="90" w:name="_Toc27737"/>
      <w:bookmarkStart w:id="91" w:name="_Toc27893"/>
      <w:bookmarkStart w:id="92" w:name="_Toc20772"/>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2712"/>
      <w:bookmarkStart w:id="96" w:name="_Toc23699"/>
      <w:bookmarkStart w:id="97" w:name="_Toc11052"/>
      <w:bookmarkStart w:id="98" w:name="_Toc28189"/>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76373887"/>
      <w:bookmarkStart w:id="103" w:name="_Toc31293"/>
      <w:bookmarkStart w:id="104" w:name="_Toc13585"/>
      <w:bookmarkStart w:id="105" w:name="_Toc19809"/>
      <w:bookmarkStart w:id="106" w:name="_Toc26754"/>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2900"/>
      <w:bookmarkStart w:id="109" w:name="_Toc76373889"/>
      <w:bookmarkStart w:id="110" w:name="_Toc5251"/>
      <w:bookmarkStart w:id="111" w:name="_Toc8546"/>
      <w:bookmarkStart w:id="112" w:name="_Toc16925"/>
      <w:bookmarkStart w:id="113" w:name="_Toc30068"/>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11654"/>
      <w:bookmarkStart w:id="118" w:name="_Toc11342"/>
      <w:bookmarkStart w:id="119" w:name="_Toc20034"/>
      <w:bookmarkStart w:id="120" w:name="_Toc26071"/>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10864"/>
      <w:bookmarkStart w:id="125" w:name="_Toc76373891"/>
      <w:bookmarkStart w:id="126" w:name="_Toc20391"/>
      <w:bookmarkStart w:id="127" w:name="_Toc25199"/>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19409"/>
      <w:bookmarkStart w:id="137" w:name="_Toc24088"/>
      <w:bookmarkStart w:id="138" w:name="_Toc2975"/>
      <w:bookmarkStart w:id="139" w:name="_Toc76373904"/>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16112"/>
      <w:bookmarkStart w:id="143" w:name="_Toc12863"/>
      <w:bookmarkStart w:id="144" w:name="_Toc11763"/>
      <w:bookmarkStart w:id="145" w:name="_Toc25920"/>
      <w:bookmarkStart w:id="146" w:name="_Toc7750"/>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7306"/>
      <w:bookmarkStart w:id="170" w:name="_Toc9795"/>
      <w:bookmarkStart w:id="171" w:name="_Toc493178790"/>
      <w:bookmarkStart w:id="172" w:name="_Toc21830"/>
      <w:bookmarkStart w:id="173" w:name="_Toc21431"/>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76373910"/>
      <w:bookmarkStart w:id="179" w:name="_Toc16487"/>
      <w:bookmarkStart w:id="180" w:name="_Toc12647"/>
      <w:bookmarkStart w:id="181" w:name="_Toc20875"/>
      <w:bookmarkStart w:id="182" w:name="_Toc411"/>
      <w:bookmarkStart w:id="183" w:name="_Toc492721039"/>
      <w:bookmarkStart w:id="184" w:name="_Toc20258"/>
      <w:bookmarkStart w:id="185"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19291"/>
      <w:bookmarkStart w:id="189" w:name="_Toc76373912"/>
      <w:bookmarkStart w:id="190" w:name="_Toc8925"/>
      <w:bookmarkStart w:id="191" w:name="_Toc492721038"/>
      <w:bookmarkStart w:id="192" w:name="_Toc4250"/>
      <w:bookmarkStart w:id="193" w:name="_Toc6217"/>
      <w:bookmarkStart w:id="194" w:name="_Toc493178793"/>
      <w:bookmarkStart w:id="195" w:name="_Toc1615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0AA947-6E3A-4BBD-B43A-7B39F398097D}"/>
  </w:font>
  <w:font w:name="黑体">
    <w:panose1 w:val="02010609060101010101"/>
    <w:charset w:val="86"/>
    <w:family w:val="auto"/>
    <w:pitch w:val="default"/>
    <w:sig w:usb0="800002BF" w:usb1="38CF7CFA" w:usb2="00000016" w:usb3="00000000" w:csb0="00040001" w:csb1="00000000"/>
    <w:embedRegular r:id="rId2" w:fontKey="{8731B648-D4B8-4647-AD10-4AD2F815A6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61A77E4-1D64-4286-97C2-C3294A7DC64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C3BCDEF-2DCF-43CC-B400-8CEFCF91E37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BA6CA83-FABB-440E-83AD-877EA4A61C06}"/>
  </w:font>
  <w:font w:name="方正黑体_GBK">
    <w:panose1 w:val="03000509000000000000"/>
    <w:charset w:val="86"/>
    <w:family w:val="script"/>
    <w:pitch w:val="default"/>
    <w:sig w:usb0="00000001" w:usb1="080E0000" w:usb2="00000000" w:usb3="00000000" w:csb0="00040000" w:csb1="00000000"/>
    <w:embedRegular r:id="rId6" w:fontKey="{DFB15368-B170-427A-AAFF-730CB1205C9B}"/>
  </w:font>
  <w:font w:name="方正小标宋_GBK">
    <w:panose1 w:val="03000509000000000000"/>
    <w:charset w:val="86"/>
    <w:family w:val="script"/>
    <w:pitch w:val="default"/>
    <w:sig w:usb0="00000001" w:usb1="080E0000" w:usb2="00000000" w:usb3="00000000" w:csb0="00040000" w:csb1="00000000"/>
    <w:embedRegular r:id="rId7" w:fontKey="{C37D73DE-2DD2-43AC-9479-A240CA1E1996}"/>
  </w:font>
  <w:font w:name="微软雅黑">
    <w:panose1 w:val="020B0503020204020204"/>
    <w:charset w:val="86"/>
    <w:family w:val="swiss"/>
    <w:pitch w:val="default"/>
    <w:sig w:usb0="80000287" w:usb1="2ACF3C50" w:usb2="00000016" w:usb3="00000000" w:csb0="0004001F" w:csb1="00000000"/>
    <w:embedRegular r:id="rId8" w:fontKey="{3F71FB66-F694-4ADA-94B8-EC26B071C222}"/>
  </w:font>
  <w:font w:name="仿宋">
    <w:panose1 w:val="02010609060101010101"/>
    <w:charset w:val="86"/>
    <w:family w:val="modern"/>
    <w:pitch w:val="default"/>
    <w:sig w:usb0="800002BF" w:usb1="38CF7CFA" w:usb2="00000016" w:usb3="00000000" w:csb0="00040001" w:csb1="00000000"/>
    <w:embedRegular r:id="rId9" w:fontKey="{0D03EA67-9B95-48B4-A993-275E550B7D52}"/>
  </w:font>
  <w:font w:name="楷体">
    <w:panose1 w:val="02010609060101010101"/>
    <w:charset w:val="86"/>
    <w:family w:val="modern"/>
    <w:pitch w:val="default"/>
    <w:sig w:usb0="800002BF" w:usb1="38CF7CFA" w:usb2="00000016" w:usb3="00000000" w:csb0="00040001" w:csb1="00000000"/>
    <w:embedRegular r:id="rId10" w:fontKey="{9C8B455C-9247-4CD5-9A76-5185B01AEEC7}"/>
  </w:font>
  <w:font w:name="WPSEMBED39">
    <w:panose1 w:val="03000509000000000000"/>
    <w:charset w:val="86"/>
    <w:family w:val="auto"/>
    <w:pitch w:val="default"/>
    <w:sig w:usb0="00000001" w:usb1="080E0000" w:usb2="00000000" w:usb3="00000000" w:csb0="00040000" w:csb1="00000000"/>
  </w:font>
  <w:font w:name="WPSEMBED4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5E6920"/>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980042"/>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5347</Words>
  <Characters>5505</Characters>
  <Lines>101</Lines>
  <Paragraphs>28</Paragraphs>
  <TotalTime>0</TotalTime>
  <ScaleCrop>false</ScaleCrop>
  <LinksUpToDate>false</LinksUpToDate>
  <CharactersWithSpaces>5605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2025-11-21T07:28:19Z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