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76373863"/>
      <w:bookmarkStart w:id="3" w:name="_Toc10059"/>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5909"/>
      <w:bookmarkStart w:id="9" w:name="_Toc76373864"/>
      <w:bookmarkStart w:id="10" w:name="_Toc22435"/>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可控TIPS覆膜支架系统</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一次性使用胰胆成像导管</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一次性使用内镜下取石网篮</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一次性无菌胰胆组织取样钳</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129"/>
            <w:bookmarkStart w:id="16" w:name="_Toc5838"/>
            <w:bookmarkStart w:id="17" w:name="_Toc22707"/>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可控TIPS覆膜支架系统</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restart"/>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肝胆外科</w:t>
            </w:r>
          </w:p>
        </w:tc>
      </w:tr>
      <w:tr w14:paraId="040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26752B8">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971D415">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一次性使用胰胆成像导管</w:t>
            </w:r>
          </w:p>
        </w:tc>
        <w:tc>
          <w:tcPr>
            <w:tcW w:w="1327" w:type="dxa"/>
            <w:noWrap w:val="0"/>
            <w:vAlign w:val="center"/>
          </w:tcPr>
          <w:p w14:paraId="45BAF69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7013D7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653A3FF">
            <w:pPr>
              <w:widowControl/>
              <w:spacing w:line="400" w:lineRule="exact"/>
              <w:jc w:val="center"/>
              <w:rPr>
                <w:rFonts w:hint="eastAsia" w:ascii="Times New Roman" w:hAnsi="Times New Roman" w:cs="Times New Roman"/>
                <w:color w:val="000000"/>
                <w:sz w:val="24"/>
                <w:szCs w:val="24"/>
                <w:lang w:val="en-US" w:eastAsia="zh-CN"/>
              </w:rPr>
            </w:pPr>
          </w:p>
        </w:tc>
      </w:tr>
      <w:tr w14:paraId="62F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A8DB097">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F97E3D7">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一次性使用内镜下取石网篮</w:t>
            </w:r>
          </w:p>
        </w:tc>
        <w:tc>
          <w:tcPr>
            <w:tcW w:w="1327" w:type="dxa"/>
            <w:noWrap w:val="0"/>
            <w:vAlign w:val="center"/>
          </w:tcPr>
          <w:p w14:paraId="401F75E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A6612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2549ADA">
            <w:pPr>
              <w:widowControl/>
              <w:spacing w:line="400" w:lineRule="exact"/>
              <w:jc w:val="center"/>
              <w:rPr>
                <w:rFonts w:hint="eastAsia" w:ascii="Times New Roman" w:hAnsi="Times New Roman" w:cs="Times New Roman"/>
                <w:color w:val="000000"/>
                <w:sz w:val="24"/>
                <w:szCs w:val="24"/>
                <w:lang w:val="en-US" w:eastAsia="zh-CN"/>
              </w:rPr>
            </w:pPr>
          </w:p>
        </w:tc>
      </w:tr>
      <w:tr w14:paraId="0B3D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1868AEA6">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0FE984B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一次性无菌胰胆组织取样钳</w:t>
            </w:r>
          </w:p>
        </w:tc>
        <w:tc>
          <w:tcPr>
            <w:tcW w:w="1327" w:type="dxa"/>
            <w:noWrap w:val="0"/>
            <w:vAlign w:val="center"/>
          </w:tcPr>
          <w:p w14:paraId="001D5EDD">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5F156E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6FD92777">
            <w:pPr>
              <w:widowControl/>
              <w:spacing w:line="400" w:lineRule="exact"/>
              <w:jc w:val="center"/>
              <w:rPr>
                <w:rFonts w:hint="eastAsia" w:ascii="Times New Roman" w:hAnsi="Times New Roman" w:cs="Times New Roman"/>
                <w:color w:val="000000"/>
                <w:sz w:val="24"/>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10137"/>
      <w:bookmarkStart w:id="21" w:name="_Toc30358"/>
      <w:bookmarkStart w:id="22" w:name="_Toc3434"/>
      <w:bookmarkStart w:id="23" w:name="_Toc25496"/>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280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肝胆外科包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肝胆外科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肝胆外科包X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肝胆外科包X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76373872"/>
      <w:bookmarkStart w:id="45" w:name="_Toc25272"/>
      <w:bookmarkStart w:id="46" w:name="_Toc9714"/>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3153"/>
      <w:bookmarkStart w:id="53" w:name="_Toc76373874"/>
      <w:bookmarkStart w:id="54" w:name="_Toc2599"/>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6355"/>
      <w:bookmarkStart w:id="60" w:name="_Toc29225"/>
      <w:bookmarkStart w:id="61" w:name="_Toc3046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DF46BE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1.用途:可控直径TIPS覆膜支架系统用于在肝静脉与门静脉之间的肝实质内建立人工分流通道，从而降低门静脉压力，减少或改善门静脉高血压及其并发症，如静脉曲张出血、胃病、顽固性腹水和/或肝性胸水。</w:t>
      </w:r>
    </w:p>
    <w:p w14:paraId="3ABFCCD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r>
        <w:rPr>
          <w:rFonts w:hint="eastAsia" w:cs="Times New Roman"/>
          <w:sz w:val="24"/>
          <w:szCs w:val="24"/>
          <w:lang w:val="en-US" w:eastAsia="zh-CN"/>
        </w:rPr>
        <w:t>：</w:t>
      </w:r>
      <w:r>
        <w:rPr>
          <w:rFonts w:hint="eastAsia" w:ascii="Times New Roman" w:eastAsia="宋体" w:cs="Times New Roman"/>
          <w:sz w:val="24"/>
          <w:szCs w:val="24"/>
          <w:lang w:val="en-US" w:eastAsia="zh-CN"/>
        </w:rPr>
        <w:t>覆膜一共有四层：</w:t>
      </w:r>
    </w:p>
    <w:p w14:paraId="008C5E9D">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最内层ePTFE人工血管膜，维持更好的血流通畅</w:t>
      </w:r>
      <w:r>
        <w:rPr>
          <w:rFonts w:hint="eastAsia" w:cs="Times New Roman"/>
          <w:sz w:val="24"/>
          <w:szCs w:val="24"/>
          <w:lang w:val="en-US" w:eastAsia="zh-CN"/>
        </w:rPr>
        <w:t>；</w:t>
      </w:r>
    </w:p>
    <w:p w14:paraId="55F65843">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第二层抗胆汁膜，最小化减少肝脏内胆汁渗透入血管</w:t>
      </w:r>
      <w:r>
        <w:rPr>
          <w:rFonts w:hint="eastAsia" w:cs="Times New Roman"/>
          <w:sz w:val="24"/>
          <w:szCs w:val="24"/>
          <w:lang w:val="en-US" w:eastAsia="zh-CN"/>
        </w:rPr>
        <w:t>；</w:t>
      </w:r>
    </w:p>
    <w:p w14:paraId="5B9A6D3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第三层防黏连膜，最小化组织长入，方便肝移植时轻松取出支架最小化损伤自体血管</w:t>
      </w:r>
    </w:p>
    <w:p w14:paraId="50B5346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可控扩张套管膜，使支架可维持8mm—10mm之间任一恒定直径。</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3.组成与成分</w:t>
      </w:r>
      <w:r>
        <w:rPr>
          <w:rFonts w:hint="eastAsia" w:cs="Times New Roman"/>
          <w:sz w:val="24"/>
          <w:szCs w:val="24"/>
          <w:lang w:val="en-US" w:eastAsia="zh-CN"/>
        </w:rPr>
        <w:t>：</w:t>
      </w:r>
      <w:r>
        <w:rPr>
          <w:rFonts w:hint="eastAsia" w:ascii="Times New Roman" w:eastAsia="宋体" w:cs="Times New Roman"/>
          <w:sz w:val="24"/>
          <w:szCs w:val="24"/>
          <w:lang w:val="en-US" w:eastAsia="zh-CN"/>
        </w:rPr>
        <w:t>包括镍钛合金覆膜支架和输送系统。覆膜支架由一个自膨式镍钛支架组成，支架支撑着一个膨体聚四氟乙烯(ePTFE)覆膜和可控扩张套管。覆膜支架分为两个功能区</w:t>
      </w:r>
      <w:r>
        <w:rPr>
          <w:rFonts w:hint="eastAsia" w:cs="Times New Roman"/>
          <w:sz w:val="24"/>
          <w:szCs w:val="24"/>
          <w:lang w:val="en-US" w:eastAsia="zh-CN"/>
        </w:rPr>
        <w:t>：</w:t>
      </w:r>
      <w:r>
        <w:rPr>
          <w:rFonts w:hint="eastAsia" w:ascii="Times New Roman" w:eastAsia="宋体" w:cs="Times New Roman"/>
          <w:sz w:val="24"/>
          <w:szCs w:val="24"/>
          <w:lang w:val="en-US" w:eastAsia="zh-CN"/>
        </w:rPr>
        <w:t>肝内覆膜区和门脉裸区。由一个环状不透射线金标记带划分覆膜区和裸区。还有另一个不透射线金标记位于覆膜支架的尾端。输送系统与直径小于等0.038英寸(0.97毫米)的导丝相容。</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5A57450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0C414E3D">
      <w:pPr>
        <w:numPr>
          <w:ilvl w:val="0"/>
          <w:numId w:val="1"/>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功能需求：产品与成像控制器连接专用，专为胰胆，阑尾腔的内镜手术过程的诊疗应用提供显像，并为其他诊疗附件提供工作通道。</w:t>
      </w:r>
    </w:p>
    <w:p w14:paraId="3D936F3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64B3854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（1）一次性胰胆成像导管配置外径9Fr(3mm),工作通道直径≥1.0mm；外径11Fr（3.7mm),工作通道直径≥1.8mm的成像导管；</w:t>
      </w:r>
    </w:p>
    <w:p w14:paraId="206CB19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（2）成像导管可实现同时注水和负压吸引功能；</w:t>
      </w:r>
    </w:p>
    <w:p w14:paraId="02A4ECC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（3）视向角：0°（直视），视场角120°；</w:t>
      </w:r>
    </w:p>
    <w:p w14:paraId="5CC35CD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（4）对进液的防护程度：前端摄像头IPX7，其他IPX0；</w:t>
      </w:r>
    </w:p>
    <w:p w14:paraId="1D448B0E">
      <w:pPr>
        <w:numPr>
          <w:ilvl w:val="0"/>
          <w:numId w:val="2"/>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前端可调节方向 4向，方向调节轮2个，转向锁结构为拨杆式，可方便单手操作；</w:t>
      </w:r>
    </w:p>
    <w:p w14:paraId="787B46C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（6）可提供多种成像导管，满足临床多种手术方式</w:t>
      </w:r>
      <w:r>
        <w:rPr>
          <w:rFonts w:hint="eastAsia" w:ascii="Times New Roman" w:hAnsi="Times New Roman" w:eastAsia="宋体" w:cs="Times New Roman"/>
          <w:sz w:val="24"/>
          <w:szCs w:val="24"/>
          <w:lang w:val="en-US" w:eastAsia="zh-CN"/>
        </w:rPr>
        <w:t>。</w:t>
      </w:r>
    </w:p>
    <w:p w14:paraId="2CDB5C44">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72F972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7230F26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1、技术参数</w:t>
      </w:r>
      <w:r>
        <w:rPr>
          <w:rFonts w:hint="eastAsia" w:cs="Times New Roman"/>
          <w:sz w:val="24"/>
          <w:szCs w:val="24"/>
          <w:lang w:val="en-US" w:eastAsia="zh-CN"/>
        </w:rPr>
        <w:t>：</w:t>
      </w:r>
    </w:p>
    <w:p w14:paraId="6A862A0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（1）工作长度2900mm；</w:t>
      </w:r>
    </w:p>
    <w:p w14:paraId="3B98F67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（2）插入部直径1.2mm；</w:t>
      </w:r>
    </w:p>
    <w:p w14:paraId="36487E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（3）网篮开幅10-20mm,网篮长度30-50mm；</w:t>
      </w:r>
    </w:p>
    <w:p w14:paraId="6D00657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（4）网篮前端外管为斑马涂层，方便镜下观察器械运动轨迹。</w:t>
      </w:r>
    </w:p>
    <w:p w14:paraId="5F4BA85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（5）多种网篮规格，可供临床不同部位使用。</w:t>
      </w:r>
    </w:p>
    <w:p w14:paraId="1B295EB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（6）网篮形状为螺旋型，镍钛合金材料，塑型性优良不易变形。</w:t>
      </w:r>
    </w:p>
    <w:p w14:paraId="0C2094C4">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2、组成：由手柄组件，钢丝，外管组件和镍钛合金篮体组件组成，按手柄类型，取石网篮结构型式，网篮开幅等不同分为多个规格</w:t>
      </w:r>
      <w:r>
        <w:rPr>
          <w:rFonts w:hint="eastAsia" w:ascii="Times New Roman" w:hAnsi="Times New Roman" w:eastAsia="宋体" w:cs="Times New Roman"/>
          <w:sz w:val="24"/>
          <w:szCs w:val="24"/>
          <w:lang w:val="en-US" w:eastAsia="zh-CN"/>
        </w:rPr>
        <w:t>。</w:t>
      </w:r>
    </w:p>
    <w:p w14:paraId="3534285A">
      <w:pPr>
        <w:pStyle w:val="2"/>
        <w:rPr>
          <w:rFonts w:hint="default"/>
          <w:lang w:val="en-US" w:eastAsia="zh-CN"/>
        </w:rPr>
      </w:pPr>
    </w:p>
    <w:p w14:paraId="04EAEE2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6732E24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1、功能需求：适用于胰胆系统中的组织采集。</w:t>
      </w:r>
    </w:p>
    <w:p w14:paraId="0ADD572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1557166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（1）工作长度2900mm；</w:t>
      </w:r>
    </w:p>
    <w:p w14:paraId="69A3CC1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（2）取样钳闭合直径1.0mm-1.6mm；</w:t>
      </w:r>
    </w:p>
    <w:p w14:paraId="0DB0C2E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（3）取样钳开口宽度3.0mm-4.5mm；</w:t>
      </w:r>
    </w:p>
    <w:p w14:paraId="22B098B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（4）外表涂有特殊材质的超滑涂层，有效保护内窥镜钳道；</w:t>
      </w:r>
    </w:p>
    <w:p w14:paraId="633CBD0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（5）鳄齿，精准活检，抓取量大。</w:t>
      </w:r>
    </w:p>
    <w:p w14:paraId="7663AB0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（6）产品以无菌状态提供，环氧乙烷灭菌。一次性使用。</w:t>
      </w:r>
    </w:p>
    <w:p w14:paraId="791474A1">
      <w:pPr>
        <w:spacing w:line="320" w:lineRule="exact"/>
        <w:ind w:left="478" w:leftChars="85" w:hanging="240" w:hangingChars="100"/>
        <w:rPr>
          <w:rFonts w:hint="default"/>
          <w:color w:val="auto"/>
          <w:lang w:val="en-US" w:eastAsia="zh-CN"/>
        </w:rPr>
      </w:pPr>
      <w:r>
        <w:rPr>
          <w:rFonts w:hint="eastAsia" w:ascii="Times New Roman" w:eastAsia="宋体" w:cs="Times New Roman"/>
          <w:sz w:val="24"/>
          <w:szCs w:val="24"/>
          <w:lang w:val="en-US" w:eastAsia="zh-CN"/>
        </w:rPr>
        <w:t>3、组成：由钳头部件、带涂层弹簧管、滑块和手柄组成</w:t>
      </w:r>
      <w:r>
        <w:rPr>
          <w:rFonts w:hint="eastAsia" w:ascii="Times New Roman" w:hAnsi="Times New Roman" w:eastAsia="宋体" w:cs="Times New Roman"/>
          <w:sz w:val="24"/>
          <w:szCs w:val="24"/>
          <w:lang w:val="en-US" w:eastAsia="zh-CN"/>
        </w:rPr>
        <w:t>。</w:t>
      </w:r>
    </w:p>
    <w:p w14:paraId="793DC204">
      <w:pPr>
        <w:pStyle w:val="3"/>
        <w:ind w:left="0" w:leftChars="0" w:firstLine="0" w:firstLineChars="0"/>
        <w:jc w:val="both"/>
        <w:rPr>
          <w:rFonts w:hint="default"/>
          <w:lang w:val="en-US" w:eastAsia="zh-CN"/>
        </w:rPr>
      </w:pP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7944"/>
      <w:bookmarkStart w:id="68" w:name="_Toc31843"/>
      <w:bookmarkStart w:id="69" w:name="_Toc76373878"/>
      <w:bookmarkStart w:id="70" w:name="_Toc15650"/>
      <w:bookmarkStart w:id="71" w:name="_Toc2072"/>
      <w:bookmarkStart w:id="72" w:name="_Toc1768"/>
      <w:bookmarkStart w:id="73" w:name="_Toc7794"/>
      <w:bookmarkStart w:id="74" w:name="_Toc24122"/>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9339"/>
      <w:bookmarkStart w:id="79" w:name="_Toc29836"/>
      <w:bookmarkStart w:id="80" w:name="_Toc30551"/>
      <w:bookmarkStart w:id="81" w:name="_Toc5959"/>
      <w:bookmarkStart w:id="82" w:name="_Toc76373879"/>
      <w:bookmarkStart w:id="83" w:name="_Toc14311"/>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27893"/>
      <w:bookmarkStart w:id="89" w:name="_Toc27737"/>
      <w:bookmarkStart w:id="90" w:name="_Toc12384"/>
      <w:bookmarkStart w:id="91" w:name="_Toc20772"/>
      <w:bookmarkStart w:id="92" w:name="_Toc76373885"/>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7115"/>
      <w:bookmarkStart w:id="96" w:name="_Toc23699"/>
      <w:bookmarkStart w:id="97" w:name="_Toc12712"/>
      <w:bookmarkStart w:id="98" w:name="_Toc76373886"/>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8546"/>
      <w:bookmarkStart w:id="102" w:name="_Toc30068"/>
      <w:bookmarkStart w:id="103" w:name="_Toc2900"/>
      <w:bookmarkStart w:id="104" w:name="_Toc76373889"/>
      <w:bookmarkStart w:id="105" w:name="_Toc5251"/>
      <w:bookmarkStart w:id="106" w:name="_Toc16925"/>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0034"/>
      <w:bookmarkStart w:id="111" w:name="_Toc27443"/>
      <w:bookmarkStart w:id="112" w:name="_Toc11654"/>
      <w:bookmarkStart w:id="113" w:name="_Toc76373890"/>
      <w:bookmarkStart w:id="114" w:name="_Toc26071"/>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5199"/>
      <w:bookmarkStart w:id="117" w:name="_Toc20391"/>
      <w:bookmarkStart w:id="118" w:name="_Toc76373891"/>
      <w:bookmarkStart w:id="119" w:name="_Toc27646"/>
      <w:bookmarkStart w:id="120" w:name="_Toc10864"/>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975"/>
      <w:bookmarkStart w:id="129" w:name="_Toc10152"/>
      <w:bookmarkStart w:id="130" w:name="_Toc20762"/>
      <w:bookmarkStart w:id="131" w:name="_Toc19409"/>
      <w:bookmarkStart w:id="132" w:name="_Toc24088"/>
      <w:bookmarkStart w:id="133" w:name="_Toc76373904"/>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6112"/>
      <w:bookmarkStart w:id="135" w:name="_Toc11763"/>
      <w:bookmarkStart w:id="136" w:name="_Toc76373907"/>
      <w:bookmarkStart w:id="137" w:name="_Toc12863"/>
      <w:bookmarkStart w:id="138" w:name="_Toc7750"/>
      <w:bookmarkStart w:id="139" w:name="_Toc25920"/>
      <w:bookmarkStart w:id="140" w:name="_Toc1189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3"/>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3"/>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3"/>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7306"/>
      <w:bookmarkStart w:id="163" w:name="_Toc21431"/>
      <w:bookmarkStart w:id="164" w:name="_Toc9795"/>
      <w:bookmarkStart w:id="165" w:name="_Toc493178790"/>
      <w:bookmarkStart w:id="166" w:name="_Toc76373909"/>
      <w:bookmarkStart w:id="167" w:name="_Toc21830"/>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76373910"/>
      <w:bookmarkStart w:id="172" w:name="_Toc493178791"/>
      <w:bookmarkStart w:id="173" w:name="_Toc16487"/>
      <w:bookmarkStart w:id="174" w:name="_Toc20875"/>
      <w:bookmarkStart w:id="175" w:name="_Toc492721039"/>
      <w:bookmarkStart w:id="176" w:name="_Toc20258"/>
      <w:bookmarkStart w:id="177" w:name="_Toc12647"/>
      <w:bookmarkStart w:id="178"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9291"/>
      <w:bookmarkStart w:id="181" w:name="_Toc20605"/>
      <w:bookmarkStart w:id="182" w:name="_Toc4250"/>
      <w:bookmarkStart w:id="183" w:name="_Toc76373912"/>
      <w:bookmarkStart w:id="184" w:name="_Toc493178793"/>
      <w:bookmarkStart w:id="185" w:name="_Toc492721038"/>
      <w:bookmarkStart w:id="186" w:name="_Toc8925"/>
      <w:bookmarkStart w:id="187" w:name="_Toc16151"/>
      <w:bookmarkStart w:id="188" w:name="_Toc6217"/>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D61D5F-17B2-4EB8-9BAB-6CB2D3592EAC}"/>
  </w:font>
  <w:font w:name="黑体">
    <w:panose1 w:val="02010609060101010101"/>
    <w:charset w:val="86"/>
    <w:family w:val="auto"/>
    <w:pitch w:val="default"/>
    <w:sig w:usb0="800002BF" w:usb1="38CF7CFA" w:usb2="00000016" w:usb3="00000000" w:csb0="00040001" w:csb1="00000000"/>
    <w:embedRegular r:id="rId2" w:fontKey="{2FEA4412-2434-4789-B711-E919D83C07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2E2AEC4-0821-4356-8B5B-FCCDB78C33D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723F6FB-25D9-4727-A9FC-3A5C4B7823B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8A8A7BD8-6DC9-4EED-94C0-73C6115D6018}"/>
  </w:font>
  <w:font w:name="方正黑体_GBK">
    <w:panose1 w:val="03000509000000000000"/>
    <w:charset w:val="86"/>
    <w:family w:val="script"/>
    <w:pitch w:val="default"/>
    <w:sig w:usb0="00000001" w:usb1="080E0000" w:usb2="00000000" w:usb3="00000000" w:csb0="00040000" w:csb1="00000000"/>
    <w:embedRegular r:id="rId6" w:fontKey="{03ACE7CC-DE53-4F91-A8F1-237027211BC9}"/>
  </w:font>
  <w:font w:name="方正小标宋_GBK">
    <w:panose1 w:val="03000509000000000000"/>
    <w:charset w:val="86"/>
    <w:family w:val="script"/>
    <w:pitch w:val="default"/>
    <w:sig w:usb0="00000001" w:usb1="080E0000" w:usb2="00000000" w:usb3="00000000" w:csb0="00040000" w:csb1="00000000"/>
    <w:embedRegular r:id="rId7" w:fontKey="{2A773C12-4202-4CD1-B7A9-7F82E7C15EAA}"/>
  </w:font>
  <w:font w:name="微软雅黑">
    <w:panose1 w:val="020B0503020204020204"/>
    <w:charset w:val="86"/>
    <w:family w:val="swiss"/>
    <w:pitch w:val="default"/>
    <w:sig w:usb0="80000287" w:usb1="2ACF3C50" w:usb2="00000016" w:usb3="00000000" w:csb0="0004001F" w:csb1="00000000"/>
    <w:embedRegular r:id="rId8" w:fontKey="{43911450-F198-49E5-9F3B-608DF6C81BA8}"/>
  </w:font>
  <w:font w:name="仿宋">
    <w:panose1 w:val="02010609060101010101"/>
    <w:charset w:val="86"/>
    <w:family w:val="modern"/>
    <w:pitch w:val="default"/>
    <w:sig w:usb0="800002BF" w:usb1="38CF7CFA" w:usb2="00000016" w:usb3="00000000" w:csb0="00040001" w:csb1="00000000"/>
    <w:embedRegular r:id="rId9" w:fontKey="{BA0876EB-2E23-4609-BD3A-03589D2139BF}"/>
  </w:font>
  <w:font w:name="楷体">
    <w:panose1 w:val="02010609060101010101"/>
    <w:charset w:val="86"/>
    <w:family w:val="modern"/>
    <w:pitch w:val="default"/>
    <w:sig w:usb0="800002BF" w:usb1="38CF7CFA" w:usb2="00000016" w:usb3="00000000" w:csb0="00040001" w:csb1="00000000"/>
    <w:embedRegular r:id="rId10" w:fontKey="{97D635D7-167A-4794-A701-7123F8A4F170}"/>
  </w:font>
  <w:font w:name="WPSEMBED43">
    <w:panose1 w:val="03000509000000000000"/>
    <w:charset w:val="86"/>
    <w:family w:val="auto"/>
    <w:pitch w:val="default"/>
    <w:sig w:usb0="00000001" w:usb1="080E0000" w:usb2="00000000" w:usb3="00000000" w:csb0="00040000" w:csb1="00000000"/>
  </w:font>
  <w:font w:name="WPSEMBED4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abstractNum w:abstractNumId="1">
    <w:nsid w:val="01AC4420"/>
    <w:multiLevelType w:val="singleLevel"/>
    <w:tmpl w:val="01AC4420"/>
    <w:lvl w:ilvl="0" w:tentative="0">
      <w:start w:val="1"/>
      <w:numFmt w:val="decimal"/>
      <w:suff w:val="nothing"/>
      <w:lvlText w:val="%1、"/>
      <w:lvlJc w:val="left"/>
    </w:lvl>
  </w:abstractNum>
  <w:abstractNum w:abstractNumId="2">
    <w:nsid w:val="0CD21A25"/>
    <w:multiLevelType w:val="singleLevel"/>
    <w:tmpl w:val="0CD21A25"/>
    <w:lvl w:ilvl="0" w:tentative="0">
      <w:start w:val="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8E41B0"/>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2459</Words>
  <Characters>2522</Characters>
  <Lines>101</Lines>
  <Paragraphs>28</Paragraphs>
  <TotalTime>0</TotalTime>
  <ScaleCrop>false</ScaleCrop>
  <LinksUpToDate>false</LinksUpToDate>
  <CharactersWithSpaces>2611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2025-11-21T07:29:11Z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