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0059"/>
      <w:bookmarkStart w:id="2" w:name="_Toc1304"/>
      <w:bookmarkStart w:id="3" w:name="_Toc31066"/>
      <w:bookmarkStart w:id="4" w:name="_Toc76373863"/>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22435"/>
      <w:bookmarkStart w:id="10" w:name="_Toc15376"/>
      <w:bookmarkStart w:id="11" w:name="_Toc28264"/>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膜型血浆分离器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膜型血浆成份分离器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膜型血浆成份分离器</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一次性使用连接管</w:t>
      </w:r>
      <w:r>
        <w:rPr>
          <w:rFonts w:hint="eastAsia" w:cs="Times New Roman"/>
          <w:color w:val="000000"/>
          <w:sz w:val="24"/>
          <w:szCs w:val="24"/>
          <w:lang w:val="en-US" w:eastAsia="zh-CN"/>
        </w:rPr>
        <w:t>、</w:t>
      </w:r>
      <w:r>
        <w:rPr>
          <w:rFonts w:hint="eastAsia" w:ascii="Times New Roman" w:hAnsi="Times New Roman" w:cs="Times New Roman"/>
          <w:color w:val="000000"/>
          <w:sz w:val="24"/>
          <w:szCs w:val="24"/>
          <w:lang w:val="en-US" w:eastAsia="zh-CN"/>
        </w:rPr>
        <w:t>TIPS覆膜支架系统</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22129"/>
            <w:bookmarkStart w:id="16" w:name="_Toc5838"/>
            <w:bookmarkStart w:id="17" w:name="_Toc18060"/>
            <w:bookmarkStart w:id="18" w:name="_Toc76373865"/>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膜型血浆分离器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感染科</w:t>
            </w:r>
          </w:p>
        </w:tc>
      </w:tr>
      <w:tr w14:paraId="4011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E36A200">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6F47260F">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膜型血浆成份分离器</w:t>
            </w:r>
          </w:p>
        </w:tc>
        <w:tc>
          <w:tcPr>
            <w:tcW w:w="1327" w:type="dxa"/>
            <w:noWrap w:val="0"/>
            <w:vAlign w:val="center"/>
          </w:tcPr>
          <w:p w14:paraId="131F836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64E0AA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638E846E">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三</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膜型血浆成份分离器</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A39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E90BB03">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四</w:t>
            </w:r>
          </w:p>
        </w:tc>
        <w:tc>
          <w:tcPr>
            <w:tcW w:w="2456" w:type="dxa"/>
            <w:noWrap w:val="0"/>
            <w:vAlign w:val="center"/>
          </w:tcPr>
          <w:p w14:paraId="274B0EC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一次性使用连接管</w:t>
            </w:r>
          </w:p>
        </w:tc>
        <w:tc>
          <w:tcPr>
            <w:tcW w:w="1327" w:type="dxa"/>
            <w:noWrap w:val="0"/>
            <w:vAlign w:val="center"/>
          </w:tcPr>
          <w:p w14:paraId="12A9722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91E10F9">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4E2DD58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TIPS覆膜支架系统</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0CCAE0F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25496"/>
      <w:bookmarkStart w:id="21" w:name="_Toc30358"/>
      <w:bookmarkStart w:id="22" w:name="_Toc76373866"/>
      <w:bookmarkStart w:id="23" w:name="_Toc10137"/>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感染科包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感染科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感染科包X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感染科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25272"/>
      <w:bookmarkStart w:id="44" w:name="_Toc4033"/>
      <w:bookmarkStart w:id="45" w:name="_Toc9714"/>
      <w:bookmarkStart w:id="46" w:name="_Toc76373872"/>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13391"/>
      <w:bookmarkStart w:id="53" w:name="_Toc2599"/>
      <w:bookmarkStart w:id="54" w:name="_Toc11474"/>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6355"/>
      <w:bookmarkStart w:id="59" w:name="_Toc30465"/>
      <w:bookmarkStart w:id="60" w:name="_Toc29225"/>
      <w:bookmarkStart w:id="61" w:name="_Toc29620"/>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4D2EE1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1.功能需求：用于人工肝治疗时，将血浆无选择性的分离出来，进行毒素吸附或者血浆置换等人工肝治疗模式。</w:t>
      </w:r>
    </w:p>
    <w:p w14:paraId="3406544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2.技术参数：外壳尺寸为（290±10）*（40±10）mm，内径350±50μm，膜厚50±10μm，膜面积≥0.8㎡，内容积≥80ml，最大血流速度≥150ml/min，最高使用跨膜压可达8kPa。</w:t>
      </w:r>
    </w:p>
    <w:p w14:paraId="1394B40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3.组成：由容器、中空纤维、血液口、血液口用盖、血浆口用盖、O形环及粘合剂组成，其内中空纤维由乙烯-乙烯醇共聚物制成，容器内填充生理盐水</w:t>
      </w:r>
      <w:r>
        <w:rPr>
          <w:rFonts w:hint="default" w:ascii="Times New Roman" w:hAnsi="Times New Roman" w:eastAsia="宋体" w:cs="Times New Roman"/>
          <w:i w:val="0"/>
          <w:kern w:val="2"/>
          <w:sz w:val="24"/>
          <w:szCs w:val="24"/>
          <w:lang w:val="en-US" w:eastAsia="zh-CN" w:bidi="ar-SA"/>
        </w:rPr>
        <w:t>。</w:t>
      </w:r>
    </w:p>
    <w:p w14:paraId="2025977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0F77CC8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1.功能需求：用于人工肝治疗时，选择性的将血浆分离，保留血浆中分子量较大的凝血因子，生物活性成分及肝细胞生长因子等，进行选择性血浆吸附或选择性血浆置换等治疗模式。</w:t>
      </w:r>
    </w:p>
    <w:p w14:paraId="1E5D652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2..技术参数：外壳尺寸为（280±10）*（50±10）mm，内径175±50μm，膜厚40±10μm，膜面积≥2.0㎡。该成分分离器白蛋白筛选系数≥50%，总蛋白筛选系数≥45%。</w:t>
      </w:r>
    </w:p>
    <w:p w14:paraId="383B659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3.组成：由外壳、中空纤维、血液出入口、滤液侧盖子、血浆侧盖子、O形环及纤维固定材料组成，其内中空纤维由乙烯-乙烯醇共聚物制成，外壳由聚碳酸酯树脂制成容器内填充注射用水</w:t>
      </w:r>
      <w:r>
        <w:rPr>
          <w:rFonts w:hint="default" w:ascii="Times New Roman" w:hAnsi="Times New Roman" w:eastAsia="宋体" w:cs="Times New Roman"/>
          <w:i w:val="0"/>
          <w:kern w:val="2"/>
          <w:sz w:val="24"/>
          <w:szCs w:val="24"/>
          <w:lang w:val="en-US" w:eastAsia="zh-CN" w:bidi="ar-SA"/>
        </w:rPr>
        <w:t>。</w:t>
      </w:r>
    </w:p>
    <w:p w14:paraId="3D48875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138AC6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2249A6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1.功能需求：用于人工肝治疗时，使用孔径较小的血浆成分分离器进行血浆透析滤过治疗。</w:t>
      </w:r>
    </w:p>
    <w:p w14:paraId="32C53D0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2.技术参数：外壳尺寸为（280±10）*（50±10）mm，内径175±50μm，膜厚40±10μm，膜面积≥2.0㎡。该成分分离器白蛋白筛选系数≥20%，总蛋白筛选系数≥15%。</w:t>
      </w:r>
    </w:p>
    <w:p w14:paraId="258D4A1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3.组成：由外壳、中空纤维、血液出入口、滤液侧盖子、血浆侧盖子、O形环及纤维固定材料组成，其内中空纤维由乙烯-乙烯醇共聚物制成，外壳由聚碳酸酯树脂制成容器内填充注射用水</w:t>
      </w:r>
      <w:r>
        <w:rPr>
          <w:rFonts w:hint="default" w:ascii="Times New Roman" w:hAnsi="Times New Roman" w:eastAsia="宋体" w:cs="Times New Roman"/>
          <w:i w:val="0"/>
          <w:kern w:val="2"/>
          <w:sz w:val="24"/>
          <w:szCs w:val="24"/>
          <w:lang w:val="en-US" w:eastAsia="zh-CN" w:bidi="ar-SA"/>
        </w:rPr>
        <w:t>。</w:t>
      </w:r>
    </w:p>
    <w:p w14:paraId="0E95E609">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D887DE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045C710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1.功能需求：连接及延长静脉通道使用</w:t>
      </w:r>
    </w:p>
    <w:p w14:paraId="0434FB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w:t>
      </w:r>
    </w:p>
    <w:p w14:paraId="371852A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1）尺寸</w:t>
      </w:r>
      <w:r>
        <w:rPr>
          <w:rFonts w:hint="eastAsia" w:cs="Times New Roman"/>
          <w:sz w:val="24"/>
          <w:szCs w:val="24"/>
          <w:lang w:val="en-US" w:eastAsia="zh-CN"/>
        </w:rPr>
        <w:t>：</w:t>
      </w:r>
      <w:r>
        <w:rPr>
          <w:rFonts w:hint="eastAsia" w:ascii="Times New Roman" w:eastAsia="宋体" w:cs="Times New Roman"/>
          <w:sz w:val="24"/>
          <w:szCs w:val="24"/>
          <w:lang w:val="en-US" w:eastAsia="zh-CN"/>
        </w:rPr>
        <w:t>管身内径包括但不限于1.4mm</w:t>
      </w:r>
      <w:r>
        <w:rPr>
          <w:rFonts w:hint="eastAsia" w:cs="Times New Roman"/>
          <w:sz w:val="24"/>
          <w:szCs w:val="24"/>
          <w:lang w:val="en-US" w:eastAsia="zh-CN"/>
        </w:rPr>
        <w:t>；</w:t>
      </w:r>
      <w:r>
        <w:rPr>
          <w:rFonts w:hint="eastAsia" w:ascii="Times New Roman" w:eastAsia="宋体" w:cs="Times New Roman"/>
          <w:sz w:val="24"/>
          <w:szCs w:val="24"/>
          <w:lang w:val="en-US" w:eastAsia="zh-CN"/>
        </w:rPr>
        <w:t>长度1500mm-2000mm</w:t>
      </w:r>
      <w:r>
        <w:rPr>
          <w:rFonts w:hint="eastAsia" w:cs="Times New Roman"/>
          <w:sz w:val="24"/>
          <w:szCs w:val="24"/>
          <w:lang w:val="en-US" w:eastAsia="zh-CN"/>
        </w:rPr>
        <w:t>；</w:t>
      </w:r>
    </w:p>
    <w:p w14:paraId="1D7CA47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2）连接管各粘接处应密封，通入50kpa气压并持续15s后应不漏气，管路不破损，能与市面上各种规格的常用输液器，注射器连接。</w:t>
      </w:r>
    </w:p>
    <w:p w14:paraId="3CB53F7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3.组成：材质</w:t>
      </w:r>
      <w:r>
        <w:rPr>
          <w:rFonts w:hint="eastAsia" w:cs="Times New Roman"/>
          <w:sz w:val="24"/>
          <w:szCs w:val="24"/>
          <w:lang w:val="en-US" w:eastAsia="zh-CN"/>
        </w:rPr>
        <w:t>：</w:t>
      </w:r>
      <w:r>
        <w:rPr>
          <w:rFonts w:hint="eastAsia" w:ascii="Times New Roman" w:eastAsia="宋体" w:cs="Times New Roman"/>
          <w:sz w:val="24"/>
          <w:szCs w:val="24"/>
          <w:lang w:val="en-US" w:eastAsia="zh-CN"/>
        </w:rPr>
        <w:t>PVC</w:t>
      </w:r>
      <w:r>
        <w:rPr>
          <w:rFonts w:hint="default" w:ascii="Times New Roman" w:hAnsi="Times New Roman" w:eastAsia="宋体" w:cs="Times New Roman"/>
          <w:i w:val="0"/>
          <w:kern w:val="2"/>
          <w:sz w:val="24"/>
          <w:szCs w:val="24"/>
          <w:lang w:val="en-US" w:eastAsia="zh-CN" w:bidi="ar-SA"/>
        </w:rPr>
        <w:t>。</w:t>
      </w:r>
    </w:p>
    <w:p w14:paraId="5484ACC9">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FE6C36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3785D2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1.功能需求：TIPS手术（经颈静脉肝内门体分流术）专用覆膜支架，可减轻门静脉压力；</w:t>
      </w:r>
    </w:p>
    <w:p w14:paraId="5663257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2.技术参数：支架内径：6mm/8mm/10mm或可控内径；支架需要包含覆膜区和裸区，覆膜区长度：4cm/5cm/6cm/7cm/8cm；裸区长度：2cm；</w:t>
      </w:r>
    </w:p>
    <w:p w14:paraId="01D9664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3.组成：耗材由TIPS支架及其释放系统组成</w:t>
      </w:r>
      <w:r>
        <w:rPr>
          <w:rFonts w:hint="default" w:ascii="Times New Roman" w:hAnsi="Times New Roman" w:eastAsia="宋体" w:cs="Times New Roman"/>
          <w:i w:val="0"/>
          <w:kern w:val="2"/>
          <w:sz w:val="24"/>
          <w:szCs w:val="24"/>
          <w:lang w:val="en-US" w:eastAsia="zh-CN" w:bidi="ar-SA"/>
        </w:rPr>
        <w:t>。</w:t>
      </w:r>
    </w:p>
    <w:p w14:paraId="2C26B80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445D7851">
      <w:pPr>
        <w:spacing w:line="320" w:lineRule="exact"/>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17524"/>
      <w:bookmarkStart w:id="68" w:name="_Toc31843"/>
      <w:bookmarkStart w:id="69" w:name="_Toc4791"/>
      <w:bookmarkStart w:id="70" w:name="_Toc1768"/>
      <w:bookmarkStart w:id="71" w:name="_Toc24122"/>
      <w:bookmarkStart w:id="72" w:name="_Toc2072"/>
      <w:bookmarkStart w:id="73" w:name="_Toc7794"/>
      <w:bookmarkStart w:id="74" w:name="_Toc76373878"/>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14311"/>
      <w:bookmarkStart w:id="79" w:name="_Toc29836"/>
      <w:bookmarkStart w:id="80" w:name="_Toc22561"/>
      <w:bookmarkStart w:id="81" w:name="_Toc5959"/>
      <w:bookmarkStart w:id="82" w:name="_Toc76373879"/>
      <w:bookmarkStart w:id="83" w:name="_Toc3055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76373885"/>
      <w:bookmarkStart w:id="89" w:name="_Toc20263"/>
      <w:bookmarkStart w:id="90" w:name="_Toc12384"/>
      <w:bookmarkStart w:id="91" w:name="_Toc27737"/>
      <w:bookmarkStart w:id="92" w:name="_Toc20772"/>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28189"/>
      <w:bookmarkStart w:id="96" w:name="_Toc7115"/>
      <w:bookmarkStart w:id="97" w:name="_Toc76373886"/>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31293"/>
      <w:bookmarkStart w:id="103" w:name="_Toc5535"/>
      <w:bookmarkStart w:id="104" w:name="_Toc9147"/>
      <w:bookmarkStart w:id="105" w:name="_Toc19809"/>
      <w:bookmarkStart w:id="106" w:name="_Toc76373887"/>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5251"/>
      <w:bookmarkStart w:id="109" w:name="_Toc16925"/>
      <w:bookmarkStart w:id="110" w:name="_Toc8546"/>
      <w:bookmarkStart w:id="111" w:name="_Toc30068"/>
      <w:bookmarkStart w:id="112" w:name="_Toc76373889"/>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26071"/>
      <w:bookmarkStart w:id="118" w:name="_Toc20034"/>
      <w:bookmarkStart w:id="119" w:name="_Toc11342"/>
      <w:bookmarkStart w:id="120" w:name="_Toc27443"/>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76373891"/>
      <w:bookmarkStart w:id="125" w:name="_Toc27646"/>
      <w:bookmarkStart w:id="126" w:name="_Toc25199"/>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0762"/>
      <w:bookmarkStart w:id="137" w:name="_Toc76373904"/>
      <w:bookmarkStart w:id="138" w:name="_Toc2975"/>
      <w:bookmarkStart w:id="139" w:name="_Toc10152"/>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1763"/>
      <w:bookmarkStart w:id="142" w:name="_Toc16112"/>
      <w:bookmarkStart w:id="143" w:name="_Toc25920"/>
      <w:bookmarkStart w:id="144" w:name="_Toc76373907"/>
      <w:bookmarkStart w:id="145" w:name="_Toc12863"/>
      <w:bookmarkStart w:id="146" w:name="_Toc11892"/>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3094"/>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21431"/>
      <w:bookmarkStart w:id="171" w:name="_Toc9795"/>
      <w:bookmarkStart w:id="172" w:name="_Toc493178790"/>
      <w:bookmarkStart w:id="173" w:name="_Toc27306"/>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20258"/>
      <w:bookmarkStart w:id="179" w:name="_Toc411"/>
      <w:bookmarkStart w:id="180" w:name="_Toc76373910"/>
      <w:bookmarkStart w:id="181" w:name="_Toc492721039"/>
      <w:bookmarkStart w:id="182" w:name="_Toc493178791"/>
      <w:bookmarkStart w:id="183" w:name="_Toc12647"/>
      <w:bookmarkStart w:id="184" w:name="_Toc20875"/>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492721038"/>
      <w:bookmarkStart w:id="189" w:name="_Toc16151"/>
      <w:bookmarkStart w:id="190" w:name="_Toc6217"/>
      <w:bookmarkStart w:id="191" w:name="_Toc493178793"/>
      <w:bookmarkStart w:id="192" w:name="_Toc76373912"/>
      <w:bookmarkStart w:id="193" w:name="_Toc4250"/>
      <w:bookmarkStart w:id="194" w:name="_Toc8925"/>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89096E9">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D63D40E-B072-41E3-832F-E33EE577F2FC}"/>
  </w:font>
  <w:font w:name="黑体">
    <w:panose1 w:val="02010609060101010101"/>
    <w:charset w:val="86"/>
    <w:family w:val="auto"/>
    <w:pitch w:val="default"/>
    <w:sig w:usb0="800002BF" w:usb1="38CF7CFA" w:usb2="00000016" w:usb3="00000000" w:csb0="00040001" w:csb1="00000000"/>
    <w:embedRegular r:id="rId2" w:fontKey="{D8356888-70BE-4876-A6BC-46121867FA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97EDB587-864E-4427-A562-654C6B2A46CB}"/>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02B67E5-9EDC-45E5-B8AC-9FFB32DF107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35AAE09-7355-4A5B-BF10-AB83BF6916CC}"/>
  </w:font>
  <w:font w:name="方正黑体_GBK">
    <w:panose1 w:val="03000509000000000000"/>
    <w:charset w:val="86"/>
    <w:family w:val="script"/>
    <w:pitch w:val="default"/>
    <w:sig w:usb0="00000001" w:usb1="080E0000" w:usb2="00000000" w:usb3="00000000" w:csb0="00040000" w:csb1="00000000"/>
    <w:embedRegular r:id="rId6" w:fontKey="{4E5FA508-669B-4D09-BA62-558DE9CD756B}"/>
  </w:font>
  <w:font w:name="方正小标宋_GBK">
    <w:panose1 w:val="03000509000000000000"/>
    <w:charset w:val="86"/>
    <w:family w:val="script"/>
    <w:pitch w:val="default"/>
    <w:sig w:usb0="00000001" w:usb1="080E0000" w:usb2="00000000" w:usb3="00000000" w:csb0="00040000" w:csb1="00000000"/>
    <w:embedRegular r:id="rId7" w:fontKey="{39B07FC3-A023-42A1-B5BD-700C4F6B3ED4}"/>
  </w:font>
  <w:font w:name="微软雅黑">
    <w:panose1 w:val="020B0503020204020204"/>
    <w:charset w:val="86"/>
    <w:family w:val="swiss"/>
    <w:pitch w:val="default"/>
    <w:sig w:usb0="80000287" w:usb1="2ACF3C50" w:usb2="00000016" w:usb3="00000000" w:csb0="0004001F" w:csb1="00000000"/>
    <w:embedRegular r:id="rId8" w:fontKey="{48E4158A-E2D3-450C-AC45-F075C5A12CE7}"/>
  </w:font>
  <w:font w:name="仿宋">
    <w:panose1 w:val="02010609060101010101"/>
    <w:charset w:val="86"/>
    <w:family w:val="modern"/>
    <w:pitch w:val="default"/>
    <w:sig w:usb0="800002BF" w:usb1="38CF7CFA" w:usb2="00000016" w:usb3="00000000" w:csb0="00040001" w:csb1="00000000"/>
    <w:embedRegular r:id="rId9" w:fontKey="{94D5A8F0-33C2-4BBC-B841-9BBB2A05B91B}"/>
  </w:font>
  <w:font w:name="楷体">
    <w:panose1 w:val="02010609060101010101"/>
    <w:charset w:val="86"/>
    <w:family w:val="modern"/>
    <w:pitch w:val="default"/>
    <w:sig w:usb0="800002BF" w:usb1="38CF7CFA" w:usb2="00000016" w:usb3="00000000" w:csb0="00040001" w:csb1="00000000"/>
    <w:embedRegular r:id="rId10" w:fontKey="{F6FD1D06-BB4E-4C60-AD78-93F6E6F444BC}"/>
  </w:font>
  <w:font w:name="WPSEMBED49">
    <w:panose1 w:val="03000509000000000000"/>
    <w:charset w:val="86"/>
    <w:family w:val="auto"/>
    <w:pitch w:val="default"/>
    <w:sig w:usb0="00000001" w:usb1="080E0000" w:usb2="00000000" w:usb3="00000000" w:csb0="00040000" w:csb1="00000000"/>
  </w:font>
  <w:font w:name="WPSEMBED5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7F07BF0"/>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815</Words>
  <Characters>839</Characters>
  <Lines>101</Lines>
  <Paragraphs>28</Paragraphs>
  <TotalTime>0</TotalTime>
  <ScaleCrop>false</ScaleCrop>
  <LinksUpToDate>false</LinksUpToDate>
  <CharactersWithSpaces>928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2025-11-21T07:30:15Z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