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304"/>
      <w:bookmarkStart w:id="3" w:name="_Toc76373863"/>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5909"/>
      <w:bookmarkStart w:id="9" w:name="_Toc22435"/>
      <w:bookmarkStart w:id="10" w:name="_Toc28264"/>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F4BD687">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可吸收接骨螺钉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可吸收接骨棒、生物玻璃骨填充材料等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一次性使用医用脉冲冲洗器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医用胶原修复膜、医用胶原膜</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脱钙人牙基质材料</w:t>
      </w:r>
      <w:r>
        <w:rPr>
          <w:rFonts w:hint="eastAsia" w:cs="Times New Roman"/>
          <w:color w:val="000000"/>
          <w:sz w:val="24"/>
          <w:szCs w:val="24"/>
          <w:lang w:val="en-US" w:eastAsia="zh-CN"/>
        </w:rPr>
        <w:t>；医用几丁糖</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22707"/>
            <w:bookmarkStart w:id="17" w:name="_Toc22129"/>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401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E36A200">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6F4726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可吸收接骨螺钉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可吸收接骨棒、生物玻璃骨填充材料等</w:t>
            </w:r>
          </w:p>
        </w:tc>
        <w:tc>
          <w:tcPr>
            <w:tcW w:w="1327" w:type="dxa"/>
            <w:noWrap w:val="0"/>
            <w:vAlign w:val="center"/>
          </w:tcPr>
          <w:p w14:paraId="131F83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4E0AA4">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638E846E">
            <w:pPr>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cs="Times New Roman"/>
                <w:color w:val="000000"/>
                <w:sz w:val="24"/>
                <w:szCs w:val="24"/>
                <w:lang w:val="en-US" w:eastAsia="zh-CN"/>
              </w:rPr>
              <w:t>关节外科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一次性使用医用脉冲冲洗器</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关节外科、急救部</w:t>
            </w: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医用胶原修复膜、医用胶原膜</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4E2DD587">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w:t>
            </w: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脱钙人牙基质材料</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0CCAE0F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关节外科、脊柱外科</w:t>
            </w:r>
          </w:p>
        </w:tc>
      </w:tr>
      <w:tr w14:paraId="5630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7DAA3EF">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330974B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医用几丁糖</w:t>
            </w:r>
          </w:p>
        </w:tc>
        <w:tc>
          <w:tcPr>
            <w:tcW w:w="1327" w:type="dxa"/>
            <w:noWrap w:val="0"/>
            <w:vAlign w:val="center"/>
          </w:tcPr>
          <w:p w14:paraId="1345A19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51F13D8">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39A17D36">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26504"/>
      <w:bookmarkStart w:id="20" w:name="_Toc10137"/>
      <w:bookmarkStart w:id="21" w:name="_Toc25496"/>
      <w:bookmarkStart w:id="22" w:name="_Toc30358"/>
      <w:bookmarkStart w:id="23" w:name="_Toc7637386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28099"/>
      <w:bookmarkStart w:id="32" w:name="_Toc654"/>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关节外科包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关节外科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关节外科包X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关节外科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14224"/>
      <w:bookmarkStart w:id="45" w:name="_Toc9714"/>
      <w:bookmarkStart w:id="46" w:name="_Toc25272"/>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0259773">
      <w:pPr>
        <w:widowControl/>
        <w:spacing w:before="120" w:beforeLines="50" w:line="360" w:lineRule="exact"/>
        <w:outlineLvl w:val="1"/>
        <w:rPr>
          <w:rFonts w:hint="default" w:ascii="Times New Roman" w:hAnsi="Times New Roman" w:eastAsia="宋体" w:cs="Times New Roman"/>
          <w:i w:val="0"/>
          <w:kern w:val="2"/>
          <w:sz w:val="24"/>
          <w:szCs w:val="24"/>
          <w:lang w:val="en-US" w:eastAsia="zh-CN" w:bidi="ar-SA"/>
        </w:rPr>
      </w:pPr>
      <w:bookmarkStart w:id="50" w:name="_Toc32286"/>
      <w:r>
        <w:rPr>
          <w:rFonts w:hint="eastAsia" w:cs="宋体"/>
          <w:b/>
          <w:sz w:val="24"/>
        </w:rPr>
        <w:t>一、</w:t>
      </w:r>
      <w:bookmarkStart w:id="51" w:name="_Toc76373874"/>
      <w:bookmarkStart w:id="52" w:name="_Toc3153"/>
      <w:bookmarkStart w:id="53" w:name="_Toc13391"/>
      <w:bookmarkStart w:id="54" w:name="_Toc11474"/>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30465"/>
      <w:bookmarkStart w:id="59" w:name="_Toc76373876"/>
      <w:bookmarkStart w:id="60" w:name="_Toc29225"/>
      <w:bookmarkStart w:id="61" w:name="_Toc6355"/>
      <w:bookmarkStart w:id="62" w:name="_Toc29620"/>
      <w:bookmarkStart w:id="63" w:name="_Toc1955"/>
      <w:bookmarkStart w:id="64" w:name="_Toc13107"/>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36D7DF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1.用途：适用于骨折的内固定。</w:t>
      </w:r>
    </w:p>
    <w:p w14:paraId="0797389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2.技术参数：可吸收螺钉、可吸收板具备可吸收的特性。</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3.组成成分：可吸收材料</w:t>
      </w:r>
      <w:r>
        <w:rPr>
          <w:rFonts w:hint="default" w:ascii="Times New Roman" w:hAnsi="Times New Roman" w:eastAsia="宋体" w:cs="Times New Roman"/>
          <w:i w:val="0"/>
          <w:kern w:val="2"/>
          <w:sz w:val="24"/>
          <w:szCs w:val="24"/>
          <w:lang w:val="en-US" w:eastAsia="zh-CN" w:bidi="ar-SA"/>
        </w:rPr>
        <w:t>。</w:t>
      </w:r>
    </w:p>
    <w:p w14:paraId="3D48875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138AC6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DE447B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1.用途：适用于骨科关节置换、创伤手术创面，软组织冲洗</w:t>
      </w:r>
      <w:r>
        <w:rPr>
          <w:rFonts w:hint="eastAsia" w:cs="Times New Roman"/>
          <w:sz w:val="24"/>
          <w:szCs w:val="24"/>
          <w:lang w:val="en-US" w:eastAsia="zh-CN"/>
        </w:rPr>
        <w:t>。</w:t>
      </w:r>
    </w:p>
    <w:p w14:paraId="258D4A1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2.技术参数：由一次性使用医用脉冲冲洗器由喷头、枪体、电源盒、吸引管套、保护套、流量调节器、高低开关、出液管、进液管组成。有喇叭口和管形口两种喷头，喇叭口用于创面冲洗，管形口用于腔内冲洗</w:t>
      </w:r>
      <w:r>
        <w:rPr>
          <w:rFonts w:hint="default" w:ascii="Times New Roman" w:hAnsi="Times New Roman" w:eastAsia="宋体" w:cs="Times New Roman"/>
          <w:i w:val="0"/>
          <w:kern w:val="2"/>
          <w:sz w:val="24"/>
          <w:szCs w:val="24"/>
          <w:lang w:val="en-US" w:eastAsia="zh-CN" w:bidi="ar-SA"/>
        </w:rPr>
        <w:t>。</w:t>
      </w:r>
    </w:p>
    <w:p w14:paraId="0E95E60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61DDB63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1.用途：骨科非承力软硬组织的缺损修复再生。</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2.技术参数：源于牛腱的I型胶原蛋白，具有多孔性的薄膜。规格包含但不限于12*15mm-100*110mm的各种大小规格的面积</w:t>
      </w:r>
      <w:r>
        <w:rPr>
          <w:rFonts w:hint="default" w:ascii="Times New Roman" w:hAnsi="Times New Roman" w:eastAsia="宋体" w:cs="Times New Roman"/>
          <w:i w:val="0"/>
          <w:kern w:val="2"/>
          <w:sz w:val="24"/>
          <w:szCs w:val="24"/>
          <w:lang w:val="en-US" w:eastAsia="zh-CN" w:bidi="ar-SA"/>
        </w:rPr>
        <w:t>。</w:t>
      </w:r>
    </w:p>
    <w:p w14:paraId="5484ACC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FE6C36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588D62F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1.用途：适用于四肢各类闭合性骨折骨缺损修复或难愈合部位骨折或开放性骨折缺损的二期修复；骨折延迟愈合、不愈合和畸形愈合的修复；各种骨缺损的修复。</w:t>
      </w:r>
    </w:p>
    <w:p w14:paraId="01D9664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2.产品：含促进成骨分化的人体天然的BMP因子</w:t>
      </w:r>
      <w:r>
        <w:rPr>
          <w:rFonts w:hint="default" w:ascii="Times New Roman" w:hAnsi="Times New Roman" w:eastAsia="宋体" w:cs="Times New Roman"/>
          <w:i w:val="0"/>
          <w:kern w:val="2"/>
          <w:sz w:val="24"/>
          <w:szCs w:val="24"/>
          <w:lang w:val="en-US" w:eastAsia="zh-CN" w:bidi="ar-SA"/>
        </w:rPr>
        <w:t>。</w:t>
      </w:r>
    </w:p>
    <w:p w14:paraId="6568A591">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3A12FD7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05ED21A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1.用途：外伤性或退变性骨关节炎，关节镜术后关节功能快速康复；</w:t>
      </w:r>
    </w:p>
    <w:p w14:paraId="7E781D9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2.技术参数：主要成分为：梭甲基几丁质；规格包括但不限于：1ml，2ml，3ml。</w:t>
      </w:r>
    </w:p>
    <w:p w14:paraId="5DE2C08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3.物理性质：水溶性、无色、透明黏稠状，分子量≥50万道尔顿、分布系数1.0-2.0；动力粘度：在剪切速率≥10Hz</w:t>
      </w:r>
      <w:r>
        <w:rPr>
          <w:rFonts w:hint="default" w:ascii="Times New Roman" w:hAnsi="Times New Roman" w:eastAsia="宋体" w:cs="Times New Roman"/>
          <w:i w:val="0"/>
          <w:kern w:val="2"/>
          <w:sz w:val="24"/>
          <w:szCs w:val="24"/>
          <w:lang w:val="en-US" w:eastAsia="zh-CN" w:bidi="ar-SA"/>
        </w:rPr>
        <w:t>。</w:t>
      </w:r>
    </w:p>
    <w:p w14:paraId="3399893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5D7851">
      <w:pPr>
        <w:spacing w:line="320" w:lineRule="exact"/>
        <w:rPr>
          <w:rFonts w:hint="default" w:ascii="Times New Roman" w:hAnsi="Times New Roman" w:eastAsia="宋体" w:cs="Times New Roman"/>
          <w:i w:val="0"/>
          <w:kern w:val="2"/>
          <w:sz w:val="24"/>
          <w:szCs w:val="24"/>
          <w:lang w:val="en-US" w:eastAsia="zh-CN" w:bidi="ar-SA"/>
        </w:rPr>
      </w:pPr>
    </w:p>
    <w:p w14:paraId="3A19B832">
      <w:pPr>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2072"/>
      <w:bookmarkStart w:id="68" w:name="_Toc7794"/>
      <w:bookmarkStart w:id="69" w:name="_Toc15650"/>
      <w:bookmarkStart w:id="70" w:name="_Toc76373878"/>
      <w:bookmarkStart w:id="71" w:name="_Toc4791"/>
      <w:bookmarkStart w:id="72" w:name="_Toc24122"/>
      <w:bookmarkStart w:id="73" w:name="_Toc17944"/>
      <w:bookmarkStart w:id="74" w:name="_Toc1752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5959"/>
      <w:bookmarkStart w:id="80" w:name="_Toc76373879"/>
      <w:bookmarkStart w:id="81" w:name="_Toc9339"/>
      <w:bookmarkStart w:id="82" w:name="_Toc29836"/>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12384"/>
      <w:bookmarkStart w:id="89" w:name="_Toc20263"/>
      <w:bookmarkStart w:id="90" w:name="_Toc27893"/>
      <w:bookmarkStart w:id="91" w:name="_Toc2258"/>
      <w:bookmarkStart w:id="92" w:name="_Toc27737"/>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7115"/>
      <w:bookmarkStart w:id="96" w:name="_Toc28189"/>
      <w:bookmarkStart w:id="97" w:name="_Toc76373886"/>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26754"/>
      <w:bookmarkStart w:id="103" w:name="_Toc19809"/>
      <w:bookmarkStart w:id="104" w:name="_Toc13585"/>
      <w:bookmarkStart w:id="105" w:name="_Toc5535"/>
      <w:bookmarkStart w:id="106" w:name="_Toc9147"/>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8546"/>
      <w:bookmarkStart w:id="110" w:name="_Toc76373889"/>
      <w:bookmarkStart w:id="111" w:name="_Toc2900"/>
      <w:bookmarkStart w:id="112" w:name="_Toc5251"/>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342"/>
      <w:bookmarkStart w:id="118" w:name="_Toc20034"/>
      <w:bookmarkStart w:id="119" w:name="_Toc11654"/>
      <w:bookmarkStart w:id="120" w:name="_Toc26071"/>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76373891"/>
      <w:bookmarkStart w:id="125" w:name="_Toc27646"/>
      <w:bookmarkStart w:id="126" w:name="_Toc25199"/>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2975"/>
      <w:bookmarkStart w:id="137" w:name="_Toc76373904"/>
      <w:bookmarkStart w:id="138" w:name="_Toc10152"/>
      <w:bookmarkStart w:id="139" w:name="_Toc20762"/>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763"/>
      <w:bookmarkStart w:id="142" w:name="_Toc12863"/>
      <w:bookmarkStart w:id="143" w:name="_Toc16112"/>
      <w:bookmarkStart w:id="144" w:name="_Toc11892"/>
      <w:bookmarkStart w:id="145" w:name="_Toc25920"/>
      <w:bookmarkStart w:id="146" w:name="_Toc76373907"/>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21431"/>
      <w:bookmarkStart w:id="171" w:name="_Toc493178790"/>
      <w:bookmarkStart w:id="172" w:name="_Toc21830"/>
      <w:bookmarkStart w:id="173" w:name="_Toc76373909"/>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3178791"/>
      <w:bookmarkStart w:id="179" w:name="_Toc12647"/>
      <w:bookmarkStart w:id="180" w:name="_Toc20875"/>
      <w:bookmarkStart w:id="181" w:name="_Toc411"/>
      <w:bookmarkStart w:id="182" w:name="_Toc20258"/>
      <w:bookmarkStart w:id="183" w:name="_Toc16487"/>
      <w:bookmarkStart w:id="184" w:name="_Toc492721039"/>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4250"/>
      <w:bookmarkStart w:id="189" w:name="_Toc493178793"/>
      <w:bookmarkStart w:id="190" w:name="_Toc8925"/>
      <w:bookmarkStart w:id="191" w:name="_Toc76373912"/>
      <w:bookmarkStart w:id="192" w:name="_Toc6217"/>
      <w:bookmarkStart w:id="193" w:name="_Toc19291"/>
      <w:bookmarkStart w:id="194" w:name="_Toc16151"/>
      <w:bookmarkStart w:id="195" w:name="_Toc492721038"/>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A2F4B32">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CF976E-B40E-461E-A3D3-99F2EDDC1ABE}"/>
  </w:font>
  <w:font w:name="黑体">
    <w:panose1 w:val="02010609060101010101"/>
    <w:charset w:val="86"/>
    <w:family w:val="auto"/>
    <w:pitch w:val="default"/>
    <w:sig w:usb0="800002BF" w:usb1="38CF7CFA" w:usb2="00000016" w:usb3="00000000" w:csb0="00040001" w:csb1="00000000"/>
    <w:embedRegular r:id="rId2" w:fontKey="{4913C9CD-40E9-4575-BF43-42A57A7D56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12C5E7B-C1F7-43C3-B1DE-BC858741D98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B7F0FC3-EE67-4FF8-9E5F-1E8347D7E0B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9C628D0-A6E6-44EF-8B90-6A6F2CA50921}"/>
  </w:font>
  <w:font w:name="方正黑体_GBK">
    <w:panose1 w:val="03000509000000000000"/>
    <w:charset w:val="86"/>
    <w:family w:val="script"/>
    <w:pitch w:val="default"/>
    <w:sig w:usb0="00000001" w:usb1="080E0000" w:usb2="00000000" w:usb3="00000000" w:csb0="00040000" w:csb1="00000000"/>
    <w:embedRegular r:id="rId6" w:fontKey="{8A2943AE-BC07-4509-9A8E-D2F109BE6B9B}"/>
  </w:font>
  <w:font w:name="方正小标宋_GBK">
    <w:panose1 w:val="03000509000000000000"/>
    <w:charset w:val="86"/>
    <w:family w:val="script"/>
    <w:pitch w:val="default"/>
    <w:sig w:usb0="00000001" w:usb1="080E0000" w:usb2="00000000" w:usb3="00000000" w:csb0="00040000" w:csb1="00000000"/>
    <w:embedRegular r:id="rId7" w:fontKey="{63B13324-DAFF-4A22-9096-DB6D4CAE1C25}"/>
  </w:font>
  <w:font w:name="微软雅黑">
    <w:panose1 w:val="020B0503020204020204"/>
    <w:charset w:val="86"/>
    <w:family w:val="swiss"/>
    <w:pitch w:val="default"/>
    <w:sig w:usb0="80000287" w:usb1="2ACF3C50" w:usb2="00000016" w:usb3="00000000" w:csb0="0004001F" w:csb1="00000000"/>
    <w:embedRegular r:id="rId8" w:fontKey="{399CAEBF-A876-41A4-AA05-C7D412834F97}"/>
  </w:font>
  <w:font w:name="仿宋">
    <w:panose1 w:val="02010609060101010101"/>
    <w:charset w:val="86"/>
    <w:family w:val="modern"/>
    <w:pitch w:val="default"/>
    <w:sig w:usb0="800002BF" w:usb1="38CF7CFA" w:usb2="00000016" w:usb3="00000000" w:csb0="00040001" w:csb1="00000000"/>
    <w:embedRegular r:id="rId9" w:fontKey="{ACF77B37-20DD-4164-9EFA-139386D8AD20}"/>
  </w:font>
  <w:font w:name="楷体">
    <w:panose1 w:val="02010609060101010101"/>
    <w:charset w:val="86"/>
    <w:family w:val="modern"/>
    <w:pitch w:val="default"/>
    <w:sig w:usb0="800002BF" w:usb1="38CF7CFA" w:usb2="00000016" w:usb3="00000000" w:csb0="00040001" w:csb1="00000000"/>
    <w:embedRegular r:id="rId10" w:fontKey="{CB107599-E8C2-4908-B605-92CBD4C36953}"/>
  </w:font>
  <w:font w:name="WPSEMBED51">
    <w:panose1 w:val="03000509000000000000"/>
    <w:charset w:val="86"/>
    <w:family w:val="auto"/>
    <w:pitch w:val="default"/>
    <w:sig w:usb0="00000001" w:usb1="080E0000" w:usb2="00000000" w:usb3="00000000" w:csb0="00040000" w:csb1="00000000"/>
  </w:font>
  <w:font w:name="WPSEMBED5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0A6A86"/>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D1240E"/>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BD46ED"/>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A96FBC"/>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744BA"/>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3157</Words>
  <Characters>3285</Characters>
  <Lines>101</Lines>
  <Paragraphs>28</Paragraphs>
  <TotalTime>0</TotalTime>
  <ScaleCrop>false</ScaleCrop>
  <LinksUpToDate>false</LinksUpToDate>
  <CharactersWithSpaces>3376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2025-11-21T07:30:41Z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