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10059"/>
      <w:bookmarkStart w:id="3" w:name="_Toc31066"/>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15376"/>
      <w:bookmarkStart w:id="9" w:name="_Toc22435"/>
      <w:bookmarkStart w:id="10" w:name="_Toc5909"/>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一次性使用水封胸腔引流装置</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一次性使用呼吸过滤器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一次性使用活体取样钳</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球囊扩张导管</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气管支架、可过活检孔道气管支架、覆膜气管支架/气管支气管支架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707"/>
            <w:bookmarkStart w:id="16" w:name="_Toc5838"/>
            <w:bookmarkStart w:id="17" w:name="_Toc18060"/>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一次性使用水封胸腔引流装置</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呼吸科、胸心外科</w:t>
            </w:r>
          </w:p>
        </w:tc>
      </w:tr>
      <w:tr w14:paraId="4011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E36A200">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6F47260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一次性使用呼吸过滤器</w:t>
            </w:r>
          </w:p>
        </w:tc>
        <w:tc>
          <w:tcPr>
            <w:tcW w:w="1327" w:type="dxa"/>
            <w:noWrap w:val="0"/>
            <w:vAlign w:val="center"/>
          </w:tcPr>
          <w:p w14:paraId="131F836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64E0AA4">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638E846E">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呼吸科、泌尿外科、胸心外科、神经外科、肝胆外科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一次性使用活体取样钳</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7CCBFB1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呼吸科、耳鼻喉科、重症医学科</w:t>
            </w:r>
          </w:p>
        </w:tc>
      </w:tr>
      <w:tr w14:paraId="7A3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E90BB0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274B0E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球囊扩张导管</w:t>
            </w:r>
          </w:p>
        </w:tc>
        <w:tc>
          <w:tcPr>
            <w:tcW w:w="1327" w:type="dxa"/>
            <w:noWrap w:val="0"/>
            <w:vAlign w:val="center"/>
          </w:tcPr>
          <w:p w14:paraId="12A9722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91E10F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4E2DD587">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呼吸科</w:t>
            </w:r>
          </w:p>
        </w:tc>
      </w:tr>
      <w:tr w14:paraId="7BC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6B04C1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五</w:t>
            </w:r>
          </w:p>
        </w:tc>
        <w:tc>
          <w:tcPr>
            <w:tcW w:w="2456" w:type="dxa"/>
            <w:noWrap w:val="0"/>
            <w:vAlign w:val="center"/>
          </w:tcPr>
          <w:p w14:paraId="364C86D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气管支架、可过活检孔道气管支架、覆膜气管支架/气管支气管支架</w:t>
            </w:r>
          </w:p>
        </w:tc>
        <w:tc>
          <w:tcPr>
            <w:tcW w:w="1327" w:type="dxa"/>
            <w:noWrap w:val="0"/>
            <w:vAlign w:val="center"/>
          </w:tcPr>
          <w:p w14:paraId="515779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3F5CB9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0CCAE0F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呼吸科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10137"/>
      <w:bookmarkStart w:id="20" w:name="_Toc26504"/>
      <w:bookmarkStart w:id="21" w:name="_Toc30358"/>
      <w:bookmarkStart w:id="22" w:name="_Toc76373866"/>
      <w:bookmarkStart w:id="23" w:name="_Toc3434"/>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654"/>
      <w:bookmarkStart w:id="32" w:name="_Toc7527"/>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呼吸科包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cs="Times New Roman"/>
          <w:b w:val="0"/>
          <w:bCs w:val="0"/>
          <w:kern w:val="0"/>
          <w:sz w:val="24"/>
          <w:szCs w:val="24"/>
          <w:lang w:val="en-US" w:eastAsia="zh-CN"/>
        </w:rPr>
        <w:t>呼吸</w:t>
      </w:r>
      <w:r>
        <w:rPr>
          <w:rFonts w:hint="eastAsia" w:ascii="宋体" w:hAnsi="宋体" w:cs="宋体"/>
          <w:color w:val="000000"/>
          <w:sz w:val="24"/>
          <w:szCs w:val="24"/>
          <w:lang w:val="en-US" w:eastAsia="zh-CN"/>
        </w:rPr>
        <w:t>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呼吸科包X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呼吸科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25272"/>
      <w:bookmarkStart w:id="45" w:name="_Toc14224"/>
      <w:bookmarkStart w:id="46" w:name="_Toc76373872"/>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13391"/>
      <w:bookmarkStart w:id="53" w:name="_Toc76373874"/>
      <w:bookmarkStart w:id="54" w:name="_Toc3153"/>
      <w:bookmarkStart w:id="55" w:name="_Toc2599"/>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30465"/>
      <w:bookmarkStart w:id="60" w:name="_Toc76373876"/>
      <w:bookmarkStart w:id="61" w:name="_Toc29225"/>
      <w:bookmarkStart w:id="62" w:name="_Toc29620"/>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735771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1、用途：用于气胸患者的负压引流；</w:t>
      </w:r>
    </w:p>
    <w:p w14:paraId="1394B40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2、技术参数：三腔型，需适用F24-F38的胸腔引流管管路</w:t>
      </w:r>
      <w:r>
        <w:rPr>
          <w:rFonts w:hint="default" w:ascii="Times New Roman" w:hAnsi="Times New Roman" w:eastAsia="宋体" w:cs="Times New Roman"/>
          <w:i w:val="0"/>
          <w:kern w:val="2"/>
          <w:sz w:val="24"/>
          <w:szCs w:val="24"/>
          <w:lang w:val="en-US" w:eastAsia="zh-CN" w:bidi="ar-SA"/>
        </w:rPr>
        <w:t>。</w:t>
      </w:r>
    </w:p>
    <w:p w14:paraId="2025977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2350823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连接受检查者与肺功能仪器之间的过滤装置。对吸入气体中的微生物有截留作用，可减少患者的气道污染，同时把病人呼出的气体经过该过滤器，细菌、病毒等病原体被吸附在过滤器内部，可以防止医患交叉感染。</w:t>
      </w:r>
    </w:p>
    <w:p w14:paraId="1AF86C4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3BBBD8E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1）阻力(30L/min流量下)</w:t>
      </w:r>
      <w:r>
        <w:rPr>
          <w:rFonts w:hint="eastAsia" w:cs="Times New Roman"/>
          <w:sz w:val="24"/>
          <w:szCs w:val="24"/>
          <w:lang w:val="en-US" w:eastAsia="zh-CN"/>
        </w:rPr>
        <w:t>：</w:t>
      </w:r>
      <w:r>
        <w:rPr>
          <w:rFonts w:hint="eastAsia" w:ascii="Times New Roman" w:eastAsia="宋体" w:cs="Times New Roman"/>
          <w:sz w:val="24"/>
          <w:szCs w:val="24"/>
          <w:lang w:val="en-US" w:eastAsia="zh-CN"/>
        </w:rPr>
        <w:t>≤20Pa</w:t>
      </w:r>
      <w:r>
        <w:rPr>
          <w:rFonts w:hint="eastAsia" w:cs="Times New Roman"/>
          <w:sz w:val="24"/>
          <w:szCs w:val="24"/>
          <w:lang w:val="en-US" w:eastAsia="zh-CN"/>
        </w:rPr>
        <w:t>。</w:t>
      </w:r>
    </w:p>
    <w:p w14:paraId="36490A6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2）过滤粒径：0.5微米滤除率≥90%</w:t>
      </w:r>
    </w:p>
    <w:p w14:paraId="11B1337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3）‌枯草芽孢杆菌（1.0μm×0.7μm）和MS-2噬菌体（0.02μm）‌的过滤效率≥99.99%‌</w:t>
      </w:r>
    </w:p>
    <w:p w14:paraId="1F1FE29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4）时效：过滤有效时间≥三小时</w:t>
      </w:r>
    </w:p>
    <w:p w14:paraId="383B659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3、组成：壳体+过滤膜（聚丙烯、聚氯乙烯、玻璃纤维等）‌</w:t>
      </w:r>
      <w:r>
        <w:rPr>
          <w:rFonts w:hint="default" w:ascii="Times New Roman" w:hAnsi="Times New Roman" w:eastAsia="宋体" w:cs="Times New Roman"/>
          <w:i w:val="0"/>
          <w:kern w:val="2"/>
          <w:sz w:val="24"/>
          <w:szCs w:val="24"/>
          <w:lang w:val="en-US" w:eastAsia="zh-CN" w:bidi="ar-SA"/>
        </w:rPr>
        <w:t>。</w:t>
      </w:r>
    </w:p>
    <w:p w14:paraId="3D48875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138AC6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5F82B7D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1、用途：用于纤支镜术中取样用。</w:t>
      </w:r>
    </w:p>
    <w:p w14:paraId="4820FB5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36A2E831">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有效长度：1100mm</w:t>
      </w:r>
      <w:r>
        <w:rPr>
          <w:rFonts w:hint="eastAsia" w:cs="Times New Roman"/>
          <w:sz w:val="24"/>
          <w:szCs w:val="24"/>
          <w:lang w:val="en-US" w:eastAsia="zh-CN"/>
        </w:rPr>
        <w:t>，</w:t>
      </w:r>
      <w:r>
        <w:rPr>
          <w:rFonts w:hint="eastAsia" w:ascii="Times New Roman" w:eastAsia="宋体" w:cs="Times New Roman"/>
          <w:sz w:val="24"/>
          <w:szCs w:val="24"/>
          <w:lang w:val="en-US" w:eastAsia="zh-CN"/>
        </w:rPr>
        <w:t>适应钳道&lt;2.0mm</w:t>
      </w:r>
      <w:r>
        <w:rPr>
          <w:rFonts w:hint="eastAsia" w:cs="Times New Roman"/>
          <w:sz w:val="24"/>
          <w:szCs w:val="24"/>
          <w:lang w:val="en-US" w:eastAsia="zh-CN"/>
        </w:rPr>
        <w:t>，</w:t>
      </w:r>
      <w:r>
        <w:rPr>
          <w:rFonts w:hint="eastAsia" w:ascii="Times New Roman" w:eastAsia="宋体" w:cs="Times New Roman"/>
          <w:sz w:val="24"/>
          <w:szCs w:val="24"/>
          <w:lang w:val="en-US" w:eastAsia="zh-CN"/>
        </w:rPr>
        <w:t>直径&lt;1.8mm</w:t>
      </w:r>
      <w:r>
        <w:rPr>
          <w:rFonts w:hint="eastAsia" w:cs="Times New Roman"/>
          <w:sz w:val="24"/>
          <w:szCs w:val="24"/>
          <w:lang w:val="en-US" w:eastAsia="zh-CN"/>
        </w:rPr>
        <w:t>。</w:t>
      </w:r>
    </w:p>
    <w:p w14:paraId="66217CE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（2）</w:t>
      </w:r>
      <w:r>
        <w:rPr>
          <w:rFonts w:hint="eastAsia" w:ascii="Times New Roman" w:eastAsia="宋体" w:cs="Times New Roman"/>
          <w:sz w:val="24"/>
          <w:szCs w:val="24"/>
          <w:lang w:val="en-US" w:eastAsia="zh-CN"/>
        </w:rPr>
        <w:t>有效长度：1600mm</w:t>
      </w:r>
      <w:r>
        <w:rPr>
          <w:rFonts w:hint="eastAsia" w:cs="Times New Roman"/>
          <w:sz w:val="24"/>
          <w:szCs w:val="24"/>
          <w:lang w:val="en-US" w:eastAsia="zh-CN"/>
        </w:rPr>
        <w:t>，</w:t>
      </w:r>
      <w:r>
        <w:rPr>
          <w:rFonts w:hint="eastAsia" w:ascii="Times New Roman" w:eastAsia="宋体" w:cs="Times New Roman"/>
          <w:sz w:val="24"/>
          <w:szCs w:val="24"/>
          <w:lang w:val="en-US" w:eastAsia="zh-CN"/>
        </w:rPr>
        <w:t>适应钳道&lt;2.8mm</w:t>
      </w:r>
      <w:r>
        <w:rPr>
          <w:rFonts w:hint="eastAsia" w:cs="Times New Roman"/>
          <w:sz w:val="24"/>
          <w:szCs w:val="24"/>
          <w:lang w:val="en-US" w:eastAsia="zh-CN"/>
        </w:rPr>
        <w:t>，</w:t>
      </w:r>
      <w:r>
        <w:rPr>
          <w:rFonts w:hint="eastAsia" w:ascii="Times New Roman" w:eastAsia="宋体" w:cs="Times New Roman"/>
          <w:sz w:val="24"/>
          <w:szCs w:val="24"/>
          <w:lang w:val="en-US" w:eastAsia="zh-CN"/>
        </w:rPr>
        <w:t>直径&lt;2.3mm</w:t>
      </w:r>
      <w:r>
        <w:rPr>
          <w:rFonts w:hint="default" w:ascii="Times New Roman" w:hAnsi="Times New Roman" w:eastAsia="宋体" w:cs="Times New Roman"/>
          <w:i w:val="0"/>
          <w:kern w:val="2"/>
          <w:sz w:val="24"/>
          <w:szCs w:val="24"/>
          <w:lang w:val="en-US" w:eastAsia="zh-CN" w:bidi="ar-SA"/>
        </w:rPr>
        <w:t>。</w:t>
      </w:r>
    </w:p>
    <w:p w14:paraId="79D2E30A">
      <w:pPr>
        <w:spacing w:line="320" w:lineRule="exact"/>
        <w:ind w:left="478" w:leftChars="85" w:hanging="240" w:hangingChars="100"/>
        <w:rPr>
          <w:rFonts w:hint="default"/>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有效长度</w:t>
      </w:r>
      <w:r>
        <w:rPr>
          <w:rFonts w:hint="eastAsia" w:cs="Times New Roman"/>
          <w:sz w:val="24"/>
          <w:szCs w:val="24"/>
          <w:lang w:val="en-US" w:eastAsia="zh-CN"/>
        </w:rPr>
        <w:t>：</w:t>
      </w:r>
      <w:r>
        <w:rPr>
          <w:rFonts w:hint="eastAsia" w:ascii="Times New Roman" w:eastAsia="宋体" w:cs="Times New Roman"/>
          <w:sz w:val="24"/>
          <w:szCs w:val="24"/>
          <w:lang w:val="en-US" w:eastAsia="zh-CN"/>
        </w:rPr>
        <w:t>800mm，适应钳道&lt;2.0mm</w:t>
      </w:r>
      <w:r>
        <w:rPr>
          <w:rFonts w:hint="eastAsia" w:cs="Times New Roman"/>
          <w:sz w:val="24"/>
          <w:szCs w:val="24"/>
          <w:lang w:val="en-US" w:eastAsia="zh-CN"/>
        </w:rPr>
        <w:t>，</w:t>
      </w:r>
      <w:r>
        <w:rPr>
          <w:rFonts w:hint="eastAsia" w:ascii="Times New Roman" w:eastAsia="宋体" w:cs="Times New Roman"/>
          <w:sz w:val="24"/>
          <w:szCs w:val="24"/>
          <w:lang w:val="en-US" w:eastAsia="zh-CN"/>
        </w:rPr>
        <w:t>直径&lt;1.8mm</w:t>
      </w:r>
      <w:r>
        <w:rPr>
          <w:rFonts w:hint="default" w:ascii="Times New Roman" w:hAnsi="Times New Roman" w:eastAsia="宋体" w:cs="Times New Roman"/>
          <w:i w:val="0"/>
          <w:kern w:val="2"/>
          <w:sz w:val="24"/>
          <w:szCs w:val="24"/>
          <w:lang w:val="en-US" w:eastAsia="zh-CN" w:bidi="ar-SA"/>
        </w:rPr>
        <w:t>。</w:t>
      </w:r>
    </w:p>
    <w:p w14:paraId="0E95E60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D887DE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02A0F98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1、用途：用于气道扩张。</w:t>
      </w:r>
    </w:p>
    <w:p w14:paraId="7403C2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2、技术参数：具有能通过一根直径为0.035in(0.89 mm)导丝的导丝腔，并可通过最小工作通道为2.8mm的支气管镜导管的球囊节段下方有两个不透射线标记，可为球囊在狭窄部位中的定位提供可视基准点。球囊扩张导管可以通过受控径向扩充方式提供3种尺寸不同且逐渐增大的直径。</w:t>
      </w:r>
    </w:p>
    <w:p w14:paraId="3CB53F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3、组成：由球囊扩张导管和旋塞阀组成</w:t>
      </w:r>
      <w:r>
        <w:rPr>
          <w:rFonts w:hint="default" w:ascii="Times New Roman" w:hAnsi="Times New Roman" w:eastAsia="宋体" w:cs="Times New Roman"/>
          <w:i w:val="0"/>
          <w:kern w:val="2"/>
          <w:sz w:val="24"/>
          <w:szCs w:val="24"/>
          <w:lang w:val="en-US" w:eastAsia="zh-CN" w:bidi="ar-SA"/>
        </w:rPr>
        <w:t>。</w:t>
      </w:r>
    </w:p>
    <w:p w14:paraId="5484ACC9">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0FE6C36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1E96FAC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1、组成：产品由自扩张金属支架和推送导管组成。</w:t>
      </w:r>
    </w:p>
    <w:p w14:paraId="4C96034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（1）支架由镍钛合金制成，带有聚氨酯覆膜尼龙释放线将支架固定在推送导管上，支架两端还带有保持线。</w:t>
      </w:r>
    </w:p>
    <w:p w14:paraId="01D9664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（2）推送导管由球状头端、轴杆、牵拉环和手柄组成，带有不透射线钽标记，球状头端和轴杆涂覆润滑剂。球状头端、轴杆和手柄制造材料为Pebax</w:t>
      </w:r>
      <w:r>
        <w:rPr>
          <w:rFonts w:hint="eastAsia" w:cs="Times New Roman"/>
          <w:sz w:val="24"/>
          <w:szCs w:val="24"/>
          <w:lang w:val="en-US" w:eastAsia="zh-CN"/>
        </w:rPr>
        <w:t>；</w:t>
      </w:r>
      <w:r>
        <w:rPr>
          <w:rFonts w:hint="eastAsia" w:ascii="Times New Roman" w:eastAsia="宋体" w:cs="Times New Roman"/>
          <w:sz w:val="24"/>
          <w:szCs w:val="24"/>
          <w:lang w:val="en-US" w:eastAsia="zh-CN"/>
        </w:rPr>
        <w:t>牵拉环的制造材料为尼龙</w:t>
      </w:r>
      <w:r>
        <w:rPr>
          <w:rFonts w:hint="default" w:ascii="Times New Roman" w:hAnsi="Times New Roman" w:eastAsia="宋体" w:cs="Times New Roman"/>
          <w:i w:val="0"/>
          <w:kern w:val="2"/>
          <w:sz w:val="24"/>
          <w:szCs w:val="24"/>
          <w:lang w:val="en-US" w:eastAsia="zh-CN" w:bidi="ar-SA"/>
        </w:rPr>
        <w:t>。</w:t>
      </w:r>
    </w:p>
    <w:p w14:paraId="2C26B80C">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445D7851">
      <w:pPr>
        <w:spacing w:line="320" w:lineRule="exact"/>
        <w:rPr>
          <w:rFonts w:hint="default" w:ascii="Times New Roman" w:hAnsi="Times New Roman" w:eastAsia="宋体" w:cs="Times New Roman"/>
          <w:i w:val="0"/>
          <w:kern w:val="2"/>
          <w:sz w:val="24"/>
          <w:szCs w:val="24"/>
          <w:lang w:val="en-US" w:eastAsia="zh-CN" w:bidi="ar-SA"/>
        </w:rPr>
      </w:pPr>
    </w:p>
    <w:p w14:paraId="6B2EB3A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BC6031D">
      <w:pPr>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7794"/>
      <w:bookmarkStart w:id="68" w:name="_Toc15650"/>
      <w:bookmarkStart w:id="69" w:name="_Toc4791"/>
      <w:bookmarkStart w:id="70" w:name="_Toc76373878"/>
      <w:bookmarkStart w:id="71" w:name="_Toc31843"/>
      <w:bookmarkStart w:id="72" w:name="_Toc17944"/>
      <w:bookmarkStart w:id="73" w:name="_Toc24122"/>
      <w:bookmarkStart w:id="74" w:name="_Toc1752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2561"/>
      <w:bookmarkStart w:id="79" w:name="_Toc29836"/>
      <w:bookmarkStart w:id="80" w:name="_Toc5959"/>
      <w:bookmarkStart w:id="81" w:name="_Toc30551"/>
      <w:bookmarkStart w:id="82" w:name="_Toc76373879"/>
      <w:bookmarkStart w:id="83" w:name="_Toc1431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0263"/>
      <w:bookmarkStart w:id="89" w:name="_Toc2258"/>
      <w:bookmarkStart w:id="90" w:name="_Toc76373885"/>
      <w:bookmarkStart w:id="91" w:name="_Toc27737"/>
      <w:bookmarkStart w:id="92" w:name="_Toc12384"/>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1052"/>
      <w:bookmarkStart w:id="96" w:name="_Toc28189"/>
      <w:bookmarkStart w:id="97" w:name="_Toc76373886"/>
      <w:bookmarkStart w:id="98" w:name="_Toc7115"/>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9147"/>
      <w:bookmarkStart w:id="102" w:name="_Toc5535"/>
      <w:bookmarkStart w:id="103" w:name="_Toc13585"/>
      <w:bookmarkStart w:id="104" w:name="_Toc26754"/>
      <w:bookmarkStart w:id="105" w:name="_Toc31293"/>
      <w:bookmarkStart w:id="106" w:name="_Toc19809"/>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5251"/>
      <w:bookmarkStart w:id="109" w:name="_Toc16925"/>
      <w:bookmarkStart w:id="110" w:name="_Toc2900"/>
      <w:bookmarkStart w:id="111" w:name="_Toc30068"/>
      <w:bookmarkStart w:id="112" w:name="_Toc8546"/>
      <w:bookmarkStart w:id="113" w:name="_Toc76373889"/>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6071"/>
      <w:bookmarkStart w:id="117" w:name="_Toc27443"/>
      <w:bookmarkStart w:id="118" w:name="_Toc20034"/>
      <w:bookmarkStart w:id="119" w:name="_Toc11342"/>
      <w:bookmarkStart w:id="120" w:name="_Toc76373890"/>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76373891"/>
      <w:bookmarkStart w:id="125" w:name="_Toc25199"/>
      <w:bookmarkStart w:id="126" w:name="_Toc20391"/>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76373904"/>
      <w:bookmarkStart w:id="136" w:name="_Toc10152"/>
      <w:bookmarkStart w:id="137" w:name="_Toc24088"/>
      <w:bookmarkStart w:id="138" w:name="_Toc19409"/>
      <w:bookmarkStart w:id="139" w:name="_Toc20762"/>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892"/>
      <w:bookmarkStart w:id="142" w:name="_Toc25920"/>
      <w:bookmarkStart w:id="143" w:name="_Toc12863"/>
      <w:bookmarkStart w:id="144" w:name="_Toc76373907"/>
      <w:bookmarkStart w:id="145" w:name="_Toc7750"/>
      <w:bookmarkStart w:id="146" w:name="_Toc16112"/>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21431"/>
      <w:bookmarkStart w:id="171" w:name="_Toc493178790"/>
      <w:bookmarkStart w:id="172" w:name="_Toc27306"/>
      <w:bookmarkStart w:id="173" w:name="_Toc21830"/>
      <w:bookmarkStart w:id="174" w:name="_Toc76373909"/>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76373910"/>
      <w:bookmarkStart w:id="180" w:name="_Toc411"/>
      <w:bookmarkStart w:id="181" w:name="_Toc20875"/>
      <w:bookmarkStart w:id="182" w:name="_Toc493178791"/>
      <w:bookmarkStart w:id="183" w:name="_Toc492721039"/>
      <w:bookmarkStart w:id="184" w:name="_Toc16487"/>
      <w:bookmarkStart w:id="185"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93178793"/>
      <w:bookmarkStart w:id="188" w:name="_Toc20605"/>
      <w:bookmarkStart w:id="189" w:name="_Toc16151"/>
      <w:bookmarkStart w:id="190" w:name="_Toc4250"/>
      <w:bookmarkStart w:id="191" w:name="_Toc6217"/>
      <w:bookmarkStart w:id="192" w:name="_Toc8925"/>
      <w:bookmarkStart w:id="193" w:name="_Toc76373912"/>
      <w:bookmarkStart w:id="194" w:name="_Toc19291"/>
      <w:bookmarkStart w:id="195" w:name="_Toc492721038"/>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E55A40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74CCA3-C025-41D7-AA45-DB5650815506}"/>
  </w:font>
  <w:font w:name="黑体">
    <w:panose1 w:val="02010609060101010101"/>
    <w:charset w:val="86"/>
    <w:family w:val="auto"/>
    <w:pitch w:val="default"/>
    <w:sig w:usb0="800002BF" w:usb1="38CF7CFA" w:usb2="00000016" w:usb3="00000000" w:csb0="00040001" w:csb1="00000000"/>
    <w:embedRegular r:id="rId2" w:fontKey="{47A1565A-4D6F-40D3-963F-A890D35978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B66268F-BF8D-474E-99AC-4CB0F9C4FEA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90E4C3C-8DCC-4F60-A441-F16E0A03F11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79841CF-5E9D-4398-8426-3B956C916F11}"/>
  </w:font>
  <w:font w:name="方正黑体_GBK">
    <w:panose1 w:val="03000509000000000000"/>
    <w:charset w:val="86"/>
    <w:family w:val="script"/>
    <w:pitch w:val="default"/>
    <w:sig w:usb0="00000001" w:usb1="080E0000" w:usb2="00000000" w:usb3="00000000" w:csb0="00040000" w:csb1="00000000"/>
    <w:embedRegular r:id="rId6" w:fontKey="{7A4F44BB-7668-45D6-A251-0D17CD966504}"/>
  </w:font>
  <w:font w:name="方正小标宋_GBK">
    <w:panose1 w:val="03000509000000000000"/>
    <w:charset w:val="86"/>
    <w:family w:val="script"/>
    <w:pitch w:val="default"/>
    <w:sig w:usb0="00000001" w:usb1="080E0000" w:usb2="00000000" w:usb3="00000000" w:csb0="00040000" w:csb1="00000000"/>
    <w:embedRegular r:id="rId7" w:fontKey="{541ED405-E2A7-444C-8289-8244D2BB2C52}"/>
  </w:font>
  <w:font w:name="微软雅黑">
    <w:panose1 w:val="020B0503020204020204"/>
    <w:charset w:val="86"/>
    <w:family w:val="swiss"/>
    <w:pitch w:val="default"/>
    <w:sig w:usb0="80000287" w:usb1="2ACF3C50" w:usb2="00000016" w:usb3="00000000" w:csb0="0004001F" w:csb1="00000000"/>
    <w:embedRegular r:id="rId8" w:fontKey="{3D01D494-6C0C-45B8-BBE2-BA9C3613BCA5}"/>
  </w:font>
  <w:font w:name="仿宋">
    <w:panose1 w:val="02010609060101010101"/>
    <w:charset w:val="86"/>
    <w:family w:val="modern"/>
    <w:pitch w:val="default"/>
    <w:sig w:usb0="800002BF" w:usb1="38CF7CFA" w:usb2="00000016" w:usb3="00000000" w:csb0="00040001" w:csb1="00000000"/>
    <w:embedRegular r:id="rId9" w:fontKey="{5124AD3E-E0E8-4CE3-88B1-51CEB34A0A30}"/>
  </w:font>
  <w:font w:name="楷体">
    <w:panose1 w:val="02010609060101010101"/>
    <w:charset w:val="86"/>
    <w:family w:val="modern"/>
    <w:pitch w:val="default"/>
    <w:sig w:usb0="800002BF" w:usb1="38CF7CFA" w:usb2="00000016" w:usb3="00000000" w:csb0="00040001" w:csb1="00000000"/>
    <w:embedRegular r:id="rId10" w:fontKey="{560D1C78-0BB1-4335-A99D-0DDF86C09B31}"/>
  </w:font>
  <w:font w:name="WPSEMBED65">
    <w:panose1 w:val="03000509000000000000"/>
    <w:charset w:val="86"/>
    <w:family w:val="auto"/>
    <w:pitch w:val="default"/>
    <w:sig w:usb0="00000001" w:usb1="080E0000" w:usb2="00000000" w:usb3="00000000" w:csb0="00040000" w:csb1="00000000"/>
  </w:font>
  <w:font w:name="WPSEMBED6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CC4C81"/>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2B01B0"/>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37E9C"/>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352</Words>
  <Characters>363</Characters>
  <Lines>101</Lines>
  <Paragraphs>28</Paragraphs>
  <TotalTime>0</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2025-11-21T07:31:58Z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