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0059"/>
      <w:bookmarkStart w:id="1" w:name="_Toc31066"/>
      <w:bookmarkStart w:id="2" w:name="_Toc76373863"/>
      <w:bookmarkStart w:id="3" w:name="_Toc1304"/>
      <w:bookmarkStart w:id="4" w:name="_Toc13868"/>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28264"/>
      <w:bookmarkStart w:id="8" w:name="_Toc76373864"/>
      <w:bookmarkStart w:id="9" w:name="_Toc15376"/>
      <w:bookmarkStart w:id="10" w:name="_Toc22435"/>
      <w:bookmarkStart w:id="11" w:name="_Toc5909"/>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01F0577">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项目名称：一次性使用穿刺针套件</w:t>
      </w:r>
      <w:r>
        <w:rPr>
          <w:rFonts w:hint="eastAsia" w:ascii="宋体" w:hAnsi="宋体" w:cs="宋体"/>
          <w:color w:val="000000"/>
          <w:sz w:val="24"/>
          <w:szCs w:val="24"/>
          <w:lang w:eastAsia="zh-CN"/>
        </w:rPr>
        <w:t>、</w:t>
      </w:r>
      <w:r>
        <w:rPr>
          <w:rFonts w:hint="eastAsia" w:ascii="Times New Roman" w:hAnsi="Times New Roman" w:eastAsia="宋体" w:cs="Times New Roman"/>
          <w:i w:val="0"/>
          <w:iCs w:val="0"/>
          <w:color w:val="000000"/>
          <w:kern w:val="2"/>
          <w:sz w:val="24"/>
          <w:szCs w:val="24"/>
          <w:u w:val="none"/>
          <w:lang w:val="en-US" w:eastAsia="zh-CN" w:bidi="ar-SA"/>
        </w:rPr>
        <w:t>血浆分离器与管路配套</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707"/>
            <w:bookmarkStart w:id="15" w:name="_Toc22129"/>
            <w:bookmarkStart w:id="16" w:name="_Toc76373865"/>
            <w:bookmarkStart w:id="17" w:name="_Toc5838"/>
            <w:bookmarkStart w:id="18" w:name="_Toc18060"/>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一次性使用穿刺针套件</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急救部</w:t>
            </w:r>
          </w:p>
        </w:tc>
      </w:tr>
      <w:tr w14:paraId="6993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35D035DF">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包二</w:t>
            </w:r>
          </w:p>
        </w:tc>
        <w:tc>
          <w:tcPr>
            <w:tcW w:w="2456" w:type="dxa"/>
            <w:noWrap w:val="0"/>
            <w:vAlign w:val="center"/>
          </w:tcPr>
          <w:p w14:paraId="1EDAF025">
            <w:pPr>
              <w:keepNext w:val="0"/>
              <w:keepLines w:val="0"/>
              <w:widowControl/>
              <w:suppressLineNumbers w:val="0"/>
              <w:jc w:val="left"/>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血浆分离器与管路配套</w:t>
            </w:r>
          </w:p>
        </w:tc>
        <w:tc>
          <w:tcPr>
            <w:tcW w:w="1327" w:type="dxa"/>
            <w:noWrap w:val="0"/>
            <w:vAlign w:val="center"/>
          </w:tcPr>
          <w:p w14:paraId="4F4BE64B">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216B147B">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33CF67DB">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急救部</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.本项目为院内产品合同重</w:t>
      </w:r>
      <w:r>
        <w:rPr>
          <w:rFonts w:hint="eastAsia" w:ascii="宋体" w:hAnsi="宋体" w:eastAsia="宋体" w:cs="宋体"/>
          <w:color w:val="auto"/>
          <w:sz w:val="24"/>
          <w:szCs w:val="24"/>
          <w:lang w:val="en-US" w:eastAsia="zh-CN"/>
        </w:rPr>
        <w:t>招</w:t>
      </w:r>
      <w:bookmarkStart w:id="190" w:name="_GoBack"/>
      <w:bookmarkEnd w:id="190"/>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3434"/>
      <w:bookmarkStart w:id="20" w:name="_Toc76373866"/>
      <w:bookmarkStart w:id="21" w:name="_Toc30358"/>
      <w:bookmarkStart w:id="22" w:name="_Toc26504"/>
      <w:bookmarkStart w:id="23" w:name="_Toc25496"/>
      <w:bookmarkStart w:id="24" w:name="_Toc10137"/>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7527"/>
      <w:bookmarkStart w:id="31" w:name="_Toc654"/>
      <w:bookmarkStart w:id="32" w:name="_Toc28099"/>
      <w:bookmarkStart w:id="33" w:name="_Toc187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急救部包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eastAsia" w:ascii="宋体" w:hAnsi="宋体" w:cs="宋体"/>
          <w:color w:val="000000"/>
          <w:sz w:val="24"/>
          <w:szCs w:val="24"/>
          <w:lang w:val="en-US" w:eastAsia="zh-CN"/>
        </w:rPr>
        <w:t>急救部</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急救部包X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sz w:val="24"/>
          <w:szCs w:val="24"/>
          <w:u w:val="single"/>
          <w:lang w:val="en-US" w:eastAsia="zh-CN"/>
        </w:rPr>
        <w:t>急救部包X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9714"/>
      <w:bookmarkStart w:id="44" w:name="_Toc76373872"/>
      <w:bookmarkStart w:id="45" w:name="_Toc25272"/>
      <w:bookmarkStart w:id="46" w:name="_Toc4033"/>
      <w:bookmarkStart w:id="47" w:name="_Toc14224"/>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2599"/>
      <w:bookmarkStart w:id="52" w:name="_Toc3153"/>
      <w:bookmarkStart w:id="53" w:name="_Toc11474"/>
      <w:bookmarkStart w:id="54" w:name="_Toc13391"/>
      <w:bookmarkStart w:id="55" w:name="_Toc76373874"/>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6355"/>
      <w:bookmarkStart w:id="59" w:name="_Toc29225"/>
      <w:bookmarkStart w:id="60" w:name="_Toc29620"/>
      <w:bookmarkStart w:id="61" w:name="_Toc30465"/>
      <w:bookmarkStart w:id="62" w:name="_Toc76373876"/>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61A0ECC2">
      <w:pPr>
        <w:pStyle w:val="2"/>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该产品按型号可与EZIO设备配合，为成人和儿童患者于紧急、急迫或者医疗必须情况下通路无法获得或获得困难时，在胫骨近端，胫骨远端和肱骨头以及儿童患者的股骨远端提供骨髓输液通路。最长留置时间为24小时。</w:t>
      </w:r>
    </w:p>
    <w:p w14:paraId="3365E5C8">
      <w:pPr>
        <w:pStyle w:val="2"/>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2、结构及组成：由穿刺针、病人腕带、导管注射器连接装置、尖锐物品保护器等组成。</w:t>
      </w:r>
    </w:p>
    <w:p w14:paraId="695FCA17">
      <w:pPr>
        <w:pStyle w:val="2"/>
        <w:ind w:firstLine="240" w:firstLine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3、技术参数：一次性使用穿刺针套件（含穿刺针，病人腕带，EZ-Connect延长管，提示卡，尖锐物品保护器）。15mm×15ga穿刺针（粉色）及配件；25mm×15ga穿刺针（蓝色）及配件；45mm×15ga穿刺针（黄色）及配件</w:t>
      </w:r>
      <w:r>
        <w:rPr>
          <w:rFonts w:hint="eastAsia" w:ascii="Times New Roman" w:hAnsi="Times New Roman" w:eastAsia="宋体" w:cs="Times New Roman"/>
          <w:sz w:val="24"/>
          <w:szCs w:val="24"/>
          <w:lang w:val="en-US" w:eastAsia="zh-CN"/>
        </w:rPr>
        <w:t>。</w:t>
      </w:r>
    </w:p>
    <w:p w14:paraId="765A6504">
      <w:pPr>
        <w:pStyle w:val="2"/>
        <w:ind w:firstLine="240" w:firstLineChars="100"/>
        <w:rPr>
          <w:rFonts w:hint="eastAsia" w:ascii="Times New Roman" w:hAnsi="Times New Roman" w:eastAsia="宋体" w:cs="Times New Roman"/>
          <w:sz w:val="24"/>
          <w:szCs w:val="24"/>
          <w:lang w:val="en-US" w:eastAsia="zh-CN"/>
        </w:rPr>
      </w:pPr>
    </w:p>
    <w:p w14:paraId="7E3F8453">
      <w:pPr>
        <w:spacing w:line="320" w:lineRule="exact"/>
        <w:ind w:left="479" w:leftChars="85" w:hanging="241" w:hangingChars="10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0906DA52">
      <w:pPr>
        <w:pStyle w:val="2"/>
        <w:ind w:firstLine="240" w:firstLine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w:t>
      </w:r>
      <w:r>
        <w:rPr>
          <w:rFonts w:hint="eastAsia" w:asci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用途：治疗性血浆置换疗法</w:t>
      </w:r>
      <w:r>
        <w:rPr>
          <w:rFonts w:hint="eastAsia" w:ascii="Times New Roman" w:eastAsia="宋体" w:cs="Times New Roman"/>
          <w:sz w:val="24"/>
          <w:szCs w:val="24"/>
          <w:lang w:val="en-US" w:eastAsia="zh-CN"/>
        </w:rPr>
        <w:t>。</w:t>
      </w:r>
    </w:p>
    <w:p w14:paraId="7D6719BE">
      <w:pPr>
        <w:pStyle w:val="2"/>
        <w:ind w:firstLine="240" w:firstLine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r>
        <w:rPr>
          <w:rFonts w:hint="eastAsia" w:asci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技术参数：</w:t>
      </w:r>
    </w:p>
    <w:p w14:paraId="64FC0391">
      <w:pPr>
        <w:pStyle w:val="2"/>
        <w:ind w:firstLine="240" w:firstLine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产品须适配于连续性血液净化设备（百特金宝，Prismaflex）</w:t>
      </w:r>
      <w:r>
        <w:rPr>
          <w:rFonts w:hint="eastAsia" w:ascii="Times New Roman" w:eastAsia="宋体" w:cs="Times New Roman"/>
          <w:sz w:val="24"/>
          <w:szCs w:val="24"/>
          <w:lang w:val="en-US" w:eastAsia="zh-CN"/>
        </w:rPr>
        <w:t>；</w:t>
      </w:r>
    </w:p>
    <w:p w14:paraId="5ED883A4">
      <w:pPr>
        <w:pStyle w:val="2"/>
        <w:ind w:firstLine="240" w:firstLine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（2）</w:t>
      </w:r>
      <w:r>
        <w:rPr>
          <w:rFonts w:hint="eastAsia" w:ascii="Times New Roman" w:hAnsi="Times New Roman" w:eastAsia="宋体" w:cs="Times New Roman"/>
          <w:sz w:val="24"/>
          <w:szCs w:val="24"/>
          <w:lang w:val="en-US" w:eastAsia="zh-CN"/>
        </w:rPr>
        <w:t>一体化管路，预先连接，配套内血容量125ml，浆分离器为空心纤维（聚丙烯），血浆分离器血容量：41ml，膜面积0.35m²</w:t>
      </w:r>
      <w:r>
        <w:rPr>
          <w:rFonts w:hint="eastAsia" w:ascii="Times New Roman" w:eastAsia="宋体" w:cs="Times New Roman"/>
          <w:sz w:val="24"/>
          <w:szCs w:val="24"/>
          <w:lang w:val="en-US" w:eastAsia="zh-CN"/>
        </w:rPr>
        <w:t>。</w:t>
      </w:r>
    </w:p>
    <w:p w14:paraId="0EAF80C6">
      <w:pPr>
        <w:pStyle w:val="2"/>
        <w:ind w:firstLine="240" w:firstLineChars="100"/>
        <w:rPr>
          <w:rFonts w:hint="eastAsia"/>
          <w:lang w:val="en-US" w:eastAsia="zh-CN"/>
        </w:rPr>
      </w:pPr>
      <w:r>
        <w:rPr>
          <w:rFonts w:hint="eastAsia" w:ascii="Times New Roman" w:hAnsi="Times New Roman" w:eastAsia="宋体" w:cs="Times New Roman"/>
          <w:sz w:val="24"/>
          <w:szCs w:val="24"/>
          <w:lang w:val="en-US" w:eastAsia="zh-CN"/>
        </w:rPr>
        <w:t>3</w:t>
      </w:r>
      <w:r>
        <w:rPr>
          <w:rFonts w:hint="eastAsia" w:asci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组成及规格包括：prismaflex TPE2000 set等</w:t>
      </w:r>
      <w:r>
        <w:rPr>
          <w:rFonts w:hint="eastAsia" w:ascii="Times New Roman" w:eastAsia="宋体" w:cs="Times New Roman"/>
          <w:sz w:val="24"/>
          <w:szCs w:val="24"/>
          <w:lang w:val="en-US" w:eastAsia="zh-CN"/>
        </w:rPr>
        <w:t>。</w:t>
      </w:r>
    </w:p>
    <w:p w14:paraId="3CDE8CB0">
      <w:pPr>
        <w:spacing w:line="320" w:lineRule="exact"/>
        <w:ind w:left="479" w:leftChars="85" w:hanging="241" w:hangingChars="100"/>
        <w:rPr>
          <w:rFonts w:hint="eastAsia" w:ascii="Times New Roman" w:hAnsi="Times New Roman" w:eastAsia="宋体" w:cs="Times New Roman"/>
          <w:b/>
          <w:bCs/>
          <w:sz w:val="24"/>
          <w:szCs w:val="24"/>
          <w:lang w:val="en-US" w:eastAsia="zh-CN"/>
        </w:rPr>
      </w:pPr>
    </w:p>
    <w:p w14:paraId="77730534">
      <w:pPr>
        <w:pStyle w:val="2"/>
        <w:ind w:firstLine="240" w:firstLineChars="100"/>
        <w:rPr>
          <w:rFonts w:hint="default" w:ascii="Times New Roman" w:hAnsi="Times New Roman" w:eastAsia="宋体" w:cs="Times New Roman"/>
          <w:sz w:val="24"/>
          <w:szCs w:val="24"/>
          <w:lang w:val="en-US" w:eastAsia="zh-CN"/>
        </w:rPr>
      </w:pPr>
    </w:p>
    <w:p w14:paraId="07B39720">
      <w:pPr>
        <w:pStyle w:val="2"/>
        <w:rPr>
          <w:rFonts w:hint="default"/>
          <w:color w:val="auto"/>
          <w:lang w:val="en-US" w:eastAsia="zh-CN"/>
        </w:rPr>
      </w:pPr>
    </w:p>
    <w:p w14:paraId="76A991F7">
      <w:pPr>
        <w:pStyle w:val="3"/>
        <w:rPr>
          <w:rFonts w:hint="default"/>
          <w:lang w:val="en-US" w:eastAsia="zh-CN"/>
        </w:rPr>
      </w:pPr>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r>
        <w:rPr>
          <w:rFonts w:hint="eastAsia"/>
          <w:color w:val="auto"/>
          <w:lang w:val="en-US" w:eastAsia="zh-CN"/>
        </w:rPr>
        <w:t xml:space="preserve"> </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76373878"/>
      <w:bookmarkStart w:id="67" w:name="_Toc1768"/>
      <w:bookmarkStart w:id="68" w:name="_Toc31843"/>
      <w:bookmarkStart w:id="69" w:name="_Toc17524"/>
      <w:bookmarkStart w:id="70" w:name="_Toc15650"/>
      <w:bookmarkStart w:id="71" w:name="_Toc17944"/>
      <w:bookmarkStart w:id="72" w:name="_Toc4791"/>
      <w:bookmarkStart w:id="73" w:name="_Toc7794"/>
      <w:bookmarkStart w:id="74" w:name="_Toc24122"/>
      <w:bookmarkStart w:id="75" w:name="_Toc2072"/>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30551"/>
      <w:bookmarkStart w:id="78" w:name="_Toc14311"/>
      <w:bookmarkStart w:id="79" w:name="_Toc76373879"/>
      <w:bookmarkStart w:id="80" w:name="_Toc9339"/>
      <w:bookmarkStart w:id="81" w:name="_Toc22561"/>
      <w:bookmarkStart w:id="82" w:name="_Toc5959"/>
      <w:bookmarkStart w:id="83" w:name="_Toc29836"/>
      <w:bookmarkStart w:id="84" w:name="_Toc16908"/>
      <w:bookmarkStart w:id="85" w:name="_Toc1352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0263"/>
      <w:bookmarkStart w:id="88" w:name="_Toc20772"/>
      <w:bookmarkStart w:id="89" w:name="_Toc27893"/>
      <w:bookmarkStart w:id="90" w:name="_Toc76373885"/>
      <w:bookmarkStart w:id="91" w:name="_Toc27737"/>
      <w:bookmarkStart w:id="92" w:name="_Toc12384"/>
      <w:bookmarkStart w:id="93" w:name="_Toc2258"/>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28189"/>
      <w:bookmarkStart w:id="95" w:name="_Toc7115"/>
      <w:bookmarkStart w:id="96" w:name="_Toc11052"/>
      <w:bookmarkStart w:id="97" w:name="_Toc76373886"/>
      <w:bookmarkStart w:id="98" w:name="_Toc12712"/>
      <w:bookmarkStart w:id="99" w:name="_Toc23699"/>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16925"/>
      <w:bookmarkStart w:id="102" w:name="_Toc8546"/>
      <w:bookmarkStart w:id="103" w:name="_Toc76373889"/>
      <w:bookmarkStart w:id="104" w:name="_Toc2900"/>
      <w:bookmarkStart w:id="105" w:name="_Toc5251"/>
      <w:bookmarkStart w:id="106" w:name="_Toc30068"/>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26071"/>
      <w:bookmarkStart w:id="110" w:name="_Toc11342"/>
      <w:bookmarkStart w:id="111" w:name="_Toc76373890"/>
      <w:bookmarkStart w:id="112" w:name="_Toc20034"/>
      <w:bookmarkStart w:id="113" w:name="_Toc27443"/>
      <w:bookmarkStart w:id="114" w:name="_Toc11654"/>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10864"/>
      <w:bookmarkStart w:id="117" w:name="_Toc25199"/>
      <w:bookmarkStart w:id="118" w:name="_Toc27646"/>
      <w:bookmarkStart w:id="119" w:name="_Toc20391"/>
      <w:bookmarkStart w:id="120" w:name="_Toc76373891"/>
      <w:r>
        <w:rPr>
          <w:rFonts w:hint="eastAsia" w:ascii="宋体" w:hAnsi="宋体" w:cs="宋体"/>
          <w:b/>
          <w:color w:val="000000"/>
          <w:szCs w:val="36"/>
        </w:rPr>
        <w:t xml:space="preserve">第四篇  </w:t>
      </w:r>
      <w:bookmarkStart w:id="121" w:name="_Toc349642178"/>
      <w:bookmarkStart w:id="122" w:name="_Toc258354120"/>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10152"/>
      <w:bookmarkStart w:id="129" w:name="_Toc19409"/>
      <w:bookmarkStart w:id="130" w:name="_Toc2975"/>
      <w:bookmarkStart w:id="131" w:name="_Toc20762"/>
      <w:bookmarkStart w:id="132" w:name="_Toc76373904"/>
      <w:bookmarkStart w:id="133" w:name="_Toc24088"/>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16112"/>
      <w:bookmarkStart w:id="135" w:name="_Toc7750"/>
      <w:bookmarkStart w:id="136" w:name="_Toc76373907"/>
      <w:bookmarkStart w:id="137" w:name="_Toc11763"/>
      <w:bookmarkStart w:id="138" w:name="_Toc12863"/>
      <w:bookmarkStart w:id="139" w:name="_Toc11892"/>
      <w:bookmarkStart w:id="140" w:name="_Toc25920"/>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3094"/>
      <w:bookmarkStart w:id="149" w:name="_Toc10063"/>
      <w:bookmarkStart w:id="150" w:name="_Toc22827"/>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27306"/>
      <w:bookmarkStart w:id="163" w:name="_Toc76373909"/>
      <w:bookmarkStart w:id="164" w:name="_Toc9795"/>
      <w:bookmarkStart w:id="165" w:name="_Toc21830"/>
      <w:bookmarkStart w:id="166" w:name="_Toc493178790"/>
      <w:bookmarkStart w:id="167" w:name="_Toc21431"/>
      <w:bookmarkStart w:id="168" w:name="_Toc23879"/>
      <w:bookmarkStart w:id="169" w:name="_Toc28644"/>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492721039"/>
      <w:bookmarkStart w:id="172" w:name="_Toc493178791"/>
      <w:bookmarkStart w:id="173" w:name="_Toc20258"/>
      <w:bookmarkStart w:id="174" w:name="_Toc12647"/>
      <w:bookmarkStart w:id="175" w:name="_Toc411"/>
      <w:bookmarkStart w:id="176" w:name="_Toc20875"/>
      <w:bookmarkStart w:id="177" w:name="_Toc16487"/>
      <w:bookmarkStart w:id="178" w:name="_Toc76373910"/>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4250"/>
      <w:bookmarkStart w:id="181" w:name="_Toc76373912"/>
      <w:bookmarkStart w:id="182" w:name="_Toc16151"/>
      <w:bookmarkStart w:id="183" w:name="_Toc493178793"/>
      <w:bookmarkStart w:id="184" w:name="_Toc6217"/>
      <w:bookmarkStart w:id="185" w:name="_Toc492721038"/>
      <w:bookmarkStart w:id="186" w:name="_Toc20605"/>
      <w:bookmarkStart w:id="187" w:name="_Toc19291"/>
      <w:bookmarkStart w:id="188" w:name="_Toc8925"/>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689A0A85">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7FA3C2B-E498-45AC-A415-035C2CC4887B}"/>
  </w:font>
  <w:font w:name="黑体">
    <w:panose1 w:val="02010609060101010101"/>
    <w:charset w:val="86"/>
    <w:family w:val="auto"/>
    <w:pitch w:val="default"/>
    <w:sig w:usb0="800002BF" w:usb1="38CF7CFA" w:usb2="00000016" w:usb3="00000000" w:csb0="00040001" w:csb1="00000000"/>
    <w:embedRegular r:id="rId2" w:fontKey="{1B6D032F-2742-47AF-8769-BEC0AFD16B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CA18ABC4-4D4F-4B0A-895B-6832B019741C}"/>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AF25BE3B-AF83-4822-9668-DDEB0D9EB89B}"/>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BBFC4564-6B09-42CF-A26F-0AEFFB6013DE}"/>
  </w:font>
  <w:font w:name="方正黑体_GBK">
    <w:panose1 w:val="03000509000000000000"/>
    <w:charset w:val="86"/>
    <w:family w:val="script"/>
    <w:pitch w:val="default"/>
    <w:sig w:usb0="00000001" w:usb1="080E0000" w:usb2="00000000" w:usb3="00000000" w:csb0="00040000" w:csb1="00000000"/>
    <w:embedRegular r:id="rId6" w:fontKey="{D7DDA979-83F3-41DC-89FF-DFCFC467232F}"/>
  </w:font>
  <w:font w:name="方正小标宋_GBK">
    <w:panose1 w:val="03000509000000000000"/>
    <w:charset w:val="86"/>
    <w:family w:val="script"/>
    <w:pitch w:val="default"/>
    <w:sig w:usb0="00000001" w:usb1="080E0000" w:usb2="00000000" w:usb3="00000000" w:csb0="00040000" w:csb1="00000000"/>
    <w:embedRegular r:id="rId7" w:fontKey="{5A819753-E5B7-464C-A8C8-B310AA2E5FC7}"/>
  </w:font>
  <w:font w:name="微软雅黑">
    <w:panose1 w:val="020B0503020204020204"/>
    <w:charset w:val="86"/>
    <w:family w:val="swiss"/>
    <w:pitch w:val="default"/>
    <w:sig w:usb0="80000287" w:usb1="2ACF3C50" w:usb2="00000016" w:usb3="00000000" w:csb0="0004001F" w:csb1="00000000"/>
    <w:embedRegular r:id="rId8" w:fontKey="{0E458E84-362A-40A6-AD53-964387D19CA1}"/>
  </w:font>
  <w:font w:name="仿宋">
    <w:panose1 w:val="02010609060101010101"/>
    <w:charset w:val="86"/>
    <w:family w:val="modern"/>
    <w:pitch w:val="default"/>
    <w:sig w:usb0="800002BF" w:usb1="38CF7CFA" w:usb2="00000016" w:usb3="00000000" w:csb0="00040001" w:csb1="00000000"/>
    <w:embedRegular r:id="rId9" w:fontKey="{E9E568C9-CFCC-4E34-8CBF-99B60415971D}"/>
  </w:font>
  <w:font w:name="楷体">
    <w:panose1 w:val="02010609060101010101"/>
    <w:charset w:val="86"/>
    <w:family w:val="modern"/>
    <w:pitch w:val="default"/>
    <w:sig w:usb0="800002BF" w:usb1="38CF7CFA" w:usb2="00000016" w:usb3="00000000" w:csb0="00040001" w:csb1="00000000"/>
    <w:embedRegular r:id="rId10" w:fontKey="{1BDA5FD3-AC05-48A6-9BBD-FEFDFA2F8662}"/>
  </w:font>
  <w:font w:name="WPSEMBED67">
    <w:panose1 w:val="03000509000000000000"/>
    <w:charset w:val="86"/>
    <w:family w:val="auto"/>
    <w:pitch w:val="default"/>
    <w:sig w:usb0="00000001" w:usb1="080E0000" w:usb2="00000000" w:usb3="00000000" w:csb0="00040000" w:csb1="00000000"/>
  </w:font>
  <w:font w:name="WPSEMBED68">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81B6B"/>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982EA5"/>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614E0C"/>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CF1B28"/>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7E45A61"/>
    <w:rsid w:val="781535E1"/>
    <w:rsid w:val="782B3415"/>
    <w:rsid w:val="78431694"/>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2895</Words>
  <Characters>3036</Characters>
  <Lines>101</Lines>
  <Paragraphs>28</Paragraphs>
  <TotalTime>0</TotalTime>
  <ScaleCrop>false</ScaleCrop>
  <LinksUpToDate>false</LinksUpToDate>
  <CharactersWithSpaces>3129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2025-11-21T07:32:14Z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eyJoZGlkIjoiMzc1OGNlMDJlMzRlMzMzYmE1ZjU3MzU3ZjgyMjI5MWIiLCJ1c2VySWQiOiIyMjg3MzE2MzAifQ==</vt:lpwstr>
  </property>
</Properties>
</file>