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13868"/>
      <w:bookmarkStart w:id="2" w:name="_Toc31066"/>
      <w:bookmarkStart w:id="3" w:name="_Toc1304"/>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28264"/>
      <w:bookmarkStart w:id="9" w:name="_Toc22435"/>
      <w:bookmarkStart w:id="10" w:name="_Toc5909"/>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一次性使用负压引流护创材料包</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外固定支架</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5838"/>
            <w:bookmarkStart w:id="16" w:name="_Toc22129"/>
            <w:bookmarkStart w:id="17" w:name="_Toc76373865"/>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一次性使用负压引流护创材料包</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急救部</w:t>
            </w:r>
          </w:p>
        </w:tc>
      </w:tr>
      <w:tr w14:paraId="2C73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3FA9159">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57E1FA98">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外固定支架</w:t>
            </w:r>
          </w:p>
        </w:tc>
        <w:tc>
          <w:tcPr>
            <w:tcW w:w="1327" w:type="dxa"/>
            <w:noWrap w:val="0"/>
            <w:vAlign w:val="center"/>
          </w:tcPr>
          <w:p w14:paraId="445E7683">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FE48CE9">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vMerge w:val="continue"/>
            <w:shd w:val="clear" w:color="auto" w:fill="auto"/>
            <w:noWrap w:val="0"/>
            <w:vAlign w:val="center"/>
          </w:tcPr>
          <w:p w14:paraId="5CFCA8A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10137"/>
      <w:bookmarkStart w:id="20" w:name="_Toc25496"/>
      <w:bookmarkStart w:id="21" w:name="_Toc3434"/>
      <w:bookmarkStart w:id="22" w:name="_Toc30358"/>
      <w:bookmarkStart w:id="23" w:name="_Toc26504"/>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654"/>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急救部包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急救部</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急救部包X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急救部</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76373872"/>
      <w:bookmarkStart w:id="45" w:name="_Toc4033"/>
      <w:bookmarkStart w:id="46" w:name="_Toc14224"/>
      <w:bookmarkStart w:id="47" w:name="_Toc971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13391"/>
      <w:bookmarkStart w:id="53" w:name="_Toc11474"/>
      <w:bookmarkStart w:id="54" w:name="_Toc2599"/>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620"/>
      <w:bookmarkStart w:id="59" w:name="_Toc76373876"/>
      <w:bookmarkStart w:id="60" w:name="_Toc30465"/>
      <w:bookmarkStart w:id="61" w:name="_Toc6355"/>
      <w:bookmarkStart w:id="62" w:name="_Toc2922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142C2A6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用途：用于急慢性创面的创面床准备，创面床持续冲洗等。技术参数：</w:t>
      </w:r>
    </w:p>
    <w:p w14:paraId="087FAC7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配合使用的负压源产生200mmHg负压作用下应无气体泄漏；</w:t>
      </w:r>
    </w:p>
    <w:p w14:paraId="14ADCB1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管路断裂力应不小于20N;</w:t>
      </w:r>
    </w:p>
    <w:p w14:paraId="2F0B9FC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聚氨酯敷料(无水)的密度应在(0.02～0.12)g/cm³之间；</w:t>
      </w:r>
    </w:p>
    <w:p w14:paraId="508984B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w:t>
      </w:r>
      <w:r>
        <w:rPr>
          <w:rFonts w:hint="eastAsia" w:cs="Times New Roman"/>
          <w:sz w:val="24"/>
          <w:szCs w:val="24"/>
          <w:lang w:val="en-US" w:eastAsia="zh-CN"/>
        </w:rPr>
        <w:t>、</w:t>
      </w:r>
      <w:r>
        <w:rPr>
          <w:rFonts w:hint="eastAsia" w:ascii="Times New Roman" w:eastAsia="宋体" w:cs="Times New Roman"/>
          <w:sz w:val="24"/>
          <w:szCs w:val="24"/>
          <w:lang w:val="en-US" w:eastAsia="zh-CN"/>
        </w:rPr>
        <w:t>敷料的抗拉强度应不小于10N/cm²</w:t>
      </w:r>
      <w:r>
        <w:rPr>
          <w:rFonts w:hint="eastAsia" w:cs="Times New Roman"/>
          <w:sz w:val="24"/>
          <w:szCs w:val="24"/>
          <w:lang w:val="en-US" w:eastAsia="zh-CN"/>
        </w:rPr>
        <w:t>；</w:t>
      </w:r>
      <w:r>
        <w:rPr>
          <w:rFonts w:hint="eastAsia" w:ascii="Times New Roman" w:eastAsia="宋体" w:cs="Times New Roman"/>
          <w:sz w:val="24"/>
          <w:szCs w:val="24"/>
          <w:lang w:val="en-US" w:eastAsia="zh-CN"/>
        </w:rPr>
        <w:t>医用手术薄膜 的持粘性应≤2.5mm</w:t>
      </w:r>
      <w:r>
        <w:rPr>
          <w:rFonts w:hint="eastAsia" w:cs="Times New Roman"/>
          <w:sz w:val="24"/>
          <w:szCs w:val="24"/>
          <w:lang w:val="en-US" w:eastAsia="zh-CN"/>
        </w:rPr>
        <w:t>；</w:t>
      </w:r>
      <w:r>
        <w:rPr>
          <w:rFonts w:hint="eastAsia" w:ascii="Times New Roman" w:eastAsia="宋体" w:cs="Times New Roman"/>
          <w:sz w:val="24"/>
          <w:szCs w:val="24"/>
          <w:lang w:val="en-US" w:eastAsia="zh-CN"/>
        </w:rPr>
        <w:t>医用手术薄膜的剥离强度应≥1.0N/cm</w:t>
      </w:r>
      <w:r>
        <w:rPr>
          <w:rFonts w:hint="eastAsia" w:cs="Times New Roman"/>
          <w:sz w:val="24"/>
          <w:szCs w:val="24"/>
          <w:lang w:val="en-US" w:eastAsia="zh-CN"/>
        </w:rPr>
        <w:t>；</w:t>
      </w:r>
    </w:p>
    <w:p w14:paraId="617AE5C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w:t>
      </w:r>
      <w:r>
        <w:rPr>
          <w:rFonts w:hint="eastAsia" w:cs="Times New Roman"/>
          <w:sz w:val="24"/>
          <w:szCs w:val="24"/>
          <w:lang w:val="en-US" w:eastAsia="zh-CN"/>
        </w:rPr>
        <w:t>、</w:t>
      </w:r>
      <w:r>
        <w:rPr>
          <w:rFonts w:hint="eastAsia" w:ascii="Times New Roman" w:eastAsia="宋体" w:cs="Times New Roman"/>
          <w:sz w:val="24"/>
          <w:szCs w:val="24"/>
          <w:lang w:val="en-US" w:eastAsia="zh-CN"/>
        </w:rPr>
        <w:t>无菌包装，产品外包装无破损，包内应清洁无杂质。</w:t>
      </w:r>
    </w:p>
    <w:p w14:paraId="2645454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6</w:t>
      </w:r>
      <w:r>
        <w:rPr>
          <w:rFonts w:hint="eastAsia" w:cs="Times New Roman"/>
          <w:sz w:val="24"/>
          <w:szCs w:val="24"/>
          <w:lang w:val="en-US" w:eastAsia="zh-CN"/>
        </w:rPr>
        <w:t>、</w:t>
      </w:r>
      <w:r>
        <w:rPr>
          <w:rFonts w:hint="eastAsia" w:ascii="Times New Roman" w:eastAsia="宋体" w:cs="Times New Roman"/>
          <w:sz w:val="24"/>
          <w:szCs w:val="24"/>
          <w:lang w:val="en-US" w:eastAsia="zh-CN"/>
        </w:rPr>
        <w:t>耗材组成：由切口敷料、医用手术薄膜和管路系统组成。其中管路系统由管路、管路夹和医疗直尺、密封吸盘(附带吸盘贴片)组件组成</w:t>
      </w:r>
      <w:r>
        <w:rPr>
          <w:rFonts w:hint="default" w:ascii="Times New Roman" w:hAnsi="Times New Roman" w:eastAsia="宋体" w:cs="Times New Roman"/>
          <w:i w:val="0"/>
          <w:kern w:val="2"/>
          <w:sz w:val="24"/>
          <w:szCs w:val="24"/>
          <w:lang w:val="en-US" w:eastAsia="zh-CN" w:bidi="ar-SA"/>
        </w:rPr>
        <w:t>。</w:t>
      </w:r>
    </w:p>
    <w:p w14:paraId="51D1C6D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ECBE6EA">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4B4B7FD8">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用途：适用于急症创伤固定和骨科择期矫形手术</w:t>
      </w:r>
    </w:p>
    <w:p w14:paraId="15790E4A">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25BF6A2F">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材质：铝合金、碳纤维、不锈钢；</w:t>
      </w:r>
    </w:p>
    <w:p w14:paraId="05A3B935">
      <w:p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无菌和非无菌包装必须有；</w:t>
      </w:r>
    </w:p>
    <w:p w14:paraId="1C3438C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包括组合式外支架，一体式上肢、下肢、骨盆外支架，上下肢骨延长外支架，上下肢环形外固定支架，骨搬移外固定支架系列齐全</w:t>
      </w:r>
      <w:r>
        <w:rPr>
          <w:rFonts w:hint="default" w:ascii="Times New Roman" w:hAnsi="Times New Roman" w:eastAsia="宋体" w:cs="Times New Roman"/>
          <w:i w:val="0"/>
          <w:kern w:val="2"/>
          <w:sz w:val="24"/>
          <w:szCs w:val="24"/>
          <w:lang w:val="en-US" w:eastAsia="zh-CN" w:bidi="ar-SA"/>
        </w:rPr>
        <w:t>。</w:t>
      </w:r>
    </w:p>
    <w:p w14:paraId="4A39B1CE">
      <w:pPr>
        <w:rPr>
          <w:rFonts w:hint="default" w:ascii="Times New Roman" w:hAnsi="Times New Roman" w:eastAsia="宋体" w:cs="Times New Roman"/>
          <w:i w:val="0"/>
          <w:kern w:val="2"/>
          <w:sz w:val="24"/>
          <w:szCs w:val="24"/>
          <w:lang w:val="en-US" w:eastAsia="zh-CN" w:bidi="ar-SA"/>
        </w:rPr>
      </w:pPr>
    </w:p>
    <w:p w14:paraId="7BC6031D">
      <w:pPr>
        <w:ind w:firstLine="240" w:firstLineChars="100"/>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24122"/>
      <w:bookmarkStart w:id="68" w:name="_Toc7794"/>
      <w:bookmarkStart w:id="69" w:name="_Toc15650"/>
      <w:bookmarkStart w:id="70" w:name="_Toc1768"/>
      <w:bookmarkStart w:id="71" w:name="_Toc17524"/>
      <w:bookmarkStart w:id="72" w:name="_Toc76373878"/>
      <w:bookmarkStart w:id="73" w:name="_Toc2072"/>
      <w:bookmarkStart w:id="74" w:name="_Toc4791"/>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22561"/>
      <w:bookmarkStart w:id="79" w:name="_Toc30551"/>
      <w:bookmarkStart w:id="80" w:name="_Toc5959"/>
      <w:bookmarkStart w:id="81" w:name="_Toc14311"/>
      <w:bookmarkStart w:id="82" w:name="_Toc29836"/>
      <w:bookmarkStart w:id="83" w:name="_Toc76373879"/>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2258"/>
      <w:bookmarkStart w:id="89" w:name="_Toc20263"/>
      <w:bookmarkStart w:id="90" w:name="_Toc27893"/>
      <w:bookmarkStart w:id="91" w:name="_Toc12384"/>
      <w:bookmarkStart w:id="92" w:name="_Toc20772"/>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76373886"/>
      <w:bookmarkStart w:id="96" w:name="_Toc23699"/>
      <w:bookmarkStart w:id="97" w:name="_Toc11052"/>
      <w:bookmarkStart w:id="98" w:name="_Toc7115"/>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5535"/>
      <w:bookmarkStart w:id="102" w:name="_Toc26754"/>
      <w:bookmarkStart w:id="103" w:name="_Toc9147"/>
      <w:bookmarkStart w:id="104" w:name="_Toc31293"/>
      <w:bookmarkStart w:id="105" w:name="_Toc19809"/>
      <w:bookmarkStart w:id="106" w:name="_Toc13585"/>
      <w:bookmarkStart w:id="107" w:name="_Toc7637388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16925"/>
      <w:bookmarkStart w:id="109" w:name="_Toc2900"/>
      <w:bookmarkStart w:id="110" w:name="_Toc76373889"/>
      <w:bookmarkStart w:id="111" w:name="_Toc8546"/>
      <w:bookmarkStart w:id="112" w:name="_Toc30068"/>
      <w:bookmarkStart w:id="113" w:name="_Toc5251"/>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26071"/>
      <w:bookmarkStart w:id="118" w:name="_Toc27443"/>
      <w:bookmarkStart w:id="119" w:name="_Toc20034"/>
      <w:bookmarkStart w:id="120" w:name="_Toc11342"/>
      <w:bookmarkStart w:id="121" w:name="_Toc1165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0391"/>
      <w:bookmarkStart w:id="124" w:name="_Toc25199"/>
      <w:bookmarkStart w:id="125" w:name="_Toc10864"/>
      <w:bookmarkStart w:id="126" w:name="_Toc76373891"/>
      <w:bookmarkStart w:id="127" w:name="_Toc27646"/>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975"/>
      <w:bookmarkStart w:id="136" w:name="_Toc20762"/>
      <w:bookmarkStart w:id="137" w:name="_Toc19409"/>
      <w:bookmarkStart w:id="138" w:name="_Toc76373904"/>
      <w:bookmarkStart w:id="139" w:name="_Toc10152"/>
      <w:bookmarkStart w:id="140" w:name="_Toc24088"/>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6373907"/>
      <w:bookmarkStart w:id="142" w:name="_Toc11763"/>
      <w:bookmarkStart w:id="143" w:name="_Toc16112"/>
      <w:bookmarkStart w:id="144" w:name="_Toc12863"/>
      <w:bookmarkStart w:id="145" w:name="_Toc25920"/>
      <w:bookmarkStart w:id="146" w:name="_Toc11892"/>
      <w:bookmarkStart w:id="147" w:name="_Toc775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3094"/>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431"/>
      <w:bookmarkStart w:id="170" w:name="_Toc21830"/>
      <w:bookmarkStart w:id="171" w:name="_Toc27306"/>
      <w:bookmarkStart w:id="172" w:name="_Toc9795"/>
      <w:bookmarkStart w:id="173" w:name="_Toc76373909"/>
      <w:bookmarkStart w:id="174" w:name="_Toc493178790"/>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2721039"/>
      <w:bookmarkStart w:id="179" w:name="_Toc493178791"/>
      <w:bookmarkStart w:id="180" w:name="_Toc16487"/>
      <w:bookmarkStart w:id="181" w:name="_Toc20258"/>
      <w:bookmarkStart w:id="182" w:name="_Toc20875"/>
      <w:bookmarkStart w:id="183" w:name="_Toc76373910"/>
      <w:bookmarkStart w:id="184" w:name="_Toc12647"/>
      <w:bookmarkStart w:id="185" w:name="_Toc41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250"/>
      <w:bookmarkStart w:id="188" w:name="_Toc20605"/>
      <w:bookmarkStart w:id="189" w:name="_Toc19291"/>
      <w:bookmarkStart w:id="190" w:name="_Toc493178793"/>
      <w:bookmarkStart w:id="191" w:name="_Toc492721038"/>
      <w:bookmarkStart w:id="192" w:name="_Toc16151"/>
      <w:bookmarkStart w:id="193" w:name="_Toc8925"/>
      <w:bookmarkStart w:id="194" w:name="_Toc76373912"/>
      <w:bookmarkStart w:id="195" w:name="_Toc6217"/>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96C0F1C">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0FBC9F-59DA-4F0C-BAB5-A63823113FD6}"/>
  </w:font>
  <w:font w:name="黑体">
    <w:panose1 w:val="02010609060101010101"/>
    <w:charset w:val="86"/>
    <w:family w:val="auto"/>
    <w:pitch w:val="default"/>
    <w:sig w:usb0="800002BF" w:usb1="38CF7CFA" w:usb2="00000016" w:usb3="00000000" w:csb0="00040001" w:csb1="00000000"/>
    <w:embedRegular r:id="rId2" w:fontKey="{A1EF34AC-6568-4372-995B-2EEF8A34E1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01B07BE7-32D4-4503-B53C-5713E601D05E}"/>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2516DC02-09DF-47C3-9E86-12F33BD6DE2B}"/>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4CBA3245-ED8F-4ACD-95E4-9BDB08AE62CA}"/>
  </w:font>
  <w:font w:name="方正黑体_GBK">
    <w:panose1 w:val="03000509000000000000"/>
    <w:charset w:val="86"/>
    <w:family w:val="script"/>
    <w:pitch w:val="default"/>
    <w:sig w:usb0="00000001" w:usb1="080E0000" w:usb2="00000000" w:usb3="00000000" w:csb0="00040000" w:csb1="00000000"/>
    <w:embedRegular r:id="rId6" w:fontKey="{49FEF520-5C98-4AA4-A119-E60B5CC04B09}"/>
  </w:font>
  <w:font w:name="方正小标宋_GBK">
    <w:panose1 w:val="03000509000000000000"/>
    <w:charset w:val="86"/>
    <w:family w:val="script"/>
    <w:pitch w:val="default"/>
    <w:sig w:usb0="00000001" w:usb1="080E0000" w:usb2="00000000" w:usb3="00000000" w:csb0="00040000" w:csb1="00000000"/>
    <w:embedRegular r:id="rId7" w:fontKey="{02D6FF82-951E-43A8-B458-E3BD090DD590}"/>
  </w:font>
  <w:font w:name="微软雅黑">
    <w:panose1 w:val="020B0503020204020204"/>
    <w:charset w:val="86"/>
    <w:family w:val="swiss"/>
    <w:pitch w:val="default"/>
    <w:sig w:usb0="80000287" w:usb1="2ACF3C50" w:usb2="00000016" w:usb3="00000000" w:csb0="0004001F" w:csb1="00000000"/>
    <w:embedRegular r:id="rId8" w:fontKey="{72ECCDE8-E955-4C86-986C-EEDC0CFD9A46}"/>
  </w:font>
  <w:font w:name="仿宋">
    <w:panose1 w:val="02010609060101010101"/>
    <w:charset w:val="86"/>
    <w:family w:val="modern"/>
    <w:pitch w:val="default"/>
    <w:sig w:usb0="800002BF" w:usb1="38CF7CFA" w:usb2="00000016" w:usb3="00000000" w:csb0="00040001" w:csb1="00000000"/>
    <w:embedRegular r:id="rId9" w:fontKey="{990AC0B1-4994-40F1-B319-B445EA04C98C}"/>
  </w:font>
  <w:font w:name="楷体">
    <w:panose1 w:val="02010609060101010101"/>
    <w:charset w:val="86"/>
    <w:family w:val="modern"/>
    <w:pitch w:val="default"/>
    <w:sig w:usb0="800002BF" w:usb1="38CF7CFA" w:usb2="00000016" w:usb3="00000000" w:csb0="00040001" w:csb1="00000000"/>
    <w:embedRegular r:id="rId10" w:fontKey="{3299F2A7-A7B1-4F4C-888C-77BC68DDB9EB}"/>
  </w:font>
  <w:font w:name="WPSEMBED69">
    <w:panose1 w:val="03000509000000000000"/>
    <w:charset w:val="86"/>
    <w:family w:val="auto"/>
    <w:pitch w:val="default"/>
    <w:sig w:usb0="00000001" w:usb1="080E0000" w:usb2="00000000" w:usb3="00000000" w:csb0="00040000" w:csb1="00000000"/>
  </w:font>
  <w:font w:name="WPSEMBED7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D30802"/>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C08EB"/>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0F5532"/>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2289</Words>
  <Characters>2350</Characters>
  <Lines>101</Lines>
  <Paragraphs>28</Paragraphs>
  <TotalTime>0</TotalTime>
  <ScaleCrop>false</ScaleCrop>
  <LinksUpToDate>false</LinksUpToDate>
  <CharactersWithSpaces>2439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2025-11-21T07:32:32Z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