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13868"/>
      <w:bookmarkStart w:id="2" w:name="_Toc1304"/>
      <w:bookmarkStart w:id="3" w:name="_Toc76373863"/>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76373864"/>
      <w:bookmarkStart w:id="9" w:name="_Toc22435"/>
      <w:bookmarkStart w:id="10" w:name="_Toc28264"/>
      <w:bookmarkStart w:id="11" w:name="_Toc5909"/>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4A5E711C">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一次性使用导尿包</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彭氏多功能手术解剖器（电凝切割器）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吸收性明胶海绵</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一次性使用医用皮肤记号笔</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一次性使用多通路旋塞阀</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5838"/>
            <w:bookmarkStart w:id="15" w:name="_Toc18060"/>
            <w:bookmarkStart w:id="16" w:name="_Toc22707"/>
            <w:bookmarkStart w:id="17" w:name="_Toc22129"/>
            <w:bookmarkStart w:id="18" w:name="_Toc76373865"/>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一次性使用导尿包</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麻醉科手术室、中医结合科、肾病中心、海扶、消化内科、神经内科、神经外科、老年，肝胆、肾内科、胃肠、胸外、血管</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彭氏多功能手术解剖器（电凝切割器）</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w:t>
            </w:r>
          </w:p>
        </w:tc>
        <w:tc>
          <w:tcPr>
            <w:tcW w:w="1594" w:type="dxa"/>
            <w:noWrap w:val="0"/>
            <w:vAlign w:val="center"/>
          </w:tcPr>
          <w:p w14:paraId="7CCBFB15">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麻醉、胃肠、肝胆</w:t>
            </w: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shd w:val="clear" w:color="auto" w:fill="auto"/>
            <w:noWrap w:val="0"/>
            <w:vAlign w:val="center"/>
          </w:tcPr>
          <w:p w14:paraId="6988E8AE">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吸收性明胶海绵</w:t>
            </w:r>
          </w:p>
        </w:tc>
        <w:tc>
          <w:tcPr>
            <w:tcW w:w="1327" w:type="dxa"/>
            <w:noWrap w:val="0"/>
            <w:vAlign w:val="center"/>
          </w:tcPr>
          <w:p w14:paraId="01D4D23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FCFBBF5">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w:t>
            </w:r>
          </w:p>
        </w:tc>
        <w:tc>
          <w:tcPr>
            <w:tcW w:w="1594" w:type="dxa"/>
            <w:noWrap w:val="0"/>
            <w:vAlign w:val="center"/>
          </w:tcPr>
          <w:p w14:paraId="515F2D91">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麻醉、肾病中心、耳鼻喉、血液</w:t>
            </w:r>
          </w:p>
        </w:tc>
      </w:tr>
      <w:tr w14:paraId="0677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CBB657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72A5C6D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一次性使用医用皮肤记号笔</w:t>
            </w:r>
          </w:p>
        </w:tc>
        <w:tc>
          <w:tcPr>
            <w:tcW w:w="1327" w:type="dxa"/>
            <w:noWrap w:val="0"/>
            <w:vAlign w:val="center"/>
          </w:tcPr>
          <w:p w14:paraId="74D8B6A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FBFF5F3">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w:t>
            </w:r>
          </w:p>
        </w:tc>
        <w:tc>
          <w:tcPr>
            <w:tcW w:w="1594" w:type="dxa"/>
            <w:noWrap w:val="0"/>
            <w:vAlign w:val="center"/>
          </w:tcPr>
          <w:p w14:paraId="1D1C178F">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麻醉科</w:t>
            </w:r>
            <w:r>
              <w:rPr>
                <w:rFonts w:hint="eastAsia" w:cs="Times New Roman"/>
                <w:color w:val="000000"/>
                <w:kern w:val="2"/>
                <w:sz w:val="24"/>
                <w:szCs w:val="24"/>
                <w:lang w:val="en-US" w:eastAsia="zh-CN" w:bidi="ar-SA"/>
              </w:rPr>
              <w:t>手术室</w:t>
            </w:r>
          </w:p>
        </w:tc>
      </w:tr>
      <w:tr w14:paraId="323E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8E6249B">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187CC933">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一次性使用多通路旋塞阀</w:t>
            </w:r>
          </w:p>
        </w:tc>
        <w:tc>
          <w:tcPr>
            <w:tcW w:w="1327" w:type="dxa"/>
            <w:noWrap w:val="0"/>
            <w:vAlign w:val="center"/>
          </w:tcPr>
          <w:p w14:paraId="07CFC04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5D1D9E7">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w:t>
            </w:r>
          </w:p>
        </w:tc>
        <w:tc>
          <w:tcPr>
            <w:tcW w:w="1594" w:type="dxa"/>
            <w:noWrap w:val="0"/>
            <w:vAlign w:val="center"/>
          </w:tcPr>
          <w:p w14:paraId="3CD16F6C">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麻醉科</w:t>
            </w:r>
            <w:r>
              <w:rPr>
                <w:rFonts w:hint="eastAsia" w:cs="Times New Roman"/>
                <w:color w:val="000000"/>
                <w:kern w:val="2"/>
                <w:sz w:val="24"/>
                <w:szCs w:val="24"/>
                <w:lang w:val="en-US" w:eastAsia="zh-CN" w:bidi="ar-SA"/>
              </w:rPr>
              <w:t>手术室</w:t>
            </w:r>
            <w:r>
              <w:rPr>
                <w:rFonts w:hint="eastAsia" w:ascii="Times New Roman" w:hAnsi="Times New Roman" w:eastAsia="宋体" w:cs="Times New Roman"/>
                <w:color w:val="000000"/>
                <w:kern w:val="2"/>
                <w:sz w:val="24"/>
                <w:szCs w:val="24"/>
                <w:lang w:val="en-US" w:eastAsia="zh-CN" w:bidi="ar-SA"/>
              </w:rPr>
              <w:t>、乳腺、妇科、泌尿</w:t>
            </w:r>
            <w:r>
              <w:rPr>
                <w:rFonts w:hint="eastAsia" w:cs="Times New Roman"/>
                <w:color w:val="000000"/>
                <w:kern w:val="2"/>
                <w:sz w:val="24"/>
                <w:szCs w:val="24"/>
                <w:lang w:val="en-US" w:eastAsia="zh-CN" w:bidi="ar-SA"/>
              </w:rPr>
              <w:t>外科</w:t>
            </w:r>
            <w:r>
              <w:rPr>
                <w:rFonts w:hint="eastAsia" w:ascii="Times New Roman" w:hAnsi="Times New Roman" w:eastAsia="宋体" w:cs="Times New Roman"/>
                <w:color w:val="000000"/>
                <w:kern w:val="2"/>
                <w:sz w:val="24"/>
                <w:szCs w:val="24"/>
                <w:lang w:val="en-US" w:eastAsia="zh-CN" w:bidi="ar-SA"/>
              </w:rPr>
              <w:t>、肾病中心、神外、肝胆</w:t>
            </w:r>
            <w:r>
              <w:rPr>
                <w:rFonts w:hint="eastAsia" w:cs="Times New Roman"/>
                <w:color w:val="000000"/>
                <w:kern w:val="2"/>
                <w:sz w:val="24"/>
                <w:szCs w:val="24"/>
                <w:lang w:val="en-US" w:eastAsia="zh-CN" w:bidi="ar-SA"/>
              </w:rPr>
              <w:t>外科</w:t>
            </w:r>
            <w:r>
              <w:rPr>
                <w:rFonts w:hint="eastAsia" w:ascii="Times New Roman" w:hAnsi="Times New Roman" w:eastAsia="宋体" w:cs="Times New Roman"/>
                <w:color w:val="000000"/>
                <w:kern w:val="2"/>
                <w:sz w:val="24"/>
                <w:szCs w:val="24"/>
                <w:lang w:val="en-US" w:eastAsia="zh-CN" w:bidi="ar-SA"/>
              </w:rPr>
              <w:t>、胃肠、胸外、血管</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79E3E0ED">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bookmarkStart w:id="197" w:name="_GoBack"/>
      <w:bookmarkEnd w:id="197"/>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0358"/>
      <w:bookmarkStart w:id="20" w:name="_Toc25496"/>
      <w:bookmarkStart w:id="21" w:name="_Toc10137"/>
      <w:bookmarkStart w:id="22" w:name="_Toc3434"/>
      <w:bookmarkStart w:id="23" w:name="_Toc26504"/>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28099"/>
      <w:bookmarkStart w:id="31" w:name="_Toc7527"/>
      <w:bookmarkStart w:id="32" w:name="_Toc187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麻醉科手术室包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麻醉科手术室</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麻醉科手术室</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麻醉科手术室</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25272"/>
      <w:bookmarkStart w:id="45" w:name="_Toc9714"/>
      <w:bookmarkStart w:id="46" w:name="_Toc76373872"/>
      <w:bookmarkStart w:id="47" w:name="_Toc1422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3153"/>
      <w:bookmarkStart w:id="53" w:name="_Toc76373874"/>
      <w:bookmarkStart w:id="54" w:name="_Toc2599"/>
      <w:bookmarkStart w:id="55" w:name="_Toc114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29620"/>
      <w:bookmarkStart w:id="60" w:name="_Toc29225"/>
      <w:bookmarkStart w:id="61" w:name="_Toc30465"/>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7F07148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产品组成：导尿包应为独立、无菌、一次性使用产品。基本配置必须完整，至少包含但不限于以下组件：导尿管（硅胶、乳胶覆涂层或PVC材质），无菌注射用水，消毒液棉球/棉签，无菌润滑剂，无菌孔巾，无菌手套，无菌纱布块，无菌镊子，无菌弯盘/治疗碗，尿袋（带悬挂孔和排液阀，容量≥2000ml），防水垫单。</w:t>
      </w:r>
    </w:p>
    <w:p w14:paraId="06C5521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2.导尿管：材质提供可选硅胶、乳胶（含亲水涂层/PVP涂层）或医用级PVC。材质应光滑、柔软，具有良好的生物相容性。球囊应完整、无泄漏。提供多种规格供选择。</w:t>
      </w:r>
    </w:p>
    <w:p w14:paraId="6947BC1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3.集尿袋，容量≥2000ml，带有精确刻度，须具有防尿液逆流装置，以降低泌尿系逆行感染的风险。医用级PVC，无毒、无味，具有良好的透明度。</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4.消毒液所含碘伏等消毒剂成分，浓度应符合国家相关标准。润滑剂为无菌、单剂量包装的水溶性润滑剂</w:t>
      </w:r>
      <w:r>
        <w:rPr>
          <w:rFonts w:hint="default" w:ascii="Times New Roman" w:hAnsi="Times New Roman" w:eastAsia="宋体" w:cs="Times New Roman"/>
          <w:i w:val="0"/>
          <w:kern w:val="2"/>
          <w:sz w:val="24"/>
          <w:szCs w:val="24"/>
          <w:lang w:val="en-US" w:eastAsia="zh-CN" w:bidi="ar-SA"/>
        </w:rPr>
        <w:t>。</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6F35E20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规格包括：伸缩型，腔镜型，光源型，刮吸型，双极型</w:t>
      </w:r>
    </w:p>
    <w:p w14:paraId="4FFB8A3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结构组成：产品由电极，功能管，绝缘管，塑料柄部（可带LED光源灯），手控按钮开关，吸引管接头，电缆线，插头，特氟龙材料（不粘涂层）组成。</w:t>
      </w:r>
    </w:p>
    <w:p w14:paraId="29CE458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技术要求：</w:t>
      </w:r>
    </w:p>
    <w:p w14:paraId="5AF3B1D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1.伸缩型电极伸缩范围44mm—144mm，可根据手术随时调整电极长度，适应于各科室开放手术</w:t>
      </w:r>
    </w:p>
    <w:p w14:paraId="52187C8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2.伸缩型刀头可360°全角度旋转，临床操作更便利。</w:t>
      </w:r>
    </w:p>
    <w:p w14:paraId="2E31191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3.伸缩型带高科技不粘涂层有效降低刀头温度，防止组织粘连。</w:t>
      </w:r>
    </w:p>
    <w:p w14:paraId="048EF18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4.伸缩型软态金属，可折弯60°，在深部手术提供良好术野。</w:t>
      </w:r>
    </w:p>
    <w:p w14:paraId="6F9C045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5.伸缩型根据临床需求定制绝缘延伸长度，电极杆双层绝缘，在深部手术中保护组织，避免意外伤害。</w:t>
      </w:r>
    </w:p>
    <w:p w14:paraId="6B68BEA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6.腔镜型型号齐全,可定制钩头和工作电极杆,工作电极杆长度包括但不限于185mm</w:t>
      </w:r>
      <w:r>
        <w:rPr>
          <w:rFonts w:hint="eastAsia" w:cs="Times New Roman"/>
          <w:sz w:val="24"/>
          <w:szCs w:val="24"/>
          <w:lang w:val="en-US" w:eastAsia="zh-CN"/>
        </w:rPr>
        <w:t>，</w:t>
      </w:r>
      <w:r>
        <w:rPr>
          <w:rFonts w:hint="eastAsia" w:ascii="Times New Roman" w:eastAsia="宋体" w:cs="Times New Roman"/>
          <w:sz w:val="24"/>
          <w:szCs w:val="24"/>
          <w:lang w:val="en-US" w:eastAsia="zh-CN"/>
        </w:rPr>
        <w:t>260mm</w:t>
      </w:r>
      <w:r>
        <w:rPr>
          <w:rFonts w:hint="eastAsia" w:cs="Times New Roman"/>
          <w:sz w:val="24"/>
          <w:szCs w:val="24"/>
          <w:lang w:val="en-US" w:eastAsia="zh-CN"/>
        </w:rPr>
        <w:t>，</w:t>
      </w:r>
      <w:r>
        <w:rPr>
          <w:rFonts w:hint="eastAsia" w:ascii="Times New Roman" w:eastAsia="宋体" w:cs="Times New Roman"/>
          <w:sz w:val="24"/>
          <w:szCs w:val="24"/>
          <w:lang w:val="en-US" w:eastAsia="zh-CN"/>
        </w:rPr>
        <w:t>330mm，适应各种手术；电极杆双层绝缘包裹</w:t>
      </w:r>
      <w:r>
        <w:rPr>
          <w:rFonts w:hint="eastAsia" w:cs="Times New Roman"/>
          <w:sz w:val="24"/>
          <w:szCs w:val="24"/>
          <w:lang w:val="en-US" w:eastAsia="zh-CN"/>
        </w:rPr>
        <w:t>，</w:t>
      </w:r>
      <w:r>
        <w:rPr>
          <w:rFonts w:hint="eastAsia" w:ascii="Times New Roman" w:eastAsia="宋体" w:cs="Times New Roman"/>
          <w:sz w:val="24"/>
          <w:szCs w:val="24"/>
          <w:lang w:val="en-US" w:eastAsia="zh-CN"/>
        </w:rPr>
        <w:t>术中提供更安全的保护。</w:t>
      </w:r>
    </w:p>
    <w:p w14:paraId="797FAA3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7.腔镜型独特设计的45°斜口功能管可实现深部手术的刮、耙、推、拨等精细解剖功能，操作时配合适当的吸引功能，使术中视野清晰，操作流畅。</w:t>
      </w:r>
    </w:p>
    <w:p w14:paraId="4E9D446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8.腔镜型电极杆可伸缩，可折弯，方便术中各个部位手术。</w:t>
      </w:r>
    </w:p>
    <w:p w14:paraId="1472245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9.光源型具有双灯珠冷光源，组织照明没色差</w:t>
      </w:r>
      <w:r>
        <w:rPr>
          <w:rFonts w:hint="eastAsia" w:cs="Times New Roman"/>
          <w:sz w:val="24"/>
          <w:szCs w:val="24"/>
          <w:lang w:val="en-US" w:eastAsia="zh-CN"/>
        </w:rPr>
        <w:t>；</w:t>
      </w:r>
      <w:r>
        <w:rPr>
          <w:rFonts w:hint="eastAsia" w:ascii="Times New Roman" w:eastAsia="宋体" w:cs="Times New Roman"/>
          <w:sz w:val="24"/>
          <w:szCs w:val="24"/>
          <w:lang w:val="en-US" w:eastAsia="zh-CN"/>
        </w:rPr>
        <w:t>USB接口可单独低压供电，保证持续稳定光源，光照度指标应不低于1000勒克斯。</w:t>
      </w:r>
    </w:p>
    <w:p w14:paraId="4972673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10.刮吸型刀头可伸缩，集分离，刮除，吸引，电凝于一体，手术进程中不必频繁更换器械。</w:t>
      </w:r>
    </w:p>
    <w:p w14:paraId="0552595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11.双极型产品镊尖采用特殊材质与工艺处理，防粘性能优，具有独特的镊尖角度5°，可保证电切效果，组织切割更加轻快、锐利。</w:t>
      </w:r>
    </w:p>
    <w:p w14:paraId="5F6A855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12.双极型产品拥有枪型、直型两种设计，能适用于不同专科手术需求；产品双内侧滴水，镊尖尺寸、镊子长度可多种选择，同时满足医院需求。</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13.拥有多功能手术解剖器专利证书，拥有FDA</w:t>
      </w:r>
      <w:r>
        <w:rPr>
          <w:rFonts w:hint="eastAsia" w:cs="Times New Roman"/>
          <w:sz w:val="24"/>
          <w:szCs w:val="24"/>
          <w:lang w:val="en-US" w:eastAsia="zh-CN"/>
        </w:rPr>
        <w:t>，</w:t>
      </w:r>
      <w:r>
        <w:rPr>
          <w:rFonts w:hint="eastAsia" w:ascii="Times New Roman" w:eastAsia="宋体" w:cs="Times New Roman"/>
          <w:sz w:val="24"/>
          <w:szCs w:val="24"/>
          <w:lang w:val="en-US" w:eastAsia="zh-CN"/>
        </w:rPr>
        <w:t>CE认证‌</w:t>
      </w:r>
      <w:r>
        <w:rPr>
          <w:rFonts w:hint="default" w:ascii="Times New Roman" w:hAnsi="Times New Roman" w:eastAsia="宋体" w:cs="Times New Roman"/>
          <w:i w:val="0"/>
          <w:kern w:val="2"/>
          <w:sz w:val="24"/>
          <w:szCs w:val="24"/>
          <w:lang w:val="en-US" w:eastAsia="zh-CN" w:bidi="ar-SA"/>
        </w:rPr>
        <w:t>。</w:t>
      </w:r>
    </w:p>
    <w:p w14:paraId="19BDD8BB">
      <w:pPr>
        <w:pStyle w:val="2"/>
        <w:rPr>
          <w:rFonts w:hint="default"/>
          <w:lang w:val="en-US" w:eastAsia="zh-CN"/>
        </w:rPr>
      </w:pPr>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4C04AAC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1.本产品供创口渗血区止血、急救止血和手术止血使用。</w:t>
      </w:r>
    </w:p>
    <w:p w14:paraId="519B913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2.采用来源于猪皮为原料的药用明胶、经打泡、固化、干燥、灭菌等工艺制成；产品微胶原蛋白制品，蛋白质含量大于85%</w:t>
      </w:r>
      <w:r>
        <w:rPr>
          <w:rFonts w:hint="eastAsia" w:cs="Times New Roman"/>
          <w:i w:val="0"/>
          <w:kern w:val="2"/>
          <w:sz w:val="24"/>
          <w:szCs w:val="24"/>
          <w:lang w:val="en-US" w:eastAsia="zh-CN" w:bidi="ar-SA"/>
        </w:rPr>
        <w:t>。</w:t>
      </w:r>
    </w:p>
    <w:p w14:paraId="2DF87DE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3.产品为白色或微黄色、质地柔软、多孔的海绵块。具有均匀的多孔结构，吸水后能迅速软化，并可被均匀地拉伸或塑形以适应创面。</w:t>
      </w:r>
    </w:p>
    <w:p w14:paraId="223AAB4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4.提供多种规格，以满足不同的需求。</w:t>
      </w:r>
    </w:p>
    <w:p w14:paraId="4B1E381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5.吸水能力强，吸水速度快。</w:t>
      </w:r>
    </w:p>
    <w:p w14:paraId="23504259">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6.产品在接触创面后，应能通过提供物理支架和激活血小板，促进凝血块形成，从而达到快速止血的效果</w:t>
      </w:r>
      <w:r>
        <w:rPr>
          <w:rFonts w:hint="eastAsia" w:cs="Times New Roman"/>
          <w:i w:val="0"/>
          <w:kern w:val="2"/>
          <w:sz w:val="24"/>
          <w:szCs w:val="24"/>
          <w:lang w:val="en-US" w:eastAsia="zh-CN" w:bidi="ar-SA"/>
        </w:rPr>
        <w:t>。</w:t>
      </w:r>
    </w:p>
    <w:p w14:paraId="42F988B6">
      <w:pPr>
        <w:spacing w:line="320" w:lineRule="exact"/>
        <w:ind w:left="478" w:leftChars="85" w:hanging="240" w:hangingChars="100"/>
        <w:rPr>
          <w:rFonts w:hint="eastAsia" w:cs="Times New Roman"/>
          <w:i w:val="0"/>
          <w:kern w:val="2"/>
          <w:sz w:val="24"/>
          <w:szCs w:val="24"/>
          <w:lang w:val="en-US" w:eastAsia="zh-CN" w:bidi="ar-SA"/>
        </w:rPr>
      </w:pPr>
    </w:p>
    <w:p w14:paraId="71652892">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66908F1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1.主要用于手术前皮肤切口的标记、定位等。</w:t>
      </w:r>
    </w:p>
    <w:p w14:paraId="7F5D0B6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2.单支独立无菌包装，确保开封前处于无菌状态。</w:t>
      </w:r>
    </w:p>
    <w:p w14:paraId="426821A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3.笔头可为纤维笔头、滚珠笔头或其他等效设计。笔头粗细应适中，能画出清晰、精准的细线。</w:t>
      </w:r>
    </w:p>
    <w:p w14:paraId="1D5E163B">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4.墨水应为专用医用级墨水，无毒、无刺激性。墨水颜色应鲜艳醒目，与皮肤颜色有高对比度，提供黑色、蓝色、深紫色等供选择。墨水速干性，持久性和抗擦拭性，术后可清洗性</w:t>
      </w:r>
      <w:r>
        <w:rPr>
          <w:rFonts w:hint="eastAsia" w:cs="Times New Roman"/>
          <w:i w:val="0"/>
          <w:kern w:val="2"/>
          <w:sz w:val="24"/>
          <w:szCs w:val="24"/>
          <w:lang w:val="en-US" w:eastAsia="zh-CN" w:bidi="ar-SA"/>
        </w:rPr>
        <w:t>。</w:t>
      </w:r>
    </w:p>
    <w:p w14:paraId="38518F02">
      <w:pPr>
        <w:pStyle w:val="2"/>
        <w:rPr>
          <w:rFonts w:hint="default"/>
          <w:lang w:val="en-US" w:eastAsia="zh-CN"/>
        </w:rPr>
      </w:pPr>
    </w:p>
    <w:p w14:paraId="05D338CB">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24B926C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1.应采用透明或半透明的医用级高分子材料（如聚碳酸酯-PC、聚丙烯-PP等），便于观察内部液体及是否有气泡。</w:t>
      </w:r>
    </w:p>
    <w:p w14:paraId="3A2D4CD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2.阀芯密封圈应采用医用级硅胶或其他具有良好弹性、耐腐蚀、耐老化的材料，确保密封性。</w:t>
      </w:r>
    </w:p>
    <w:p w14:paraId="2B4B5A5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3.提供多种通路供选择，包括但不限于三通、四通，端口须符合ISO 80369-7标准或与之兼容的鲁尔接头标准。</w:t>
      </w:r>
    </w:p>
    <w:p w14:paraId="38BA5CD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4.阀芯旋转应灵活、顺畅，定位清晰、准确，手感明确。产品有一定的耐压性。</w:t>
      </w:r>
    </w:p>
    <w:p w14:paraId="18D8F87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5.单只独立无菌包装</w:t>
      </w:r>
      <w:r>
        <w:rPr>
          <w:rFonts w:hint="eastAsia" w:cs="Times New Roman"/>
          <w:i w:val="0"/>
          <w:kern w:val="2"/>
          <w:sz w:val="24"/>
          <w:szCs w:val="24"/>
          <w:lang w:val="en-US" w:eastAsia="zh-CN" w:bidi="ar-SA"/>
        </w:rPr>
        <w:t>。</w:t>
      </w:r>
    </w:p>
    <w:p w14:paraId="4F219D6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31843"/>
      <w:bookmarkStart w:id="68" w:name="_Toc4791"/>
      <w:bookmarkStart w:id="69" w:name="_Toc1768"/>
      <w:bookmarkStart w:id="70" w:name="_Toc24122"/>
      <w:bookmarkStart w:id="71" w:name="_Toc17944"/>
      <w:bookmarkStart w:id="72" w:name="_Toc76373878"/>
      <w:bookmarkStart w:id="73" w:name="_Toc17524"/>
      <w:bookmarkStart w:id="74" w:name="_Toc2072"/>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29836"/>
      <w:bookmarkStart w:id="80" w:name="_Toc5959"/>
      <w:bookmarkStart w:id="81" w:name="_Toc76373879"/>
      <w:bookmarkStart w:id="82" w:name="_Toc9339"/>
      <w:bookmarkStart w:id="83" w:name="_Toc2256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12384"/>
      <w:bookmarkStart w:id="88" w:name="_Toc76373885"/>
      <w:bookmarkStart w:id="89" w:name="_Toc27737"/>
      <w:bookmarkStart w:id="90" w:name="_Toc20772"/>
      <w:bookmarkStart w:id="91" w:name="_Toc20263"/>
      <w:bookmarkStart w:id="92" w:name="_Toc2258"/>
      <w:bookmarkStart w:id="93" w:name="_Toc2789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11052"/>
      <w:bookmarkStart w:id="96" w:name="_Toc23699"/>
      <w:bookmarkStart w:id="97" w:name="_Toc7115"/>
      <w:bookmarkStart w:id="98" w:name="_Toc12712"/>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26754"/>
      <w:bookmarkStart w:id="102" w:name="_Toc5535"/>
      <w:bookmarkStart w:id="103" w:name="_Toc13585"/>
      <w:bookmarkStart w:id="104" w:name="_Toc76373887"/>
      <w:bookmarkStart w:id="105" w:name="_Toc9147"/>
      <w:bookmarkStart w:id="106" w:name="_Toc19809"/>
      <w:bookmarkStart w:id="107" w:name="_Toc31293"/>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2900"/>
      <w:bookmarkStart w:id="109" w:name="_Toc16925"/>
      <w:bookmarkStart w:id="110" w:name="_Toc30068"/>
      <w:bookmarkStart w:id="111" w:name="_Toc76373889"/>
      <w:bookmarkStart w:id="112" w:name="_Toc5251"/>
      <w:bookmarkStart w:id="113" w:name="_Toc8546"/>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342"/>
      <w:bookmarkStart w:id="117" w:name="_Toc11654"/>
      <w:bookmarkStart w:id="118" w:name="_Toc20034"/>
      <w:bookmarkStart w:id="119" w:name="_Toc26071"/>
      <w:bookmarkStart w:id="120" w:name="_Toc27443"/>
      <w:bookmarkStart w:id="121" w:name="_Toc76373890"/>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76373891"/>
      <w:bookmarkStart w:id="125" w:name="_Toc10864"/>
      <w:bookmarkStart w:id="126" w:name="_Toc25199"/>
      <w:bookmarkStart w:id="127" w:name="_Toc27646"/>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975"/>
      <w:bookmarkStart w:id="136" w:name="_Toc19409"/>
      <w:bookmarkStart w:id="137" w:name="_Toc24088"/>
      <w:bookmarkStart w:id="138" w:name="_Toc10152"/>
      <w:bookmarkStart w:id="139" w:name="_Toc76373904"/>
      <w:bookmarkStart w:id="140" w:name="_Toc2076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25920"/>
      <w:bookmarkStart w:id="142" w:name="_Toc11763"/>
      <w:bookmarkStart w:id="143" w:name="_Toc12863"/>
      <w:bookmarkStart w:id="144" w:name="_Toc16112"/>
      <w:bookmarkStart w:id="145" w:name="_Toc76373907"/>
      <w:bookmarkStart w:id="146" w:name="_Toc11892"/>
      <w:bookmarkStart w:id="147" w:name="_Toc775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3094"/>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21431"/>
      <w:bookmarkStart w:id="171" w:name="_Toc21830"/>
      <w:bookmarkStart w:id="172" w:name="_Toc493178790"/>
      <w:bookmarkStart w:id="173" w:name="_Toc76373909"/>
      <w:bookmarkStart w:id="174" w:name="_Toc27306"/>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875"/>
      <w:bookmarkStart w:id="179" w:name="_Toc492721039"/>
      <w:bookmarkStart w:id="180" w:name="_Toc411"/>
      <w:bookmarkStart w:id="181" w:name="_Toc493178791"/>
      <w:bookmarkStart w:id="182" w:name="_Toc76373910"/>
      <w:bookmarkStart w:id="183" w:name="_Toc12647"/>
      <w:bookmarkStart w:id="184" w:name="_Toc20258"/>
      <w:bookmarkStart w:id="185" w:name="_Toc1648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16151"/>
      <w:bookmarkStart w:id="188" w:name="_Toc6217"/>
      <w:bookmarkStart w:id="189" w:name="_Toc8925"/>
      <w:bookmarkStart w:id="190" w:name="_Toc492721038"/>
      <w:bookmarkStart w:id="191" w:name="_Toc20605"/>
      <w:bookmarkStart w:id="192" w:name="_Toc76373912"/>
      <w:bookmarkStart w:id="193" w:name="_Toc4250"/>
      <w:bookmarkStart w:id="194" w:name="_Toc19291"/>
      <w:bookmarkStart w:id="195" w:name="_Toc493178793"/>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3AD2F5D9">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A8D3DF-91FE-417E-9AB7-AE9534F7F0D5}"/>
  </w:font>
  <w:font w:name="黑体">
    <w:panose1 w:val="02010609060101010101"/>
    <w:charset w:val="86"/>
    <w:family w:val="auto"/>
    <w:pitch w:val="default"/>
    <w:sig w:usb0="800002BF" w:usb1="38CF7CFA" w:usb2="00000016" w:usb3="00000000" w:csb0="00040001" w:csb1="00000000"/>
    <w:embedRegular r:id="rId2" w:fontKey="{08C073F7-A1A1-47B3-BA6F-6A217914D1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CE58F781-8AC2-4FA1-8EC4-445091EA801E}"/>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C422CB57-7B64-4348-BECE-C49206898B42}"/>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F49D71EC-7B52-4049-850A-9921FDDBAD25}"/>
  </w:font>
  <w:font w:name="方正黑体_GBK">
    <w:panose1 w:val="03000509000000000000"/>
    <w:charset w:val="86"/>
    <w:family w:val="script"/>
    <w:pitch w:val="default"/>
    <w:sig w:usb0="00000001" w:usb1="080E0000" w:usb2="00000000" w:usb3="00000000" w:csb0="00040000" w:csb1="00000000"/>
    <w:embedRegular r:id="rId6" w:fontKey="{287C8AE2-FDFF-4E8C-81CB-285604CDF282}"/>
  </w:font>
  <w:font w:name="方正小标宋_GBK">
    <w:panose1 w:val="03000509000000000000"/>
    <w:charset w:val="86"/>
    <w:family w:val="script"/>
    <w:pitch w:val="default"/>
    <w:sig w:usb0="00000001" w:usb1="080E0000" w:usb2="00000000" w:usb3="00000000" w:csb0="00040000" w:csb1="00000000"/>
    <w:embedRegular r:id="rId7" w:fontKey="{EEFBCAE8-9863-4EE2-B600-14BB2DA0EE11}"/>
  </w:font>
  <w:font w:name="微软雅黑">
    <w:panose1 w:val="020B0503020204020204"/>
    <w:charset w:val="86"/>
    <w:family w:val="swiss"/>
    <w:pitch w:val="default"/>
    <w:sig w:usb0="80000287" w:usb1="2ACF3C50" w:usb2="00000016" w:usb3="00000000" w:csb0="0004001F" w:csb1="00000000"/>
    <w:embedRegular r:id="rId8" w:fontKey="{8143729D-5420-4684-B4D1-558F04F4E4B0}"/>
  </w:font>
  <w:font w:name="仿宋">
    <w:panose1 w:val="02010609060101010101"/>
    <w:charset w:val="86"/>
    <w:family w:val="modern"/>
    <w:pitch w:val="default"/>
    <w:sig w:usb0="800002BF" w:usb1="38CF7CFA" w:usb2="00000016" w:usb3="00000000" w:csb0="00040001" w:csb1="00000000"/>
    <w:embedRegular r:id="rId9" w:fontKey="{7186C383-E50C-4BF0-9EF7-FA683284A0E4}"/>
  </w:font>
  <w:font w:name="楷体">
    <w:panose1 w:val="02010609060101010101"/>
    <w:charset w:val="86"/>
    <w:family w:val="modern"/>
    <w:pitch w:val="default"/>
    <w:sig w:usb0="800002BF" w:usb1="38CF7CFA" w:usb2="00000016" w:usb3="00000000" w:csb0="00040001" w:csb1="00000000"/>
    <w:embedRegular r:id="rId10" w:fontKey="{88037177-12D9-4CBF-AE07-F35E23F0DA0F}"/>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7A7B86"/>
    <w:rsid w:val="4B837D34"/>
    <w:rsid w:val="4B962957"/>
    <w:rsid w:val="4BB5582F"/>
    <w:rsid w:val="4BD118E0"/>
    <w:rsid w:val="4BDE3E16"/>
    <w:rsid w:val="4BE372DC"/>
    <w:rsid w:val="4BEC2CBC"/>
    <w:rsid w:val="4C125927"/>
    <w:rsid w:val="4CC72D98"/>
    <w:rsid w:val="4CD90133"/>
    <w:rsid w:val="4CE83F1B"/>
    <w:rsid w:val="4D13189E"/>
    <w:rsid w:val="4D5D07CE"/>
    <w:rsid w:val="4D6D08F0"/>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975381"/>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7372</Words>
  <Characters>7585</Characters>
  <Lines>101</Lines>
  <Paragraphs>28</Paragraphs>
  <TotalTime>8</TotalTime>
  <ScaleCrop>false</ScaleCrop>
  <LinksUpToDate>false</LinksUpToDate>
  <CharactersWithSpaces>8072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2025-11-25T01:20:41Z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