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31066"/>
      <w:bookmarkStart w:id="3" w:name="_Toc76373863"/>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15376"/>
      <w:bookmarkStart w:id="10" w:name="_Toc76373864"/>
      <w:bookmarkStart w:id="11" w:name="_Toc282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蛋白A免疫吸附柱及其配套溶液；一次性使用血液透析滤过器及配套管路；血液滤过器；血液过滤管路及附件（血液净化装置的体外循环血路）；膜型血浆分离器、膜型血浆成分分离器；血液净化用回路；验证试剂盒、</w:t>
      </w:r>
      <w:bookmarkStart w:id="190" w:name="_GoBack"/>
      <w:bookmarkEnd w:id="190"/>
      <w:r>
        <w:rPr>
          <w:rFonts w:hint="eastAsia" w:cs="Times New Roman"/>
          <w:i w:val="0"/>
          <w:iCs w:val="0"/>
          <w:color w:val="000000"/>
          <w:kern w:val="2"/>
          <w:sz w:val="24"/>
          <w:szCs w:val="24"/>
          <w:u w:val="none"/>
          <w:lang w:val="en-US" w:eastAsia="zh-CN" w:bidi="ar-SA"/>
        </w:rPr>
        <w:t>校准试剂盒、鞘液；输注循环管路套装（肾脏灌注运转箱）</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129"/>
            <w:bookmarkStart w:id="16" w:name="_Toc22707"/>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蛋白A免疫吸附柱及其配套溶液</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一次性使用血液透析滤过器及配套管路</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653A3FF">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泌尿肾病中心、急救部</w:t>
            </w: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血液滤过器</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2549ADA">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3923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41E742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3158169D">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血液过滤管路及附件（血液净化装置的体外循环血路）</w:t>
            </w:r>
          </w:p>
        </w:tc>
        <w:tc>
          <w:tcPr>
            <w:tcW w:w="1327" w:type="dxa"/>
            <w:noWrap w:val="0"/>
            <w:vAlign w:val="center"/>
          </w:tcPr>
          <w:p w14:paraId="2309AF19">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F387205">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1D44EB2">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4AF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39F1BE1">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4FF5CA2E">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膜型血浆分离器、膜型血浆成分分离器</w:t>
            </w:r>
          </w:p>
        </w:tc>
        <w:tc>
          <w:tcPr>
            <w:tcW w:w="1327" w:type="dxa"/>
            <w:noWrap w:val="0"/>
            <w:vAlign w:val="center"/>
          </w:tcPr>
          <w:p w14:paraId="65EE79CB">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0FFAC685">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7EBDF5C9">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5C50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1B85403">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6A2A5F89">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血液净化用回路</w:t>
            </w:r>
          </w:p>
        </w:tc>
        <w:tc>
          <w:tcPr>
            <w:tcW w:w="1327" w:type="dxa"/>
            <w:noWrap w:val="0"/>
            <w:vAlign w:val="center"/>
          </w:tcPr>
          <w:p w14:paraId="0DCAD0A4">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3E828A5">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4A1FECDA">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3D3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5EF8A57">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42C665E9">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验证试剂盒、校准试剂盒、鞘液</w:t>
            </w:r>
          </w:p>
        </w:tc>
        <w:tc>
          <w:tcPr>
            <w:tcW w:w="1327" w:type="dxa"/>
            <w:noWrap w:val="0"/>
            <w:vAlign w:val="center"/>
          </w:tcPr>
          <w:p w14:paraId="7705AC39">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43707F4A">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6AD7D3FD">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r w14:paraId="24EB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09C487F9">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包八</w:t>
            </w:r>
          </w:p>
        </w:tc>
        <w:tc>
          <w:tcPr>
            <w:tcW w:w="2456" w:type="dxa"/>
            <w:noWrap w:val="0"/>
            <w:vAlign w:val="center"/>
          </w:tcPr>
          <w:p w14:paraId="7BEC3DB7">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输注循环管路套装（肾脏灌注运转箱）</w:t>
            </w:r>
          </w:p>
        </w:tc>
        <w:tc>
          <w:tcPr>
            <w:tcW w:w="1327" w:type="dxa"/>
            <w:noWrap w:val="0"/>
            <w:vAlign w:val="center"/>
          </w:tcPr>
          <w:p w14:paraId="7E1D900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035705F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7489C25E">
            <w:pPr>
              <w:widowControl/>
              <w:spacing w:line="400" w:lineRule="exact"/>
              <w:jc w:val="center"/>
              <w:rPr>
                <w:rFonts w:hint="eastAsia" w:ascii="Times New Roman" w:hAnsi="Times New Roman" w:cs="Times New Roman"/>
                <w:color w:val="000000"/>
                <w:sz w:val="24"/>
                <w:szCs w:val="24"/>
                <w:lang w:val="en-US" w:eastAsia="zh-CN"/>
              </w:rPr>
            </w:pPr>
            <w:r>
              <w:rPr>
                <w:rFonts w:hint="eastAsia" w:cs="Times New Roman"/>
                <w:color w:val="000000"/>
                <w:sz w:val="24"/>
                <w:szCs w:val="24"/>
                <w:lang w:val="en-US" w:eastAsia="zh-CN"/>
              </w:rPr>
              <w:t>泌尿肾病中心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10137"/>
      <w:bookmarkStart w:id="21" w:name="_Toc26504"/>
      <w:bookmarkStart w:id="22" w:name="_Toc25496"/>
      <w:bookmarkStart w:id="23" w:name="_Toc30358"/>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28099"/>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泌尿肾病中心包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泌尿肾病中心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泌尿肾病中心包X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泌尿肾病中心包X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3153"/>
      <w:bookmarkStart w:id="53" w:name="_Toc13391"/>
      <w:bookmarkStart w:id="54" w:name="_Toc76373874"/>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76373876"/>
      <w:bookmarkStart w:id="60" w:name="_Toc29620"/>
      <w:bookmarkStart w:id="61" w:name="_Toc30465"/>
      <w:bookmarkStart w:id="62" w:name="_Toc2922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65D1E6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1.用途：移植术前术后排斥反应患者行免疫吸附；</w:t>
      </w:r>
    </w:p>
    <w:p w14:paraId="41CD64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7CAA50B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载体琼脂糖凝胶</w:t>
      </w:r>
      <w:r>
        <w:rPr>
          <w:rFonts w:hint="eastAsia" w:cs="Times New Roman"/>
          <w:sz w:val="24"/>
          <w:szCs w:val="24"/>
          <w:lang w:val="en-US" w:eastAsia="zh-CN"/>
        </w:rPr>
        <w:t>；</w:t>
      </w:r>
    </w:p>
    <w:p w14:paraId="05290B7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吸附剂功能分子Protein A</w:t>
      </w:r>
      <w:r>
        <w:rPr>
          <w:rFonts w:hint="eastAsia" w:cs="Times New Roman"/>
          <w:sz w:val="24"/>
          <w:szCs w:val="24"/>
          <w:lang w:val="en-US" w:eastAsia="zh-CN"/>
        </w:rPr>
        <w:t>；</w:t>
      </w:r>
    </w:p>
    <w:p w14:paraId="45E2B45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单柱填装吸附剂容量≥75 ml</w:t>
      </w:r>
      <w:r>
        <w:rPr>
          <w:rFonts w:hint="eastAsia" w:cs="Times New Roman"/>
          <w:sz w:val="24"/>
          <w:szCs w:val="24"/>
          <w:lang w:val="en-US" w:eastAsia="zh-CN"/>
        </w:rPr>
        <w:t>；</w:t>
      </w:r>
    </w:p>
    <w:p w14:paraId="0925A4C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使用(治疗)次数，仅限单个患者使用10次</w:t>
      </w:r>
      <w:r>
        <w:rPr>
          <w:rFonts w:hint="eastAsia" w:cs="Times New Roman"/>
          <w:sz w:val="24"/>
          <w:szCs w:val="24"/>
          <w:lang w:val="en-US" w:eastAsia="zh-CN"/>
        </w:rPr>
        <w:t>；</w:t>
      </w:r>
    </w:p>
    <w:p w14:paraId="388AAD2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单次循环免疫球蛋白G吸附量≥1.2g lgG</w:t>
      </w:r>
      <w:r>
        <w:rPr>
          <w:rFonts w:hint="eastAsia" w:cs="Times New Roman"/>
          <w:sz w:val="24"/>
          <w:szCs w:val="24"/>
          <w:lang w:val="en-US" w:eastAsia="zh-CN"/>
        </w:rPr>
        <w:t>；</w:t>
      </w:r>
    </w:p>
    <w:p w14:paraId="52E3631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血浆流速30~40ml/min</w:t>
      </w:r>
      <w:r>
        <w:rPr>
          <w:rFonts w:hint="eastAsia" w:cs="Times New Roman"/>
          <w:sz w:val="24"/>
          <w:szCs w:val="24"/>
          <w:lang w:val="en-US" w:eastAsia="zh-CN"/>
        </w:rPr>
        <w:t>；</w:t>
      </w:r>
    </w:p>
    <w:p w14:paraId="1EE7BE1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极限柱压50 kPa</w:t>
      </w:r>
      <w:r>
        <w:rPr>
          <w:rFonts w:hint="eastAsia" w:cs="Times New Roman"/>
          <w:sz w:val="24"/>
          <w:szCs w:val="24"/>
          <w:lang w:val="en-US" w:eastAsia="zh-CN"/>
        </w:rPr>
        <w:t>；</w:t>
      </w:r>
    </w:p>
    <w:p w14:paraId="305A56A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贮存温度2~30℃</w:t>
      </w:r>
      <w:r>
        <w:rPr>
          <w:rFonts w:hint="eastAsia" w:cs="Times New Roman"/>
          <w:sz w:val="24"/>
          <w:szCs w:val="24"/>
          <w:lang w:val="en-US" w:eastAsia="zh-CN"/>
        </w:rPr>
        <w:t>。</w:t>
      </w:r>
    </w:p>
    <w:p w14:paraId="09A0077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3.组成：</w:t>
      </w:r>
    </w:p>
    <w:p w14:paraId="2D34D53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蛋白A免疫吸附柱：KCIA08</w:t>
      </w:r>
      <w:r>
        <w:rPr>
          <w:rFonts w:hint="eastAsia" w:cs="Times New Roman"/>
          <w:sz w:val="24"/>
          <w:szCs w:val="24"/>
          <w:lang w:val="en-US" w:eastAsia="zh-CN"/>
        </w:rPr>
        <w:t>；</w:t>
      </w:r>
    </w:p>
    <w:p w14:paraId="54CFECD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蛋白A免疫吸附柱储存溶液：KCSS</w:t>
      </w:r>
      <w:r>
        <w:rPr>
          <w:rFonts w:hint="eastAsia" w:cs="Times New Roman"/>
          <w:sz w:val="24"/>
          <w:szCs w:val="24"/>
          <w:lang w:val="en-US" w:eastAsia="zh-CN"/>
        </w:rPr>
        <w:t>；</w:t>
      </w:r>
    </w:p>
    <w:p w14:paraId="2CA27B1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蛋白A免疫吸附柱洗脱溶液：KCWS-1000</w:t>
      </w:r>
      <w:r>
        <w:rPr>
          <w:rFonts w:hint="eastAsia" w:cs="Times New Roman"/>
          <w:sz w:val="24"/>
          <w:szCs w:val="24"/>
          <w:lang w:val="en-US" w:eastAsia="zh-CN"/>
        </w:rPr>
        <w:t>；</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蛋白A免疫吸附柱平衡溶液：KCES-1000</w:t>
      </w:r>
      <w:r>
        <w:rPr>
          <w:rFonts w:hint="eastAsia" w:ascii="Times New Roman" w:hAnsi="Times New Roman" w:eastAsia="宋体" w:cs="Times New Roman"/>
          <w:sz w:val="24"/>
          <w:szCs w:val="24"/>
          <w:lang w:val="en-US" w:eastAsia="zh-CN"/>
        </w:rPr>
        <w:t>。</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F93603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1.用途：血液净化用；吸附内毒素和细胞因子</w:t>
      </w:r>
      <w:r>
        <w:rPr>
          <w:rFonts w:hint="eastAsia" w:cs="Times New Roman"/>
          <w:sz w:val="24"/>
          <w:szCs w:val="24"/>
          <w:lang w:val="en-US" w:eastAsia="zh-CN"/>
        </w:rPr>
        <w:t>。</w:t>
      </w:r>
    </w:p>
    <w:p w14:paraId="5414F23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7F4CFB7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产品须适配于连续性血液净化设备（百特金宝，Prismaflex）</w:t>
      </w:r>
      <w:r>
        <w:rPr>
          <w:rFonts w:hint="eastAsia" w:cs="Times New Roman"/>
          <w:sz w:val="24"/>
          <w:szCs w:val="24"/>
          <w:lang w:val="en-US" w:eastAsia="zh-CN"/>
        </w:rPr>
        <w:t>；</w:t>
      </w:r>
    </w:p>
    <w:p w14:paraId="443D083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一体化管路，预先连接，配套内血容量189ml，滤器为AN69 ST空心纤维，滤器内血容量：69ml，膜面积1.5m</w:t>
      </w:r>
      <w:r>
        <w:rPr>
          <w:rFonts w:hint="eastAsia" w:cs="Times New Roman"/>
          <w:sz w:val="24"/>
          <w:szCs w:val="24"/>
          <w:lang w:val="en-US" w:eastAsia="zh-CN"/>
        </w:rPr>
        <w:t>。</w:t>
      </w:r>
    </w:p>
    <w:p w14:paraId="787B46C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3.组成及规格包括：Oxiris set等</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B8375C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1.用途：适用于急性肾衰竭患者进行血液滤过治疗，以纠正患者的体液超负荷、脓毒症和/或电解质紊乱。也可用于清除体内过量液体，如采用利尿剂无效的肺水肿或充血性心力衰竭患者。专机专用。</w:t>
      </w:r>
    </w:p>
    <w:p w14:paraId="1B6680C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2.参数：</w:t>
      </w:r>
    </w:p>
    <w:p w14:paraId="73B6416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一次性使用，灭菌方式：环氧乙烷灭菌。</w:t>
      </w:r>
    </w:p>
    <w:p w14:paraId="49FCCBD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膜材质：聚砜膜；膜面积：1.25㎡，膜孔大小：65000Daltons。</w:t>
      </w:r>
    </w:p>
    <w:p w14:paraId="2FB8C605">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产品性能：QB流速200ml/min</w:t>
      </w:r>
      <w:r>
        <w:rPr>
          <w:rFonts w:hint="eastAsia" w:cs="Times New Roman"/>
          <w:sz w:val="24"/>
          <w:szCs w:val="24"/>
          <w:lang w:val="en-US" w:eastAsia="zh-CN"/>
        </w:rPr>
        <w:t>。</w:t>
      </w:r>
    </w:p>
    <w:p w14:paraId="67B57C2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QD流速133ml/min，</w:t>
      </w:r>
    </w:p>
    <w:p w14:paraId="50CF36BA">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清除率：尿素：102ml/min</w:t>
      </w:r>
    </w:p>
    <w:p w14:paraId="2D4F3C8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eastAsia="宋体" w:cs="Times New Roman"/>
          <w:sz w:val="24"/>
          <w:szCs w:val="24"/>
          <w:lang w:val="en-US" w:eastAsia="zh-CN"/>
        </w:rPr>
        <w:t>维生素B12:71ml/min</w:t>
      </w:r>
    </w:p>
    <w:p w14:paraId="67FF81E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（6）</w:t>
      </w:r>
      <w:r>
        <w:rPr>
          <w:rFonts w:hint="eastAsia" w:ascii="Times New Roman" w:eastAsia="宋体" w:cs="Times New Roman"/>
          <w:sz w:val="24"/>
          <w:szCs w:val="24"/>
          <w:lang w:val="en-US" w:eastAsia="zh-CN"/>
        </w:rPr>
        <w:t>细胞色素C：41ml/min</w:t>
      </w:r>
    </w:p>
    <w:p w14:paraId="4E8EACF8">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（7）</w:t>
      </w:r>
      <w:r>
        <w:rPr>
          <w:rFonts w:hint="eastAsia" w:ascii="Times New Roman" w:eastAsia="宋体" w:cs="Times New Roman"/>
          <w:sz w:val="24"/>
          <w:szCs w:val="24"/>
          <w:lang w:val="en-US" w:eastAsia="zh-CN"/>
        </w:rPr>
        <w:t>血室容量：83ml。</w:t>
      </w:r>
    </w:p>
    <w:p w14:paraId="27EE5F9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（8）</w:t>
      </w:r>
      <w:r>
        <w:rPr>
          <w:rFonts w:hint="eastAsia" w:ascii="Times New Roman" w:eastAsia="宋体" w:cs="Times New Roman"/>
          <w:sz w:val="24"/>
          <w:szCs w:val="24"/>
          <w:lang w:val="en-US" w:eastAsia="zh-CN"/>
        </w:rPr>
        <w:t>最大使用时间：72小时。</w:t>
      </w:r>
    </w:p>
    <w:p w14:paraId="4812450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（9）</w:t>
      </w:r>
      <w:r>
        <w:rPr>
          <w:rFonts w:hint="eastAsia" w:ascii="Times New Roman" w:eastAsia="宋体" w:cs="Times New Roman"/>
          <w:sz w:val="24"/>
          <w:szCs w:val="24"/>
          <w:lang w:val="en-US" w:eastAsia="zh-CN"/>
        </w:rPr>
        <w:t>工艺要求：采用PET工艺，避免纤维丝聚集。</w:t>
      </w:r>
    </w:p>
    <w:p w14:paraId="0C2094C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3.组成：外壳、端盖、中空纤维膜、O型圈、封口胶、头帽组成。膜材料为无甘油聚醚砜膜</w:t>
      </w:r>
      <w:r>
        <w:rPr>
          <w:rFonts w:hint="eastAsia" w:ascii="Times New Roman" w:hAnsi="Times New Roman" w:eastAsia="宋体" w:cs="Times New Roman"/>
          <w:sz w:val="24"/>
          <w:szCs w:val="24"/>
          <w:lang w:val="en-US" w:eastAsia="zh-CN"/>
        </w:rPr>
        <w:t>。</w:t>
      </w:r>
    </w:p>
    <w:p w14:paraId="319B2F20">
      <w:pPr>
        <w:pStyle w:val="2"/>
        <w:rPr>
          <w:rFonts w:hint="default"/>
          <w:lang w:val="en-US" w:eastAsia="zh-CN"/>
        </w:rPr>
      </w:pPr>
    </w:p>
    <w:p w14:paraId="1A3251DB">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7D92C36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1.用途：适用于急性肾衰竭患者进行血液滤过治疗，以纠正患者的体液超负荷、脓毒症和/或电解质紊乱。也可用于清除体内过量液体，如采用利尿剂无效的肺水肿或充血性心力衰竭患者。专机专用。</w:t>
      </w:r>
    </w:p>
    <w:p w14:paraId="0970E9E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2.技术参数及组成：</w:t>
      </w:r>
    </w:p>
    <w:p w14:paraId="6F052B2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一体式管路，该产品主要由排液袋、血液输入管路、血液输出/稀释液输入管路、置换液加热管路、滤出液输出管路及液袋组成。</w:t>
      </w:r>
    </w:p>
    <w:p w14:paraId="474EED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一次性使用，灭菌方式：环氧乙烷灭菌。</w:t>
      </w:r>
    </w:p>
    <w:p w14:paraId="7DC3C4B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最大使用时间：72小时，最大压力：500mmHg。</w:t>
      </w:r>
    </w:p>
    <w:p w14:paraId="48A8CD92">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血室容量：100ml</w:t>
      </w:r>
      <w:r>
        <w:rPr>
          <w:rFonts w:hint="eastAsia" w:ascii="Times New Roman" w:hAnsi="Times New Roman" w:eastAsia="宋体" w:cs="Times New Roman"/>
          <w:sz w:val="24"/>
          <w:szCs w:val="24"/>
          <w:lang w:val="en-US" w:eastAsia="zh-CN"/>
        </w:rPr>
        <w:t>。</w:t>
      </w:r>
    </w:p>
    <w:p w14:paraId="1E5AB5CC">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27B496F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膜型血浆分离器</w:t>
      </w:r>
      <w:r>
        <w:rPr>
          <w:rFonts w:hint="eastAsia" w:cs="Times New Roman"/>
          <w:sz w:val="24"/>
          <w:szCs w:val="24"/>
          <w:lang w:val="en-US" w:eastAsia="zh-CN"/>
        </w:rPr>
        <w:t>：</w:t>
      </w:r>
    </w:p>
    <w:p w14:paraId="73426F8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1.功能需求：用于人工肝治疗时，将血浆无选择性的分离出来，进行毒素吸附或者血浆置换等人工肝治疗模式。</w:t>
      </w:r>
    </w:p>
    <w:p w14:paraId="3CD0CE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2.技术参数：外壳尺寸为（290±10）*（40±10）mm，内径350±50μm，膜厚50±10μm，膜面积≥0.8㎡，内容积≥80ml，最大血流速度≥150ml/min，最高使用跨膜压可达8kPa。</w:t>
      </w:r>
    </w:p>
    <w:p w14:paraId="71C7CDA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3.组成：由容器、中空纤维、血液口、血液口用盖、血浆口用盖、O形环及粘合剂组成，其内中空纤维由乙烯-乙烯醇共聚物制成，容器内填充生理盐水</w:t>
      </w:r>
      <w:r>
        <w:rPr>
          <w:rFonts w:hint="eastAsia" w:ascii="Times New Roman" w:hAnsi="Times New Roman" w:eastAsia="宋体" w:cs="Times New Roman"/>
          <w:sz w:val="24"/>
          <w:szCs w:val="24"/>
          <w:lang w:val="en-US" w:eastAsia="zh-CN"/>
        </w:rPr>
        <w:t>。</w:t>
      </w:r>
    </w:p>
    <w:p w14:paraId="1D2122A1">
      <w:pPr>
        <w:pStyle w:val="2"/>
        <w:rPr>
          <w:rFonts w:hint="eastAsia"/>
          <w:lang w:val="en-US" w:eastAsia="zh-CN"/>
        </w:rPr>
      </w:pPr>
    </w:p>
    <w:p w14:paraId="22E9DEF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膜型血浆成分分离器</w:t>
      </w:r>
      <w:r>
        <w:rPr>
          <w:rFonts w:hint="eastAsia" w:cs="Times New Roman"/>
          <w:sz w:val="24"/>
          <w:szCs w:val="24"/>
          <w:lang w:val="en-US" w:eastAsia="zh-CN"/>
        </w:rPr>
        <w:t>：</w:t>
      </w:r>
    </w:p>
    <w:p w14:paraId="38CD48C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1.功能需求：用于人工肝治疗时，选择性的将血浆分离，保留血浆中分子量较大的凝血因子，生物活性成分及肝细胞生长因子等，进行选择性血浆吸附或选择性血浆置换等治疗模式。</w:t>
      </w:r>
    </w:p>
    <w:p w14:paraId="3FF0077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2..技术参数：外壳尺寸为（280±10）*（50±10）mm，内径175±50μm，膜厚40±10μm，膜面积≥2.0㎡。该成分分离器白蛋白筛选系数≥50%，总蛋白筛选系数≥45%。</w:t>
      </w:r>
    </w:p>
    <w:p w14:paraId="7E37F7B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3.组成：由外壳、中空纤维、血液出入口、滤液侧盖子、血浆侧盖子、O形环及纤维固定材料组成，其内中空纤维由乙烯-乙烯醇共聚物制成，外壳由聚碳酸酯树脂制成容器内填充注射用水</w:t>
      </w:r>
      <w:r>
        <w:rPr>
          <w:rFonts w:hint="eastAsia" w:ascii="Times New Roman" w:hAnsi="Times New Roman" w:eastAsia="宋体" w:cs="Times New Roman"/>
          <w:sz w:val="24"/>
          <w:szCs w:val="24"/>
          <w:lang w:val="en-US" w:eastAsia="zh-CN"/>
        </w:rPr>
        <w:t>。</w:t>
      </w:r>
    </w:p>
    <w:p w14:paraId="465E552A">
      <w:pPr>
        <w:pStyle w:val="2"/>
        <w:rPr>
          <w:rFonts w:hint="eastAsia"/>
          <w:lang w:val="en-US" w:eastAsia="zh-CN"/>
        </w:rPr>
      </w:pPr>
    </w:p>
    <w:p w14:paraId="0AE5548C">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74B1CF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1.用途：是与患者、血浆成分分离器、二级处理膜(血浆成分分离器、选择性血浆成分吸附器、血浆吸附器)、置换液、白细胞吸附器连接用的管路。</w:t>
      </w:r>
    </w:p>
    <w:p w14:paraId="60C0842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5C9E73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（1）限一次性使用，灭菌方法是环氧乙烷气体灭菌。本管路适用于血浆交换疗法、白细胞吸附疗法、血细胞去除疗法中，用于对患者血浆的废弃、滤过、吸附的血液净化方式</w:t>
      </w:r>
      <w:r>
        <w:rPr>
          <w:rFonts w:hint="eastAsia" w:cs="Times New Roman"/>
          <w:sz w:val="24"/>
          <w:szCs w:val="24"/>
          <w:lang w:val="en-US" w:eastAsia="zh-CN"/>
        </w:rPr>
        <w:t>：</w:t>
      </w:r>
      <w:r>
        <w:rPr>
          <w:rFonts w:hint="eastAsia" w:ascii="Times New Roman" w:eastAsia="宋体" w:cs="Times New Roman"/>
          <w:sz w:val="24"/>
          <w:szCs w:val="24"/>
          <w:lang w:val="en-US" w:eastAsia="zh-CN"/>
        </w:rPr>
        <w:t>或者用于患者血液的吸附/血细胞成分去除的血液净化方式，送液用泵管的耐久性，以300ml/min流速循环30h时，不得出现管路龟裂等异常。送液用泵管的弹性，以300ml/min流速循环30h时，中央部的外径变化率应在10%以内。</w:t>
      </w:r>
    </w:p>
    <w:p w14:paraId="0E2CB2B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提供多种规格供选择</w:t>
      </w:r>
    </w:p>
    <w:p w14:paraId="0582943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i/>
          <w:iCs/>
          <w:kern w:val="2"/>
          <w:sz w:val="24"/>
          <w:szCs w:val="24"/>
          <w:lang w:val="en-US" w:eastAsia="zh-CN" w:bidi="ar-SA"/>
        </w:rPr>
        <w:t>3.</w:t>
      </w:r>
      <w:r>
        <w:rPr>
          <w:rFonts w:hint="eastAsia" w:ascii="Times New Roman" w:eastAsia="宋体" w:cs="Times New Roman"/>
          <w:sz w:val="24"/>
          <w:szCs w:val="24"/>
          <w:lang w:val="en-US" w:eastAsia="zh-CN"/>
        </w:rPr>
        <w:t>组成：血液侧管路(动脉管路、静脉管路)和液侧管路(血浆分离管路、返浆管路、其他辅助管路)</w:t>
      </w:r>
      <w:r>
        <w:rPr>
          <w:rFonts w:hint="eastAsia" w:ascii="Times New Roman" w:hAnsi="Times New Roman" w:eastAsia="宋体" w:cs="Times New Roman"/>
          <w:sz w:val="24"/>
          <w:szCs w:val="24"/>
          <w:lang w:val="en-US" w:eastAsia="zh-CN"/>
        </w:rPr>
        <w:t>。</w:t>
      </w:r>
    </w:p>
    <w:p w14:paraId="781C9F02">
      <w:pPr>
        <w:pStyle w:val="2"/>
        <w:numPr>
          <w:ilvl w:val="0"/>
          <w:numId w:val="0"/>
        </w:numPr>
        <w:rPr>
          <w:rFonts w:hint="eastAsia"/>
          <w:lang w:val="en-US" w:eastAsia="zh-CN"/>
        </w:rPr>
      </w:pPr>
    </w:p>
    <w:p w14:paraId="5F953D1F">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728CAB5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为多功能流式点阵仪的配套耗材，确保仪器的正常运行。仪器用于移植前配型及肾移植术后受者体内DSA动态检测观察分析，且对HLA配型及HLA抗体进行更高效、更准确的检测，从而减少排斥反应发生率及更早、更准确诊断排斥反应，提高移植受体的长期预后，改善患者的生活质量，带来良好的社会效益。</w:t>
      </w:r>
    </w:p>
    <w:p w14:paraId="26668C2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专机专用</w:t>
      </w:r>
    </w:p>
    <w:p w14:paraId="0580904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2.组成部分：</w:t>
      </w:r>
    </w:p>
    <w:p w14:paraId="526D1BD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校准试剂盒，规格型号LX2R-CAL-K25，生产厂家luminex Corporation；</w:t>
      </w:r>
    </w:p>
    <w:p w14:paraId="77F5D0D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验证试剂盒，规格型号LX2R-PVER-K25生产厂家luminex Corporation；</w:t>
      </w:r>
    </w:p>
    <w:p w14:paraId="70E532CE">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鞘液，规格型号20L/桶，生产厂家luminex Corporation</w:t>
      </w:r>
      <w:r>
        <w:rPr>
          <w:rFonts w:hint="eastAsia" w:ascii="Times New Roman" w:hAnsi="Times New Roman" w:eastAsia="宋体" w:cs="Times New Roman"/>
          <w:sz w:val="24"/>
          <w:szCs w:val="24"/>
          <w:lang w:val="en-US" w:eastAsia="zh-CN"/>
        </w:rPr>
        <w:t>。</w:t>
      </w:r>
    </w:p>
    <w:p w14:paraId="19F37AAD">
      <w:pPr>
        <w:pStyle w:val="2"/>
        <w:rPr>
          <w:rFonts w:hint="eastAsia"/>
          <w:lang w:val="en-US" w:eastAsia="zh-CN"/>
        </w:rPr>
      </w:pPr>
    </w:p>
    <w:p w14:paraId="02B3BCD0">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72B2A04C">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1.用途：移植肾保存及灌注</w:t>
      </w:r>
    </w:p>
    <w:p w14:paraId="3728A43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2.技术参数及组成：</w:t>
      </w:r>
    </w:p>
    <w:p w14:paraId="0447585D">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LKT200每套套装包括一个LifePort输注循环管路装置、一个带有密封圈的7mm×20mm套管头(CAN0720)及一张无菌帘(LKT300)</w:t>
      </w:r>
      <w:r>
        <w:rPr>
          <w:rFonts w:hint="eastAsia" w:cs="Times New Roman"/>
          <w:sz w:val="24"/>
          <w:szCs w:val="24"/>
          <w:lang w:val="en-US" w:eastAsia="zh-CN"/>
        </w:rPr>
        <w:t>；</w:t>
      </w:r>
    </w:p>
    <w:p w14:paraId="233C31AB">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无菌帘LKT300规格：10个/盒,套管头  (密封)</w:t>
      </w:r>
      <w:r>
        <w:rPr>
          <w:rFonts w:hint="eastAsia" w:cs="Times New Roman"/>
          <w:sz w:val="24"/>
          <w:szCs w:val="24"/>
          <w:lang w:val="en-US" w:eastAsia="zh-CN"/>
        </w:rPr>
        <w:t>；</w:t>
      </w:r>
    </w:p>
    <w:p w14:paraId="54FC9AF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CAN0720带密封圈的一次性套管头，直径：7mm×20mm。规格：5个/盒</w:t>
      </w:r>
      <w:r>
        <w:rPr>
          <w:rFonts w:hint="eastAsia" w:cs="Times New Roman"/>
          <w:sz w:val="24"/>
          <w:szCs w:val="24"/>
          <w:lang w:val="en-US" w:eastAsia="zh-CN"/>
        </w:rPr>
        <w:t>；</w:t>
      </w:r>
    </w:p>
    <w:p w14:paraId="74DA8FED">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CAN1035带密封圈的一次性套管头，直径：10mm×35mm。规格：5个/盒</w:t>
      </w:r>
      <w:r>
        <w:rPr>
          <w:rFonts w:hint="eastAsia" w:cs="Times New Roman"/>
          <w:sz w:val="24"/>
          <w:szCs w:val="24"/>
          <w:lang w:val="en-US" w:eastAsia="zh-CN"/>
        </w:rPr>
        <w:t>；</w:t>
      </w:r>
    </w:p>
    <w:p w14:paraId="2D024433">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套管头(直型)CAN0003一次性直型套管头，直径：3mm。规格：5个/盒</w:t>
      </w:r>
      <w:r>
        <w:rPr>
          <w:rFonts w:hint="eastAsia" w:cs="Times New Roman"/>
          <w:sz w:val="24"/>
          <w:szCs w:val="24"/>
          <w:lang w:val="en-US" w:eastAsia="zh-CN"/>
        </w:rPr>
        <w:t>；</w:t>
      </w:r>
    </w:p>
    <w:p w14:paraId="2410806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CAN0005一次性直型套管头，直径：5mm。规格：5个/盒</w:t>
      </w:r>
      <w:r>
        <w:rPr>
          <w:rFonts w:hint="eastAsia" w:cs="Times New Roman"/>
          <w:sz w:val="24"/>
          <w:szCs w:val="24"/>
          <w:lang w:val="en-US" w:eastAsia="zh-CN"/>
        </w:rPr>
        <w:t>；</w:t>
      </w:r>
    </w:p>
    <w:p w14:paraId="4CC8887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CAN0008一次性直型套管头，直径：8mm。规格：5个/盒</w:t>
      </w:r>
      <w:r>
        <w:rPr>
          <w:rFonts w:hint="eastAsia" w:cs="Times New Roman"/>
          <w:sz w:val="24"/>
          <w:szCs w:val="24"/>
          <w:lang w:val="en-US" w:eastAsia="zh-CN"/>
        </w:rPr>
        <w:t>；</w:t>
      </w:r>
    </w:p>
    <w:p w14:paraId="68E2DFF8">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（8）</w:t>
      </w:r>
      <w:r>
        <w:rPr>
          <w:rFonts w:hint="eastAsia" w:ascii="Times New Roman" w:hAnsi="Times New Roman" w:eastAsia="宋体" w:cs="Times New Roman"/>
          <w:sz w:val="24"/>
          <w:szCs w:val="24"/>
          <w:lang w:val="en-US" w:eastAsia="zh-CN"/>
        </w:rPr>
        <w:t>连接器CAN1000一次性套管头连接器，可弯，可匹配多种LifePort带有密封圈的套管头和直型套管头。规格：5个/盒</w:t>
      </w:r>
      <w:r>
        <w:rPr>
          <w:rFonts w:hint="eastAsia" w:cs="Times New Roman"/>
          <w:sz w:val="24"/>
          <w:szCs w:val="24"/>
          <w:lang w:val="en-US" w:eastAsia="zh-CN"/>
        </w:rPr>
        <w:t>；</w:t>
      </w:r>
    </w:p>
    <w:p w14:paraId="0EA4544C">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套管头(通用密封) UCAN0003带密封圈的一次性套管头，直径：3mm。规格：5个/盒</w:t>
      </w:r>
      <w:r>
        <w:rPr>
          <w:rFonts w:hint="eastAsia" w:cs="Times New Roman"/>
          <w:sz w:val="24"/>
          <w:szCs w:val="24"/>
          <w:lang w:val="en-US" w:eastAsia="zh-CN"/>
        </w:rPr>
        <w:t>；</w:t>
      </w:r>
    </w:p>
    <w:p w14:paraId="272A550A">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UCAN0005带密封圈的一次性套管头，直径：5mm。规格：5个/盒</w:t>
      </w:r>
      <w:r>
        <w:rPr>
          <w:rFonts w:hint="eastAsia" w:cs="Times New Roman"/>
          <w:sz w:val="24"/>
          <w:szCs w:val="24"/>
          <w:lang w:val="en-US" w:eastAsia="zh-CN"/>
        </w:rPr>
        <w:t>。</w:t>
      </w:r>
    </w:p>
    <w:p w14:paraId="784B61E2">
      <w:pPr>
        <w:pStyle w:val="3"/>
        <w:ind w:left="0" w:leftChars="0" w:firstLine="0" w:firstLineChars="0"/>
        <w:jc w:val="both"/>
        <w:rPr>
          <w:rFonts w:hint="default"/>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944"/>
      <w:bookmarkStart w:id="68" w:name="_Toc7794"/>
      <w:bookmarkStart w:id="69" w:name="_Toc17524"/>
      <w:bookmarkStart w:id="70" w:name="_Toc15650"/>
      <w:bookmarkStart w:id="71" w:name="_Toc24122"/>
      <w:bookmarkStart w:id="72" w:name="_Toc31843"/>
      <w:bookmarkStart w:id="73" w:name="_Toc1768"/>
      <w:bookmarkStart w:id="74" w:name="_Toc2072"/>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76373879"/>
      <w:bookmarkStart w:id="79" w:name="_Toc5959"/>
      <w:bookmarkStart w:id="80" w:name="_Toc22561"/>
      <w:bookmarkStart w:id="81" w:name="_Toc30551"/>
      <w:bookmarkStart w:id="82" w:name="_Toc14311"/>
      <w:bookmarkStart w:id="83" w:name="_Toc29836"/>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7737"/>
      <w:bookmarkStart w:id="89" w:name="_Toc12384"/>
      <w:bookmarkStart w:id="90" w:name="_Toc76373885"/>
      <w:bookmarkStart w:id="91" w:name="_Toc2258"/>
      <w:bookmarkStart w:id="92" w:name="_Toc27893"/>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23699"/>
      <w:bookmarkStart w:id="96" w:name="_Toc28189"/>
      <w:bookmarkStart w:id="97" w:name="_Toc11052"/>
      <w:bookmarkStart w:id="98" w:name="_Toc76373886"/>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5251"/>
      <w:bookmarkStart w:id="103" w:name="_Toc8546"/>
      <w:bookmarkStart w:id="104" w:name="_Toc30068"/>
      <w:bookmarkStart w:id="105" w:name="_Toc2900"/>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20034"/>
      <w:bookmarkStart w:id="111" w:name="_Toc26071"/>
      <w:bookmarkStart w:id="112" w:name="_Toc11654"/>
      <w:bookmarkStart w:id="113" w:name="_Toc11342"/>
      <w:bookmarkStart w:id="114" w:name="_Toc27443"/>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10864"/>
      <w:bookmarkStart w:id="118" w:name="_Toc27646"/>
      <w:bookmarkStart w:id="119" w:name="_Toc20391"/>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19409"/>
      <w:bookmarkStart w:id="130" w:name="_Toc2975"/>
      <w:bookmarkStart w:id="131" w:name="_Toc76373904"/>
      <w:bookmarkStart w:id="132" w:name="_Toc10152"/>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892"/>
      <w:bookmarkStart w:id="135" w:name="_Toc12863"/>
      <w:bookmarkStart w:id="136" w:name="_Toc16112"/>
      <w:bookmarkStart w:id="137" w:name="_Toc76373907"/>
      <w:bookmarkStart w:id="138" w:name="_Toc25920"/>
      <w:bookmarkStart w:id="139" w:name="_Toc117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3094"/>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9795"/>
      <w:bookmarkStart w:id="163" w:name="_Toc21431"/>
      <w:bookmarkStart w:id="164" w:name="_Toc76373909"/>
      <w:bookmarkStart w:id="165" w:name="_Toc21830"/>
      <w:bookmarkStart w:id="166" w:name="_Toc27306"/>
      <w:bookmarkStart w:id="167" w:name="_Toc49317879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2647"/>
      <w:bookmarkStart w:id="172" w:name="_Toc76373910"/>
      <w:bookmarkStart w:id="173" w:name="_Toc20258"/>
      <w:bookmarkStart w:id="174" w:name="_Toc20875"/>
      <w:bookmarkStart w:id="175" w:name="_Toc492721039"/>
      <w:bookmarkStart w:id="176" w:name="_Toc411"/>
      <w:bookmarkStart w:id="177" w:name="_Toc493178791"/>
      <w:bookmarkStart w:id="178"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76373912"/>
      <w:bookmarkStart w:id="181" w:name="_Toc6217"/>
      <w:bookmarkStart w:id="182" w:name="_Toc8925"/>
      <w:bookmarkStart w:id="183" w:name="_Toc493178793"/>
      <w:bookmarkStart w:id="184" w:name="_Toc16151"/>
      <w:bookmarkStart w:id="185" w:name="_Toc4250"/>
      <w:bookmarkStart w:id="186" w:name="_Toc19291"/>
      <w:bookmarkStart w:id="187" w:name="_Toc492721038"/>
      <w:bookmarkStart w:id="188" w:name="_Toc2060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AEED47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EBB79B-1A3C-409B-BA7C-A9F48D84B0B4}"/>
  </w:font>
  <w:font w:name="黑体">
    <w:panose1 w:val="02010609060101010101"/>
    <w:charset w:val="86"/>
    <w:family w:val="auto"/>
    <w:pitch w:val="default"/>
    <w:sig w:usb0="800002BF" w:usb1="38CF7CFA" w:usb2="00000016" w:usb3="00000000" w:csb0="00040001" w:csb1="00000000"/>
    <w:embedRegular r:id="rId2" w:fontKey="{75505490-85B8-4573-9E0F-5191B1920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FE2C47B-7AF3-45BA-A531-4F69BE1C00D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FD698A7-5452-4EE0-8A0D-FA7CC3457D9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C1ABA4B-3FD2-4720-8BD8-DFCC07306147}"/>
  </w:font>
  <w:font w:name="方正黑体_GBK">
    <w:panose1 w:val="03000509000000000000"/>
    <w:charset w:val="86"/>
    <w:family w:val="script"/>
    <w:pitch w:val="default"/>
    <w:sig w:usb0="00000001" w:usb1="080E0000" w:usb2="00000000" w:usb3="00000000" w:csb0="00040000" w:csb1="00000000"/>
    <w:embedRegular r:id="rId6" w:fontKey="{6B31B457-2EDB-40BE-BFF9-24990C4E3937}"/>
  </w:font>
  <w:font w:name="方正小标宋_GBK">
    <w:panose1 w:val="03000509000000000000"/>
    <w:charset w:val="86"/>
    <w:family w:val="script"/>
    <w:pitch w:val="default"/>
    <w:sig w:usb0="00000001" w:usb1="080E0000" w:usb2="00000000" w:usb3="00000000" w:csb0="00040000" w:csb1="00000000"/>
    <w:embedRegular r:id="rId7" w:fontKey="{38FB093A-EE1E-4E0D-B6C1-E13A6592F9A0}"/>
  </w:font>
  <w:font w:name="微软雅黑">
    <w:panose1 w:val="020B0503020204020204"/>
    <w:charset w:val="86"/>
    <w:family w:val="swiss"/>
    <w:pitch w:val="default"/>
    <w:sig w:usb0="80000287" w:usb1="2ACF3C50" w:usb2="00000016" w:usb3="00000000" w:csb0="0004001F" w:csb1="00000000"/>
    <w:embedRegular r:id="rId8" w:fontKey="{0E02EFF4-8C91-42C3-B55E-B22D0EB921F7}"/>
  </w:font>
  <w:font w:name="仿宋">
    <w:panose1 w:val="02010609060101010101"/>
    <w:charset w:val="86"/>
    <w:family w:val="modern"/>
    <w:pitch w:val="default"/>
    <w:sig w:usb0="800002BF" w:usb1="38CF7CFA" w:usb2="00000016" w:usb3="00000000" w:csb0="00040001" w:csb1="00000000"/>
    <w:embedRegular r:id="rId9" w:fontKey="{86CA31DF-972C-4894-8CBE-C6293F846C7B}"/>
  </w:font>
  <w:font w:name="楷体">
    <w:panose1 w:val="02010609060101010101"/>
    <w:charset w:val="86"/>
    <w:family w:val="modern"/>
    <w:pitch w:val="default"/>
    <w:sig w:usb0="800002BF" w:usb1="38CF7CFA" w:usb2="00000016" w:usb3="00000000" w:csb0="00040001" w:csb1="00000000"/>
    <w:embedRegular r:id="rId10" w:fontKey="{8484D177-5423-4E7F-A5E4-6A5912DBDB67}"/>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A02558"/>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2235C5"/>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AE36B04"/>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2798</Words>
  <Characters>2859</Characters>
  <Lines>101</Lines>
  <Paragraphs>28</Paragraphs>
  <TotalTime>0</TotalTime>
  <ScaleCrop>false</ScaleCrop>
  <LinksUpToDate>false</LinksUpToDate>
  <CharactersWithSpaces>2949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2025-11-25T01:31:16Z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