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3868"/>
      <w:bookmarkStart w:id="2" w:name="_Toc76373863"/>
      <w:bookmarkStart w:id="3" w:name="_Toc31066"/>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76373864"/>
      <w:bookmarkStart w:id="9" w:name="_Toc28264"/>
      <w:bookmarkStart w:id="10" w:name="_Toc15376"/>
      <w:bookmarkStart w:id="11" w:name="_Toc5909"/>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rPr>
        <w:t>项目名称：</w:t>
      </w:r>
      <w:r>
        <w:rPr>
          <w:rFonts w:hint="eastAsia" w:cs="Times New Roman"/>
          <w:i w:val="0"/>
          <w:iCs w:val="0"/>
          <w:color w:val="000000"/>
          <w:kern w:val="2"/>
          <w:sz w:val="24"/>
          <w:szCs w:val="24"/>
          <w:u w:val="none"/>
          <w:lang w:val="en-US" w:eastAsia="zh-CN" w:bidi="ar-SA"/>
        </w:rPr>
        <w:t>钬激光治疗机、一次性使用无菌光纤、无菌医用激光光纤；腔内泌尿外科手术电极；高频切除电极</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18060"/>
            <w:bookmarkStart w:id="16" w:name="_Toc22707"/>
            <w:bookmarkStart w:id="17" w:name="_Toc5838"/>
            <w:bookmarkStart w:id="18" w:name="_Toc76373865"/>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钬激光治疗机、一次性使用无菌光纤、无菌医用激光光纤</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泌尿外科</w:t>
            </w:r>
          </w:p>
        </w:tc>
      </w:tr>
      <w:tr w14:paraId="75AF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3F33CF9">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10B77AE8">
            <w:pPr>
              <w:keepNext w:val="0"/>
              <w:keepLines w:val="0"/>
              <w:widowControl/>
              <w:suppressLineNumbers w:val="0"/>
              <w:jc w:val="center"/>
              <w:textAlignment w:val="center"/>
              <w:rPr>
                <w:rFonts w:hint="eastAsia"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腔内泌尿外科手术电极</w:t>
            </w:r>
          </w:p>
        </w:tc>
        <w:tc>
          <w:tcPr>
            <w:tcW w:w="1327" w:type="dxa"/>
            <w:noWrap w:val="0"/>
            <w:vAlign w:val="center"/>
          </w:tcPr>
          <w:p w14:paraId="6EFB3DDA">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1F9F8C2">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597CCD81">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泌尿外科</w:t>
            </w:r>
          </w:p>
        </w:tc>
      </w:tr>
      <w:tr w14:paraId="2200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37205A81">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5DE3BEEE">
            <w:pPr>
              <w:keepNext w:val="0"/>
              <w:keepLines w:val="0"/>
              <w:widowControl/>
              <w:suppressLineNumbers w:val="0"/>
              <w:jc w:val="center"/>
              <w:textAlignment w:val="center"/>
              <w:rPr>
                <w:rFonts w:hint="default"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高频切除电极</w:t>
            </w:r>
          </w:p>
        </w:tc>
        <w:tc>
          <w:tcPr>
            <w:tcW w:w="1327" w:type="dxa"/>
            <w:noWrap w:val="0"/>
            <w:vAlign w:val="center"/>
          </w:tcPr>
          <w:p w14:paraId="29E398BC">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ECE11C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7C1204A7">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0" w:name="_GoBack"/>
      <w:bookmarkEnd w:id="190"/>
      <w:bookmarkStart w:id="19" w:name="_Toc3434"/>
      <w:bookmarkStart w:id="20" w:name="_Toc10137"/>
      <w:bookmarkStart w:id="21" w:name="_Toc25496"/>
      <w:bookmarkStart w:id="22" w:name="_Toc76373866"/>
      <w:bookmarkStart w:id="23" w:name="_Toc30358"/>
      <w:bookmarkStart w:id="24" w:name="_Toc2650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18799"/>
      <w:bookmarkStart w:id="31" w:name="_Toc7527"/>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泌尿外科包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泌尿外科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泌尿外科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sz w:val="24"/>
          <w:szCs w:val="24"/>
          <w:u w:val="single"/>
          <w:lang w:val="en-US" w:eastAsia="zh-CN"/>
        </w:rPr>
        <w:t>泌尿外科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25272"/>
      <w:bookmarkStart w:id="45" w:name="_Toc14224"/>
      <w:bookmarkStart w:id="46" w:name="_Toc76373872"/>
      <w:bookmarkStart w:id="47" w:name="_Toc971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13391"/>
      <w:bookmarkStart w:id="53" w:name="_Toc3153"/>
      <w:bookmarkStart w:id="54" w:name="_Toc76373874"/>
      <w:bookmarkStart w:id="55" w:name="_Toc2599"/>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517B8CCA">
      <w:pPr>
        <w:spacing w:line="320" w:lineRule="exact"/>
        <w:ind w:left="479" w:leftChars="85" w:hanging="241" w:hangingChars="100"/>
        <w:rPr>
          <w:rFonts w:hint="eastAsia" w:ascii="Times New Roman" w:hAnsi="Times New Roman" w:eastAsia="宋体" w:cs="Times New Roman"/>
          <w:kern w:val="2"/>
          <w:sz w:val="24"/>
          <w:szCs w:val="24"/>
          <w:lang w:val="en-US" w:eastAsia="zh-CN" w:bidi="ar-SA"/>
        </w:rPr>
      </w:pPr>
      <w:bookmarkStart w:id="58" w:name="_Toc76373876"/>
      <w:bookmarkStart w:id="59" w:name="_Toc29225"/>
      <w:bookmarkStart w:id="60" w:name="_Toc6355"/>
      <w:bookmarkStart w:id="61" w:name="_Toc29620"/>
      <w:bookmarkStart w:id="62" w:name="_Toc3046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30D25771">
      <w:pPr>
        <w:numPr>
          <w:ilvl w:val="0"/>
          <w:numId w:val="0"/>
        </w:num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无菌医用激光光纤与铁激光治疗系统配合使用，将医用激光设备的激光传输到患者病变部位。</w:t>
      </w:r>
    </w:p>
    <w:p w14:paraId="75515C7E">
      <w:pPr>
        <w:numPr>
          <w:ilvl w:val="0"/>
          <w:numId w:val="0"/>
        </w:num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光纤应能</w:t>
      </w:r>
      <w:r>
        <w:rPr>
          <w:rFonts w:hint="eastAsia" w:cs="Times New Roman"/>
          <w:kern w:val="2"/>
          <w:sz w:val="24"/>
          <w:szCs w:val="24"/>
          <w:lang w:val="en-US" w:eastAsia="zh-CN" w:bidi="ar-SA"/>
        </w:rPr>
        <w:t>与</w:t>
      </w:r>
      <w:r>
        <w:rPr>
          <w:rFonts w:hint="eastAsia" w:ascii="Times New Roman" w:hAnsi="Times New Roman" w:eastAsia="宋体" w:cs="Times New Roman"/>
          <w:kern w:val="2"/>
          <w:sz w:val="24"/>
          <w:szCs w:val="24"/>
          <w:lang w:val="en-US" w:eastAsia="zh-CN" w:bidi="ar-SA"/>
        </w:rPr>
        <w:t>我院科医人钬激光设备配合使用。</w:t>
      </w:r>
    </w:p>
    <w:p w14:paraId="4A9C7C03">
      <w:pPr>
        <w:numPr>
          <w:ilvl w:val="0"/>
          <w:numId w:val="0"/>
        </w:num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技术参数</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长度≥3.1m，最大外径≤780um，纤芯直径&gt;550um</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最小工作通道直径(Fr)6.5，最大输入能量6.0J最大输入功率</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120w，用于软组织的开性、腹腔镜和内窥镜的碎石、消融、汽化、切除、切割和血凝结等外科手术，激光器连接器将玻璃纤维固定至激光系统。可使用环氧乙烷或高温高压灭菌。</w:t>
      </w:r>
    </w:p>
    <w:p w14:paraId="2A021D91">
      <w:pPr>
        <w:numPr>
          <w:ilvl w:val="0"/>
          <w:numId w:val="0"/>
        </w:num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光纤应与我院科医人钬激光设备配合使用。</w:t>
      </w:r>
    </w:p>
    <w:p w14:paraId="50D0C15F">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技术参数</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长度之3.1m，最大外径≤450um，纤芯直径≥272um，最小工作通道直径(Fr)3.6</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最大输入能量1.5J最大输入功率</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45W，适用于输尿管软镜手术。可使用环氧乙烷或高温高压灭菌</w:t>
      </w:r>
      <w:r>
        <w:rPr>
          <w:rFonts w:hint="eastAsia" w:ascii="Times New Roman" w:hAnsi="Times New Roman" w:eastAsia="宋体" w:cs="Times New Roman"/>
          <w:sz w:val="24"/>
          <w:szCs w:val="24"/>
          <w:lang w:val="en-US" w:eastAsia="zh-CN"/>
        </w:rPr>
        <w:t>。</w:t>
      </w:r>
    </w:p>
    <w:p w14:paraId="774E0A1A">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p>
    <w:p w14:paraId="2CFC9E2F">
      <w:pPr>
        <w:spacing w:line="320" w:lineRule="exact"/>
        <w:ind w:left="479" w:leftChars="85" w:hanging="241" w:hangingChars="1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2247F42F">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1、用途：腔内泌尿外科手术电极系列用于经尿道前列腺电气化切割手术，主要用于治疗前列腺增生症状、膀胱肿瘤及外科手术。</w:t>
      </w:r>
    </w:p>
    <w:p w14:paraId="6092E72F">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2、技术参数：</w:t>
      </w:r>
    </w:p>
    <w:p w14:paraId="1E84244B">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电极的绝缘管采用聚四氟乙烯制造</w:t>
      </w:r>
      <w:r>
        <w:rPr>
          <w:rFonts w:hint="eastAsia" w:cs="Times New Roman"/>
          <w:sz w:val="24"/>
          <w:szCs w:val="24"/>
          <w:lang w:val="en-US" w:eastAsia="zh-CN"/>
        </w:rPr>
        <w:t>；</w:t>
      </w:r>
    </w:p>
    <w:p w14:paraId="3B337959">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电极内外套管采用Icr18Ni9Ti不锈钢材料制造</w:t>
      </w:r>
      <w:r>
        <w:rPr>
          <w:rFonts w:hint="eastAsia" w:cs="Times New Roman"/>
          <w:sz w:val="24"/>
          <w:szCs w:val="24"/>
          <w:lang w:val="en-US" w:eastAsia="zh-CN"/>
        </w:rPr>
        <w:t>；</w:t>
      </w:r>
    </w:p>
    <w:p w14:paraId="73703418">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电切环材料为钨丝或钼丝。</w:t>
      </w:r>
    </w:p>
    <w:p w14:paraId="0D01A16D">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3、产品具体规格：</w:t>
      </w:r>
    </w:p>
    <w:p w14:paraId="691C8601">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hAnsi="Times New Roman" w:eastAsia="宋体" w:cs="Times New Roman"/>
          <w:sz w:val="24"/>
          <w:szCs w:val="24"/>
          <w:lang w:val="en-US" w:eastAsia="zh-CN"/>
        </w:rPr>
        <w:t>电极长度≥288mm</w:t>
      </w:r>
      <w:r>
        <w:rPr>
          <w:rFonts w:hint="eastAsia" w:cs="Times New Roman"/>
          <w:sz w:val="24"/>
          <w:szCs w:val="24"/>
          <w:lang w:val="en-US" w:eastAsia="zh-CN"/>
        </w:rPr>
        <w:t>；</w:t>
      </w:r>
    </w:p>
    <w:p w14:paraId="7EE76F3F">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头部长度：≥40mm</w:t>
      </w:r>
      <w:r>
        <w:rPr>
          <w:rFonts w:hint="eastAsia" w:cs="Times New Roman"/>
          <w:sz w:val="24"/>
          <w:szCs w:val="24"/>
          <w:lang w:val="en-US" w:eastAsia="zh-CN"/>
        </w:rPr>
        <w:t>；</w:t>
      </w:r>
    </w:p>
    <w:p w14:paraId="6D09F042">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最大宽度：≤7.5mm</w:t>
      </w:r>
      <w:r>
        <w:rPr>
          <w:rFonts w:hint="eastAsia" w:cs="Times New Roman"/>
          <w:sz w:val="24"/>
          <w:szCs w:val="24"/>
          <w:lang w:val="en-US" w:eastAsia="zh-CN"/>
        </w:rPr>
        <w:t>。</w:t>
      </w:r>
    </w:p>
    <w:p w14:paraId="2C4FE24D">
      <w:pPr>
        <w:numPr>
          <w:ilvl w:val="0"/>
          <w:numId w:val="0"/>
        </w:numPr>
        <w:spacing w:line="320" w:lineRule="exact"/>
        <w:ind w:left="478" w:leftChars="85" w:hanging="240" w:hangingChars="1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4、产品特点：同注册证同时具备双极以及单极电切环，可以适应于不同手术情况</w:t>
      </w:r>
      <w:r>
        <w:rPr>
          <w:rFonts w:hint="eastAsia" w:cs="Times New Roman"/>
          <w:sz w:val="24"/>
          <w:szCs w:val="24"/>
          <w:lang w:val="en-US" w:eastAsia="zh-CN"/>
        </w:rPr>
        <w:t>。</w:t>
      </w:r>
    </w:p>
    <w:p w14:paraId="55572F09">
      <w:pPr>
        <w:numPr>
          <w:ilvl w:val="0"/>
          <w:numId w:val="0"/>
        </w:numPr>
        <w:spacing w:line="320" w:lineRule="exact"/>
        <w:ind w:left="478" w:leftChars="85" w:hanging="240" w:hangingChars="100"/>
        <w:rPr>
          <w:rFonts w:hint="eastAsia" w:cs="Times New Roman"/>
          <w:sz w:val="24"/>
          <w:szCs w:val="24"/>
          <w:lang w:val="en-US" w:eastAsia="zh-CN"/>
        </w:rPr>
      </w:pPr>
      <w:r>
        <w:rPr>
          <w:rFonts w:hint="eastAsia" w:ascii="Times New Roman" w:hAnsi="Times New Roman" w:eastAsia="宋体" w:cs="Times New Roman"/>
          <w:sz w:val="24"/>
          <w:szCs w:val="24"/>
          <w:lang w:val="en-US" w:eastAsia="zh-CN"/>
        </w:rPr>
        <w:t>5、产品组成：产品由电切头、架子组、尾稍、定位片、电极连接线</w:t>
      </w:r>
      <w:r>
        <w:rPr>
          <w:rFonts w:hint="eastAsia" w:cs="Times New Roman"/>
          <w:sz w:val="24"/>
          <w:szCs w:val="24"/>
          <w:lang w:val="en-US" w:eastAsia="zh-CN"/>
        </w:rPr>
        <w:t>。</w:t>
      </w:r>
    </w:p>
    <w:p w14:paraId="0CEC869D">
      <w:pPr>
        <w:numPr>
          <w:ilvl w:val="0"/>
          <w:numId w:val="0"/>
        </w:numPr>
        <w:spacing w:line="320" w:lineRule="exact"/>
        <w:ind w:left="478" w:leftChars="85" w:hanging="240" w:hangingChars="100"/>
        <w:rPr>
          <w:rFonts w:hint="eastAsia" w:cs="Times New Roman"/>
          <w:sz w:val="24"/>
          <w:szCs w:val="24"/>
          <w:lang w:val="en-US" w:eastAsia="zh-CN"/>
        </w:rPr>
      </w:pPr>
    </w:p>
    <w:p w14:paraId="23B65659">
      <w:pPr>
        <w:numPr>
          <w:ilvl w:val="0"/>
          <w:numId w:val="0"/>
        </w:numPr>
        <w:spacing w:line="320" w:lineRule="exact"/>
        <w:ind w:left="479" w:leftChars="85" w:hanging="241" w:hangingChars="100"/>
        <w:rPr>
          <w:rFonts w:hint="eastAsia" w:cs="Times New Roman"/>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09815DA9">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功能：本产品与奥林巴斯内窥镜和高频电刀配套使用，经尿道或宫颈在生理盐水中对前列腺或宫腔进行凝固、切割和等离子汽化操作。高温加热使电解质获得等离子态，电极处的等离子层中的自由带电粒子在电场作用下获得动能，使组织细胞以分子为单位解体，形成凝固、切割和等离子汽化效果。</w:t>
      </w:r>
    </w:p>
    <w:p w14:paraId="25F5114C">
      <w:pPr>
        <w:numPr>
          <w:ilvl w:val="0"/>
          <w:numId w:val="0"/>
        </w:num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参数：环形，24Fr.，中号0.2弦，12°，灭菌，一次性。</w:t>
      </w:r>
    </w:p>
    <w:p w14:paraId="76A991F7">
      <w:pPr>
        <w:pStyle w:val="3"/>
        <w:ind w:left="0" w:leftChars="0" w:firstLine="0" w:firstLineChars="0"/>
        <w:jc w:val="both"/>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76373878"/>
      <w:bookmarkStart w:id="68" w:name="_Toc2072"/>
      <w:bookmarkStart w:id="69" w:name="_Toc31843"/>
      <w:bookmarkStart w:id="70" w:name="_Toc7794"/>
      <w:bookmarkStart w:id="71" w:name="_Toc1768"/>
      <w:bookmarkStart w:id="72" w:name="_Toc17944"/>
      <w:bookmarkStart w:id="73" w:name="_Toc24122"/>
      <w:bookmarkStart w:id="74" w:name="_Toc17524"/>
      <w:bookmarkStart w:id="75" w:name="_Toc4791"/>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9339"/>
      <w:bookmarkStart w:id="79" w:name="_Toc22561"/>
      <w:bookmarkStart w:id="80" w:name="_Toc76373879"/>
      <w:bookmarkStart w:id="81" w:name="_Toc30551"/>
      <w:bookmarkStart w:id="82" w:name="_Toc14311"/>
      <w:bookmarkStart w:id="83" w:name="_Toc29836"/>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772"/>
      <w:bookmarkStart w:id="88" w:name="_Toc2258"/>
      <w:bookmarkStart w:id="89" w:name="_Toc27893"/>
      <w:bookmarkStart w:id="90" w:name="_Toc27737"/>
      <w:bookmarkStart w:id="91" w:name="_Toc76373885"/>
      <w:bookmarkStart w:id="92" w:name="_Toc20263"/>
      <w:bookmarkStart w:id="93" w:name="_Toc12384"/>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7115"/>
      <w:bookmarkStart w:id="96" w:name="_Toc28189"/>
      <w:bookmarkStart w:id="97" w:name="_Toc12712"/>
      <w:bookmarkStart w:id="98" w:name="_Toc11052"/>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16925"/>
      <w:bookmarkStart w:id="102" w:name="_Toc2900"/>
      <w:bookmarkStart w:id="103" w:name="_Toc5251"/>
      <w:bookmarkStart w:id="104" w:name="_Toc76373889"/>
      <w:bookmarkStart w:id="105" w:name="_Toc30068"/>
      <w:bookmarkStart w:id="106" w:name="_Toc8546"/>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7443"/>
      <w:bookmarkStart w:id="110" w:name="_Toc11654"/>
      <w:bookmarkStart w:id="111" w:name="_Toc11342"/>
      <w:bookmarkStart w:id="112" w:name="_Toc76373890"/>
      <w:bookmarkStart w:id="113" w:name="_Toc26071"/>
      <w:bookmarkStart w:id="114" w:name="_Toc2003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10864"/>
      <w:bookmarkStart w:id="117" w:name="_Toc27646"/>
      <w:bookmarkStart w:id="118" w:name="_Toc25199"/>
      <w:bookmarkStart w:id="119" w:name="_Toc76373891"/>
      <w:bookmarkStart w:id="120" w:name="_Toc20391"/>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975"/>
      <w:bookmarkStart w:id="129" w:name="_Toc10152"/>
      <w:bookmarkStart w:id="130" w:name="_Toc76373904"/>
      <w:bookmarkStart w:id="131" w:name="_Toc24088"/>
      <w:bookmarkStart w:id="132" w:name="_Toc19409"/>
      <w:bookmarkStart w:id="133" w:name="_Toc2076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2863"/>
      <w:bookmarkStart w:id="135" w:name="_Toc7750"/>
      <w:bookmarkStart w:id="136" w:name="_Toc16112"/>
      <w:bookmarkStart w:id="137" w:name="_Toc25920"/>
      <w:bookmarkStart w:id="138" w:name="_Toc11892"/>
      <w:bookmarkStart w:id="139" w:name="_Toc11763"/>
      <w:bookmarkStart w:id="140" w:name="_Toc76373907"/>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10063"/>
      <w:bookmarkStart w:id="149" w:name="_Toc3094"/>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493178790"/>
      <w:bookmarkStart w:id="163" w:name="_Toc9795"/>
      <w:bookmarkStart w:id="164" w:name="_Toc76373909"/>
      <w:bookmarkStart w:id="165" w:name="_Toc27306"/>
      <w:bookmarkStart w:id="166" w:name="_Toc21830"/>
      <w:bookmarkStart w:id="167" w:name="_Toc21431"/>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492721039"/>
      <w:bookmarkStart w:id="172" w:name="_Toc20258"/>
      <w:bookmarkStart w:id="173" w:name="_Toc12647"/>
      <w:bookmarkStart w:id="174" w:name="_Toc76373910"/>
      <w:bookmarkStart w:id="175" w:name="_Toc493178791"/>
      <w:bookmarkStart w:id="176" w:name="_Toc16487"/>
      <w:bookmarkStart w:id="177" w:name="_Toc20875"/>
      <w:bookmarkStart w:id="178" w:name="_Toc41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93178793"/>
      <w:bookmarkStart w:id="181" w:name="_Toc4250"/>
      <w:bookmarkStart w:id="182" w:name="_Toc6217"/>
      <w:bookmarkStart w:id="183" w:name="_Toc16151"/>
      <w:bookmarkStart w:id="184" w:name="_Toc76373912"/>
      <w:bookmarkStart w:id="185" w:name="_Toc8925"/>
      <w:bookmarkStart w:id="186" w:name="_Toc492721038"/>
      <w:bookmarkStart w:id="187" w:name="_Toc19291"/>
      <w:bookmarkStart w:id="188" w:name="_Toc20605"/>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77014493">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9337B0-CC74-4588-BF5C-D5C7A2451D4C}"/>
  </w:font>
  <w:font w:name="黑体">
    <w:panose1 w:val="02010609060101010101"/>
    <w:charset w:val="86"/>
    <w:family w:val="auto"/>
    <w:pitch w:val="default"/>
    <w:sig w:usb0="800002BF" w:usb1="38CF7CFA" w:usb2="00000016" w:usb3="00000000" w:csb0="00040001" w:csb1="00000000"/>
    <w:embedRegular r:id="rId2" w:fontKey="{6BD10077-ECBF-4853-A5A7-3DCBDCD3C1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3F651E7D-0CFF-4070-8A11-1F834CC425E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0A95EBAD-7143-4886-AD77-2EFFBF013845}"/>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2CD22CEF-B096-4932-B7E7-3662EFBC65D0}"/>
  </w:font>
  <w:font w:name="方正黑体_GBK">
    <w:panose1 w:val="03000509000000000000"/>
    <w:charset w:val="86"/>
    <w:family w:val="script"/>
    <w:pitch w:val="default"/>
    <w:sig w:usb0="00000001" w:usb1="080E0000" w:usb2="00000000" w:usb3="00000000" w:csb0="00040000" w:csb1="00000000"/>
    <w:embedRegular r:id="rId6" w:fontKey="{45DF96F7-F6E0-45A6-8725-46BEC8DC7FCF}"/>
  </w:font>
  <w:font w:name="方正小标宋_GBK">
    <w:panose1 w:val="03000509000000000000"/>
    <w:charset w:val="86"/>
    <w:family w:val="script"/>
    <w:pitch w:val="default"/>
    <w:sig w:usb0="00000001" w:usb1="080E0000" w:usb2="00000000" w:usb3="00000000" w:csb0="00040000" w:csb1="00000000"/>
    <w:embedRegular r:id="rId7" w:fontKey="{B33FA6DD-F471-463E-BE8E-424B3F070199}"/>
  </w:font>
  <w:font w:name="微软雅黑">
    <w:panose1 w:val="020B0503020204020204"/>
    <w:charset w:val="86"/>
    <w:family w:val="swiss"/>
    <w:pitch w:val="default"/>
    <w:sig w:usb0="80000287" w:usb1="2ACF3C50" w:usb2="00000016" w:usb3="00000000" w:csb0="0004001F" w:csb1="00000000"/>
    <w:embedRegular r:id="rId8" w:fontKey="{1189FE9C-8A5C-4AF9-9C99-7004735B244B}"/>
  </w:font>
  <w:font w:name="仿宋">
    <w:panose1 w:val="02010609060101010101"/>
    <w:charset w:val="86"/>
    <w:family w:val="modern"/>
    <w:pitch w:val="default"/>
    <w:sig w:usb0="800002BF" w:usb1="38CF7CFA" w:usb2="00000016" w:usb3="00000000" w:csb0="00040001" w:csb1="00000000"/>
    <w:embedRegular r:id="rId9" w:fontKey="{622FD808-8937-4CC2-9A2C-01E459F2A9D1}"/>
  </w:font>
  <w:font w:name="楷体">
    <w:panose1 w:val="02010609060101010101"/>
    <w:charset w:val="86"/>
    <w:family w:val="modern"/>
    <w:pitch w:val="default"/>
    <w:sig w:usb0="800002BF" w:usb1="38CF7CFA" w:usb2="00000016" w:usb3="00000000" w:csb0="00040001" w:csb1="00000000"/>
    <w:embedRegular r:id="rId10" w:fontKey="{3D6E0DF4-A2EE-4D5D-AFD8-7101F8D28E4B}"/>
  </w:font>
  <w:font w:name="WPSEMBED25">
    <w:panose1 w:val="03000509000000000000"/>
    <w:charset w:val="86"/>
    <w:family w:val="auto"/>
    <w:pitch w:val="default"/>
    <w:sig w:usb0="00000001" w:usb1="080E0000" w:usb2="00000000" w:usb3="00000000" w:csb0="00040000" w:csb1="00000000"/>
  </w:font>
  <w:font w:name="WPSEMBED2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570C92"/>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3D422B"/>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9D148C"/>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9E64EE"/>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C626EF"/>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9A2EAC"/>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3282</Words>
  <Characters>3427</Characters>
  <Lines>101</Lines>
  <Paragraphs>28</Paragraphs>
  <TotalTime>5</TotalTime>
  <ScaleCrop>false</ScaleCrop>
  <LinksUpToDate>false</LinksUpToDate>
  <CharactersWithSpaces>3518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2025-11-25T03:25:17Z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