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31066"/>
      <w:bookmarkStart w:id="2" w:name="_Toc10059"/>
      <w:bookmarkStart w:id="3" w:name="_Toc13868"/>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15376"/>
      <w:bookmarkStart w:id="10" w:name="_Toc22435"/>
      <w:bookmarkStart w:id="11" w:name="_Toc282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项目名称：一次性使用穿刺针</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707"/>
            <w:bookmarkStart w:id="16" w:name="_Toc5838"/>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一次性使用穿刺针</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内分泌代谢病科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0358"/>
      <w:bookmarkStart w:id="20" w:name="_Toc3434"/>
      <w:bookmarkStart w:id="21" w:name="_Toc26504"/>
      <w:bookmarkStart w:id="22" w:name="_Toc25496"/>
      <w:bookmarkStart w:id="23" w:name="_Toc10137"/>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28099"/>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报名内分泌代谢病科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“内分泌代谢病科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内分泌代谢病科包X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内分泌代谢病科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14224"/>
      <w:bookmarkStart w:id="45" w:name="_Toc9714"/>
      <w:bookmarkStart w:id="46" w:name="_Toc763738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1474"/>
      <w:bookmarkStart w:id="53" w:name="_Toc3153"/>
      <w:bookmarkStart w:id="54" w:name="_Toc13391"/>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30465"/>
      <w:bookmarkStart w:id="60" w:name="_Toc76373876"/>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49D93E6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功能用用途：甲状腺结节的穿刺取样</w:t>
      </w:r>
    </w:p>
    <w:p w14:paraId="72FC0F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654E59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1.规格包含但不限于：22Gx70mm</w:t>
      </w:r>
      <w:r>
        <w:rPr>
          <w:rFonts w:hint="eastAsia" w:cs="Times New Roman"/>
          <w:sz w:val="24"/>
          <w:szCs w:val="24"/>
          <w:lang w:val="en-US" w:eastAsia="zh-CN"/>
        </w:rPr>
        <w:t>；</w:t>
      </w:r>
    </w:p>
    <w:p w14:paraId="065D74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2.特殊chiba针尖刃口锋利、穿透力强</w:t>
      </w:r>
      <w:r>
        <w:rPr>
          <w:rFonts w:hint="eastAsia" w:cs="Times New Roman"/>
          <w:sz w:val="24"/>
          <w:szCs w:val="24"/>
          <w:lang w:val="en-US" w:eastAsia="zh-CN"/>
        </w:rPr>
        <w:t>；</w:t>
      </w:r>
    </w:p>
    <w:p w14:paraId="043730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3.针管材质为06Cr19Ni10，针管要求有厘米刻度标识，能精确定位穿刺深度</w:t>
      </w:r>
      <w:r>
        <w:rPr>
          <w:rFonts w:hint="eastAsia" w:cs="Times New Roman"/>
          <w:sz w:val="24"/>
          <w:szCs w:val="24"/>
          <w:lang w:val="en-US" w:eastAsia="zh-CN"/>
        </w:rPr>
        <w:t>；</w:t>
      </w:r>
    </w:p>
    <w:p w14:paraId="2AE9BF1A">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.针基材质为聚碳酸酯材料，透明可视，便于实时观察取样量情况</w:t>
      </w:r>
      <w:r>
        <w:rPr>
          <w:rFonts w:hint="eastAsia" w:cs="Times New Roman"/>
          <w:sz w:val="24"/>
          <w:szCs w:val="24"/>
          <w:lang w:val="en-US" w:eastAsia="zh-CN"/>
        </w:rPr>
        <w:t>；</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5.标准鲁尔接口，可连接注射器</w:t>
      </w:r>
      <w:r>
        <w:rPr>
          <w:rFonts w:hint="default" w:ascii="Times New Roman" w:hAnsi="Times New Roman" w:eastAsia="宋体" w:cs="Times New Roman"/>
          <w:i w:val="0"/>
          <w:kern w:val="2"/>
          <w:sz w:val="24"/>
          <w:szCs w:val="24"/>
          <w:lang w:val="en-US" w:eastAsia="zh-CN" w:bidi="ar-SA"/>
        </w:rPr>
        <w:t>。</w:t>
      </w: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76373878"/>
      <w:bookmarkStart w:id="68" w:name="_Toc17524"/>
      <w:bookmarkStart w:id="69" w:name="_Toc17944"/>
      <w:bookmarkStart w:id="70" w:name="_Toc2072"/>
      <w:bookmarkStart w:id="71" w:name="_Toc31843"/>
      <w:bookmarkStart w:id="72" w:name="_Toc24122"/>
      <w:bookmarkStart w:id="73" w:name="_Toc7794"/>
      <w:bookmarkStart w:id="74" w:name="_Toc4791"/>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5959"/>
      <w:bookmarkStart w:id="79" w:name="_Toc9339"/>
      <w:bookmarkStart w:id="80" w:name="_Toc14311"/>
      <w:bookmarkStart w:id="81" w:name="_Toc76373879"/>
      <w:bookmarkStart w:id="82" w:name="_Toc29836"/>
      <w:bookmarkStart w:id="83" w:name="_Toc2256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12384"/>
      <w:bookmarkStart w:id="89" w:name="_Toc20772"/>
      <w:bookmarkStart w:id="90" w:name="_Toc20263"/>
      <w:bookmarkStart w:id="91" w:name="_Toc27893"/>
      <w:bookmarkStart w:id="92" w:name="_Toc2258"/>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12712"/>
      <w:bookmarkStart w:id="96" w:name="_Toc11052"/>
      <w:bookmarkStart w:id="97" w:name="_Toc76373886"/>
      <w:bookmarkStart w:id="98" w:name="_Toc23699"/>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26754"/>
      <w:bookmarkStart w:id="103" w:name="_Toc31293"/>
      <w:bookmarkStart w:id="104" w:name="_Toc13585"/>
      <w:bookmarkStart w:id="105" w:name="_Toc5535"/>
      <w:bookmarkStart w:id="106" w:name="_Toc19809"/>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5251"/>
      <w:bookmarkStart w:id="109" w:name="_Toc8546"/>
      <w:bookmarkStart w:id="110" w:name="_Toc16925"/>
      <w:bookmarkStart w:id="111" w:name="_Toc2900"/>
      <w:bookmarkStart w:id="112" w:name="_Toc76373889"/>
      <w:bookmarkStart w:id="113" w:name="_Toc30068"/>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342"/>
      <w:bookmarkStart w:id="118" w:name="_Toc11654"/>
      <w:bookmarkStart w:id="119" w:name="_Toc76373890"/>
      <w:bookmarkStart w:id="120" w:name="_Toc26071"/>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0391"/>
      <w:bookmarkStart w:id="125" w:name="_Toc27646"/>
      <w:bookmarkStart w:id="126" w:name="_Toc25199"/>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76373904"/>
      <w:bookmarkStart w:id="137" w:name="_Toc2975"/>
      <w:bookmarkStart w:id="138" w:name="_Toc19409"/>
      <w:bookmarkStart w:id="139" w:name="_Toc20762"/>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1763"/>
      <w:bookmarkStart w:id="143" w:name="_Toc7750"/>
      <w:bookmarkStart w:id="144" w:name="_Toc16112"/>
      <w:bookmarkStart w:id="145" w:name="_Toc76373907"/>
      <w:bookmarkStart w:id="146" w:name="_Toc11892"/>
      <w:bookmarkStart w:id="147" w:name="_Toc128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27306"/>
      <w:bookmarkStart w:id="171" w:name="_Toc9795"/>
      <w:bookmarkStart w:id="172" w:name="_Toc76373909"/>
      <w:bookmarkStart w:id="173" w:name="_Toc21431"/>
      <w:bookmarkStart w:id="174" w:name="_Toc2183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76373910"/>
      <w:bookmarkStart w:id="180" w:name="_Toc411"/>
      <w:bookmarkStart w:id="181" w:name="_Toc20258"/>
      <w:bookmarkStart w:id="182" w:name="_Toc20875"/>
      <w:bookmarkStart w:id="183" w:name="_Toc12647"/>
      <w:bookmarkStart w:id="184" w:name="_Toc16487"/>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8925"/>
      <w:bookmarkStart w:id="189" w:name="_Toc20605"/>
      <w:bookmarkStart w:id="190" w:name="_Toc19291"/>
      <w:bookmarkStart w:id="191" w:name="_Toc492721038"/>
      <w:bookmarkStart w:id="192" w:name="_Toc16151"/>
      <w:bookmarkStart w:id="193" w:name="_Toc76373912"/>
      <w:bookmarkStart w:id="194" w:name="_Toc493178793"/>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D82F1E-3796-4172-ABCA-94AF3D98F268}"/>
  </w:font>
  <w:font w:name="黑体">
    <w:panose1 w:val="02010609060101010101"/>
    <w:charset w:val="86"/>
    <w:family w:val="auto"/>
    <w:pitch w:val="default"/>
    <w:sig w:usb0="800002BF" w:usb1="38CF7CFA" w:usb2="00000016" w:usb3="00000000" w:csb0="00040001" w:csb1="00000000"/>
    <w:embedRegular r:id="rId2" w:fontKey="{D9DB70D3-E685-43E0-8575-06C57FB005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1F8019C-B966-4D3E-B1FB-114BFCB9E24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2F56DD5-B2DF-4D37-818F-9F4892C7352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52C7601-934B-4BCC-ACA2-F621E4EED893}"/>
  </w:font>
  <w:font w:name="方正黑体_GBK">
    <w:panose1 w:val="03000509000000000000"/>
    <w:charset w:val="86"/>
    <w:family w:val="script"/>
    <w:pitch w:val="default"/>
    <w:sig w:usb0="00000001" w:usb1="080E0000" w:usb2="00000000" w:usb3="00000000" w:csb0="00040000" w:csb1="00000000"/>
    <w:embedRegular r:id="rId6" w:fontKey="{9D701523-7899-4DB0-8197-5E6CB3D6CFEE}"/>
  </w:font>
  <w:font w:name="方正小标宋_GBK">
    <w:panose1 w:val="03000509000000000000"/>
    <w:charset w:val="86"/>
    <w:family w:val="script"/>
    <w:pitch w:val="default"/>
    <w:sig w:usb0="00000001" w:usb1="080E0000" w:usb2="00000000" w:usb3="00000000" w:csb0="00040000" w:csb1="00000000"/>
    <w:embedRegular r:id="rId7" w:fontKey="{319E93AB-43EE-4396-BD44-A3764139A19C}"/>
  </w:font>
  <w:font w:name="微软雅黑">
    <w:panose1 w:val="020B0503020204020204"/>
    <w:charset w:val="86"/>
    <w:family w:val="swiss"/>
    <w:pitch w:val="default"/>
    <w:sig w:usb0="80000287" w:usb1="2ACF3C50" w:usb2="00000016" w:usb3="00000000" w:csb0="0004001F" w:csb1="00000000"/>
    <w:embedRegular r:id="rId8" w:fontKey="{34C75E1E-9936-4585-9DF2-BD3BBE23851E}"/>
  </w:font>
  <w:font w:name="仿宋">
    <w:panose1 w:val="02010609060101010101"/>
    <w:charset w:val="86"/>
    <w:family w:val="modern"/>
    <w:pitch w:val="default"/>
    <w:sig w:usb0="800002BF" w:usb1="38CF7CFA" w:usb2="00000016" w:usb3="00000000" w:csb0="00040001" w:csb1="00000000"/>
    <w:embedRegular r:id="rId9" w:fontKey="{0C68AB2A-2AE0-40B1-B6A9-A8DD44A75882}"/>
  </w:font>
  <w:font w:name="楷体">
    <w:panose1 w:val="02010609060101010101"/>
    <w:charset w:val="86"/>
    <w:family w:val="modern"/>
    <w:pitch w:val="default"/>
    <w:sig w:usb0="800002BF" w:usb1="38CF7CFA" w:usb2="00000016" w:usb3="00000000" w:csb0="00040001" w:csb1="00000000"/>
    <w:embedRegular r:id="rId10" w:fontKey="{533F4CE0-55D7-4E6B-B8AA-568D22373C76}"/>
  </w:font>
  <w:font w:name="WPSEMBED27">
    <w:panose1 w:val="03000509000000000000"/>
    <w:charset w:val="86"/>
    <w:family w:val="auto"/>
    <w:pitch w:val="default"/>
    <w:sig w:usb0="00000001" w:usb1="080E0000" w:usb2="00000000" w:usb3="00000000" w:csb0="00040000" w:csb1="00000000"/>
  </w:font>
  <w:font w:name="WPSEMBED2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36324B"/>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7188E"/>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AB1B3E"/>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1768</Words>
  <Characters>1788</Characters>
  <Lines>101</Lines>
  <Paragraphs>28</Paragraphs>
  <TotalTime>141</TotalTime>
  <ScaleCrop>false</ScaleCrop>
  <LinksUpToDate>false</LinksUpToDate>
  <CharactersWithSpaces>1877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2025-11-25T03:25:43Z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