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0059"/>
      <w:bookmarkStart w:id="2" w:name="_Toc31066"/>
      <w:bookmarkStart w:id="3" w:name="_Toc13868"/>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8264"/>
      <w:bookmarkStart w:id="9" w:name="_Toc76373864"/>
      <w:bookmarkStart w:id="10" w:name="_Toc22435"/>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一次性血袋（高渗枸橼盐酸嘌呤溶液）、器官保存液</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18060"/>
            <w:bookmarkStart w:id="16" w:name="_Toc22129"/>
            <w:bookmarkStart w:id="17" w:name="_Toc22707"/>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一次性血袋（高渗枸橼盐酸嘌呤溶液）</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color w:val="auto"/>
                <w:kern w:val="2"/>
                <w:szCs w:val="24"/>
                <w:lang w:val="en-US" w:eastAsia="zh-CN"/>
              </w:rPr>
              <w:t>器官捐献与移植</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85FF565">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器官保存液</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1（进口）</w:t>
            </w:r>
          </w:p>
        </w:tc>
        <w:tc>
          <w:tcPr>
            <w:tcW w:w="1594" w:type="dxa"/>
            <w:vMerge w:val="continue"/>
            <w:noWrap w:val="0"/>
            <w:vAlign w:val="center"/>
          </w:tcPr>
          <w:p w14:paraId="7CCBFB1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10137"/>
      <w:bookmarkStart w:id="21" w:name="_Toc30358"/>
      <w:bookmarkStart w:id="22" w:name="_Toc3434"/>
      <w:bookmarkStart w:id="23" w:name="_Toc76373866"/>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报名器官捐献与移植</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“器官捐献与移植</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器官捐献与移植</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器官捐献与移植</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9714"/>
      <w:bookmarkStart w:id="45" w:name="_Toc76373872"/>
      <w:bookmarkStart w:id="46" w:name="_Toc4033"/>
      <w:bookmarkStart w:id="47" w:name="_Toc252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76373874"/>
      <w:bookmarkStart w:id="52" w:name="_Toc2599"/>
      <w:bookmarkStart w:id="53" w:name="_Toc13391"/>
      <w:bookmarkStart w:id="54" w:name="_Toc3153"/>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29225"/>
      <w:bookmarkStart w:id="60" w:name="_Toc6355"/>
      <w:bookmarkStart w:id="61" w:name="_Toc3046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DBB13E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1功能：防止肾细胞肿胀，维持细胞内离子浓度，延缓肾小球内皮细胞的不可逆损伤，用于人及动物离体肾的灌洗和保存</w:t>
      </w:r>
      <w:r>
        <w:rPr>
          <w:rFonts w:hint="eastAsia" w:cs="Times New Roman"/>
          <w:sz w:val="24"/>
          <w:szCs w:val="24"/>
          <w:lang w:val="en-US" w:eastAsia="zh-CN"/>
        </w:rPr>
        <w:t>；</w:t>
      </w:r>
    </w:p>
    <w:p w14:paraId="3921A140">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w:t>
      </w:r>
      <w:r>
        <w:rPr>
          <w:rFonts w:hint="eastAsia" w:ascii="Times New Roman" w:eastAsia="宋体" w:cs="Times New Roman"/>
          <w:sz w:val="24"/>
          <w:szCs w:val="24"/>
          <w:lang w:val="en-US" w:eastAsia="zh-CN"/>
        </w:rPr>
        <w:t>适应症</w:t>
      </w:r>
      <w:r>
        <w:rPr>
          <w:rFonts w:hint="eastAsia" w:cs="Times New Roman"/>
          <w:sz w:val="24"/>
          <w:szCs w:val="24"/>
          <w:lang w:val="en-US" w:eastAsia="zh-CN"/>
        </w:rPr>
        <w:t>：</w:t>
      </w:r>
      <w:r>
        <w:rPr>
          <w:rFonts w:hint="eastAsia" w:ascii="Times New Roman" w:eastAsia="宋体" w:cs="Times New Roman"/>
          <w:sz w:val="24"/>
          <w:szCs w:val="24"/>
          <w:lang w:val="en-US" w:eastAsia="zh-CN"/>
        </w:rPr>
        <w:t>肾脏移植时，灌注并保存人离体肾脏</w:t>
      </w:r>
      <w:r>
        <w:rPr>
          <w:rFonts w:hint="eastAsia" w:cs="Times New Roman"/>
          <w:sz w:val="24"/>
          <w:szCs w:val="24"/>
          <w:lang w:val="en-US" w:eastAsia="zh-CN"/>
        </w:rPr>
        <w:t>；</w:t>
      </w:r>
    </w:p>
    <w:p w14:paraId="44419E11">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w:t>
      </w:r>
      <w:r>
        <w:rPr>
          <w:rFonts w:hint="eastAsia" w:ascii="Times New Roman" w:eastAsia="宋体" w:cs="Times New Roman"/>
          <w:sz w:val="24"/>
          <w:szCs w:val="24"/>
          <w:lang w:val="en-US" w:eastAsia="zh-CN"/>
        </w:rPr>
        <w:t>技术参数：液体、一次性无菌医疗器械产品、500ml/袋</w:t>
      </w:r>
      <w:r>
        <w:rPr>
          <w:rFonts w:hint="eastAsia" w:cs="Times New Roman"/>
          <w:sz w:val="24"/>
          <w:szCs w:val="24"/>
          <w:lang w:val="en-US" w:eastAsia="zh-CN"/>
        </w:rPr>
        <w:t>；</w:t>
      </w:r>
    </w:p>
    <w:p w14:paraId="16AA7760">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w:t>
      </w:r>
      <w:r>
        <w:rPr>
          <w:rFonts w:hint="eastAsia" w:ascii="Times New Roman" w:eastAsia="宋体" w:cs="Times New Roman"/>
          <w:sz w:val="24"/>
          <w:szCs w:val="24"/>
          <w:lang w:val="en-US" w:eastAsia="zh-CN"/>
        </w:rPr>
        <w:t>组成：枸橼酸钾、枸橼酸钠、硫酸镁、甘露醇、磷酸腺嘌呤、注射用水</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3CD8C1B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1.用途：用于在摘除供体的器官时对肾脏、肝脏和胰腺器官进行冲洗和冷藏，以便为器官的保存、运输和最终移植到受体体内做准备。</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技术参数：由羟乙基淀粉、乳糖酸、磷酸二氢钾、硫酸镁五水棉子糖、腺苷、别嘌呤醇、总谷胱甘肽、氢氧化钾、氢氧化钠/盐酸、注射用水组成。产品无菌状态提供。用于在摘除供体的器官时对肾脏、肝脏和胰腺器官进行冲洗和冷藏</w:t>
      </w:r>
      <w:r>
        <w:rPr>
          <w:rFonts w:hint="default" w:ascii="Times New Roman" w:hAnsi="Times New Roman" w:eastAsia="宋体" w:cs="Times New Roman"/>
          <w:i w:val="0"/>
          <w:kern w:val="2"/>
          <w:sz w:val="24"/>
          <w:szCs w:val="24"/>
          <w:lang w:val="en-US" w:eastAsia="zh-CN" w:bidi="ar-SA"/>
        </w:rPr>
        <w:t>。</w:t>
      </w:r>
    </w:p>
    <w:p w14:paraId="23504259">
      <w:pPr>
        <w:spacing w:line="320" w:lineRule="exact"/>
        <w:rPr>
          <w:rFonts w:hint="eastAsia" w:cs="Times New Roman"/>
          <w:i w:val="0"/>
          <w:kern w:val="2"/>
          <w:sz w:val="24"/>
          <w:szCs w:val="24"/>
          <w:lang w:val="en-US" w:eastAsia="zh-CN" w:bidi="ar-SA"/>
        </w:rPr>
      </w:pPr>
    </w:p>
    <w:p w14:paraId="42F988B6">
      <w:pPr>
        <w:spacing w:line="320" w:lineRule="exact"/>
        <w:ind w:left="478" w:leftChars="85" w:hanging="240" w:hangingChars="100"/>
        <w:rPr>
          <w:rFonts w:hint="eastAsia"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76373878"/>
      <w:bookmarkStart w:id="68" w:name="_Toc15650"/>
      <w:bookmarkStart w:id="69" w:name="_Toc4791"/>
      <w:bookmarkStart w:id="70" w:name="_Toc7794"/>
      <w:bookmarkStart w:id="71" w:name="_Toc17524"/>
      <w:bookmarkStart w:id="72" w:name="_Toc1768"/>
      <w:bookmarkStart w:id="73" w:name="_Toc31843"/>
      <w:bookmarkStart w:id="74" w:name="_Toc24122"/>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29836"/>
      <w:bookmarkStart w:id="79" w:name="_Toc30551"/>
      <w:bookmarkStart w:id="80" w:name="_Toc9339"/>
      <w:bookmarkStart w:id="81" w:name="_Toc14311"/>
      <w:bookmarkStart w:id="82" w:name="_Toc22561"/>
      <w:bookmarkStart w:id="83" w:name="_Toc595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12384"/>
      <w:bookmarkStart w:id="88" w:name="_Toc20772"/>
      <w:bookmarkStart w:id="89" w:name="_Toc27737"/>
      <w:bookmarkStart w:id="90" w:name="_Toc76373885"/>
      <w:bookmarkStart w:id="91" w:name="_Toc2258"/>
      <w:bookmarkStart w:id="92" w:name="_Toc27893"/>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28189"/>
      <w:bookmarkStart w:id="96" w:name="_Toc11052"/>
      <w:bookmarkStart w:id="97" w:name="_Toc76373886"/>
      <w:bookmarkStart w:id="98" w:name="_Toc23699"/>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19809"/>
      <w:bookmarkStart w:id="102" w:name="_Toc9147"/>
      <w:bookmarkStart w:id="103" w:name="_Toc13585"/>
      <w:bookmarkStart w:id="104" w:name="_Toc76373887"/>
      <w:bookmarkStart w:id="105" w:name="_Toc31293"/>
      <w:bookmarkStart w:id="106" w:name="_Toc5535"/>
      <w:bookmarkStart w:id="107" w:name="_Toc26754"/>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2900"/>
      <w:bookmarkStart w:id="110" w:name="_Toc76373889"/>
      <w:bookmarkStart w:id="111" w:name="_Toc16925"/>
      <w:bookmarkStart w:id="112" w:name="_Toc8546"/>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11342"/>
      <w:bookmarkStart w:id="118" w:name="_Toc27443"/>
      <w:bookmarkStart w:id="119" w:name="_Toc26071"/>
      <w:bookmarkStart w:id="120" w:name="_Toc11654"/>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20391"/>
      <w:bookmarkStart w:id="125" w:name="_Toc25199"/>
      <w:bookmarkStart w:id="126" w:name="_Toc76373891"/>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4088"/>
      <w:bookmarkStart w:id="136" w:name="_Toc20762"/>
      <w:bookmarkStart w:id="137" w:name="_Toc10152"/>
      <w:bookmarkStart w:id="138" w:name="_Toc19409"/>
      <w:bookmarkStart w:id="139" w:name="_Toc2975"/>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763"/>
      <w:bookmarkStart w:id="142" w:name="_Toc11892"/>
      <w:bookmarkStart w:id="143" w:name="_Toc16112"/>
      <w:bookmarkStart w:id="144" w:name="_Toc12863"/>
      <w:bookmarkStart w:id="145" w:name="_Toc7750"/>
      <w:bookmarkStart w:id="146" w:name="_Toc76373907"/>
      <w:bookmarkStart w:id="147" w:name="_Toc2592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76373909"/>
      <w:bookmarkStart w:id="170" w:name="_Toc21431"/>
      <w:bookmarkStart w:id="171" w:name="_Toc9795"/>
      <w:bookmarkStart w:id="172" w:name="_Toc21830"/>
      <w:bookmarkStart w:id="173" w:name="_Toc493178790"/>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76373910"/>
      <w:bookmarkStart w:id="179" w:name="_Toc493178791"/>
      <w:bookmarkStart w:id="180" w:name="_Toc20875"/>
      <w:bookmarkStart w:id="181" w:name="_Toc492721039"/>
      <w:bookmarkStart w:id="182" w:name="_Toc16487"/>
      <w:bookmarkStart w:id="183" w:name="_Toc20258"/>
      <w:bookmarkStart w:id="184" w:name="_Toc12647"/>
      <w:bookmarkStart w:id="185"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16151"/>
      <w:bookmarkStart w:id="189" w:name="_Toc8925"/>
      <w:bookmarkStart w:id="190" w:name="_Toc4250"/>
      <w:bookmarkStart w:id="191" w:name="_Toc20605"/>
      <w:bookmarkStart w:id="192" w:name="_Toc492721038"/>
      <w:bookmarkStart w:id="193" w:name="_Toc76373912"/>
      <w:bookmarkStart w:id="194" w:name="_Toc19291"/>
      <w:bookmarkStart w:id="195" w:name="_Toc493178793"/>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CFB3C06">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6BCCBB-C5D1-41DA-B11F-C950B399AB72}"/>
  </w:font>
  <w:font w:name="黑体">
    <w:panose1 w:val="02010609060101010101"/>
    <w:charset w:val="86"/>
    <w:family w:val="auto"/>
    <w:pitch w:val="default"/>
    <w:sig w:usb0="800002BF" w:usb1="38CF7CFA" w:usb2="00000016" w:usb3="00000000" w:csb0="00040001" w:csb1="00000000"/>
    <w:embedRegular r:id="rId2" w:fontKey="{326391FB-98A9-48C4-8774-015E897D2C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3C090097-B260-4689-A742-DF914340524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09B1DBBF-C777-4570-9BA5-89F19E1E0472}"/>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6AED0136-EFB4-4ED7-BCDE-6085B585E5DB}"/>
  </w:font>
  <w:font w:name="方正黑体_GBK">
    <w:panose1 w:val="03000509000000000000"/>
    <w:charset w:val="86"/>
    <w:family w:val="script"/>
    <w:pitch w:val="default"/>
    <w:sig w:usb0="00000001" w:usb1="080E0000" w:usb2="00000000" w:usb3="00000000" w:csb0="00040000" w:csb1="00000000"/>
    <w:embedRegular r:id="rId6" w:fontKey="{F2DAB056-EC45-404F-90D2-8922CC4E2793}"/>
  </w:font>
  <w:font w:name="方正小标宋_GBK">
    <w:panose1 w:val="03000509000000000000"/>
    <w:charset w:val="86"/>
    <w:family w:val="script"/>
    <w:pitch w:val="default"/>
    <w:sig w:usb0="00000001" w:usb1="080E0000" w:usb2="00000000" w:usb3="00000000" w:csb0="00040000" w:csb1="00000000"/>
    <w:embedRegular r:id="rId7" w:fontKey="{ED4C04D1-B621-408B-A5AE-8FC493B06C51}"/>
  </w:font>
  <w:font w:name="微软雅黑">
    <w:panose1 w:val="020B0503020204020204"/>
    <w:charset w:val="86"/>
    <w:family w:val="swiss"/>
    <w:pitch w:val="default"/>
    <w:sig w:usb0="80000287" w:usb1="2ACF3C50" w:usb2="00000016" w:usb3="00000000" w:csb0="0004001F" w:csb1="00000000"/>
    <w:embedRegular r:id="rId8" w:fontKey="{F0409489-E1E1-4696-80F6-390F31CA739D}"/>
  </w:font>
  <w:font w:name="仿宋">
    <w:panose1 w:val="02010609060101010101"/>
    <w:charset w:val="86"/>
    <w:family w:val="modern"/>
    <w:pitch w:val="default"/>
    <w:sig w:usb0="800002BF" w:usb1="38CF7CFA" w:usb2="00000016" w:usb3="00000000" w:csb0="00040001" w:csb1="00000000"/>
    <w:embedRegular r:id="rId9" w:fontKey="{B8A97461-542B-4F22-A3D8-F5FE5BE2A065}"/>
  </w:font>
  <w:font w:name="楷体">
    <w:panose1 w:val="02010609060101010101"/>
    <w:charset w:val="86"/>
    <w:family w:val="modern"/>
    <w:pitch w:val="default"/>
    <w:sig w:usb0="800002BF" w:usb1="38CF7CFA" w:usb2="00000016" w:usb3="00000000" w:csb0="00040001" w:csb1="00000000"/>
    <w:embedRegular r:id="rId10" w:fontKey="{7C8B353A-A84D-4D99-BD5A-3E5BADAA0EC4}"/>
  </w:font>
  <w:font w:name="WPSEMBED29">
    <w:panose1 w:val="03000509000000000000"/>
    <w:charset w:val="86"/>
    <w:family w:val="auto"/>
    <w:pitch w:val="default"/>
    <w:sig w:usb0="00000001" w:usb1="080E0000" w:usb2="00000000" w:usb3="00000000" w:csb0="00040000" w:csb1="00000000"/>
  </w:font>
  <w:font w:name="WPSEMBED3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50BD"/>
    <w:rsid w:val="219D6972"/>
    <w:rsid w:val="21A659B2"/>
    <w:rsid w:val="21DC692A"/>
    <w:rsid w:val="21F61A98"/>
    <w:rsid w:val="21FC1A76"/>
    <w:rsid w:val="2250591D"/>
    <w:rsid w:val="22850119"/>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6C7990"/>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5E1CB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5611</Words>
  <Characters>5729</Characters>
  <Lines>101</Lines>
  <Paragraphs>28</Paragraphs>
  <TotalTime>3</TotalTime>
  <ScaleCrop>false</ScaleCrop>
  <LinksUpToDate>false</LinksUpToDate>
  <CharactersWithSpaces>5837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2025-11-25T03:26:25Z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