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13868"/>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76373864"/>
      <w:bookmarkStart w:id="9" w:name="_Toc28264"/>
      <w:bookmarkStart w:id="10" w:name="_Toc5909"/>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一次性切口牵开固定器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一次性使用外科牵开固定器（拉钩）等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一次性使用弹力线肛肠套扎吻合器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肠梗阻导管套件</w:t>
      </w:r>
      <w:r>
        <w:rPr>
          <w:rFonts w:hint="eastAsia" w:cs="Times New Roman"/>
          <w:color w:val="000000"/>
          <w:sz w:val="24"/>
          <w:szCs w:val="24"/>
          <w:lang w:val="en-US" w:eastAsia="zh-CN"/>
        </w:rPr>
        <w:t>、医用几丁糖</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22707"/>
            <w:bookmarkStart w:id="17" w:name="_Toc5838"/>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一次性切口牵开固定器</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1-2</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一次性使用外科牵开固定器（拉钩）等</w:t>
            </w:r>
          </w:p>
        </w:tc>
        <w:tc>
          <w:tcPr>
            <w:tcW w:w="1327" w:type="dxa"/>
            <w:noWrap w:val="0"/>
            <w:vAlign w:val="center"/>
          </w:tcPr>
          <w:p w14:paraId="2BBDB9F8">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B0D40BC">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1-2</w:t>
            </w:r>
          </w:p>
        </w:tc>
        <w:tc>
          <w:tcPr>
            <w:tcW w:w="1594" w:type="dxa"/>
            <w:noWrap w:val="0"/>
            <w:vAlign w:val="center"/>
          </w:tcPr>
          <w:p w14:paraId="7CCBFB15">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一次性使用弹力线肛肠套扎吻合器</w:t>
            </w:r>
          </w:p>
        </w:tc>
        <w:tc>
          <w:tcPr>
            <w:tcW w:w="1327" w:type="dxa"/>
            <w:noWrap w:val="0"/>
            <w:vAlign w:val="center"/>
          </w:tcPr>
          <w:p w14:paraId="01D4D236">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0FCFBBF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515F2D9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胃肠外科、妇科、肝胆外科</w:t>
            </w:r>
          </w:p>
        </w:tc>
      </w:tr>
      <w:tr w14:paraId="310E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79D49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34F794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肠梗阻导管套件</w:t>
            </w:r>
          </w:p>
        </w:tc>
        <w:tc>
          <w:tcPr>
            <w:tcW w:w="1327" w:type="dxa"/>
            <w:noWrap w:val="0"/>
            <w:vAlign w:val="center"/>
          </w:tcPr>
          <w:p w14:paraId="027E13E8">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10A3F21">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EE4617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w:t>
            </w:r>
          </w:p>
        </w:tc>
      </w:tr>
      <w:tr w14:paraId="192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22F3218">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5A852D1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医用几丁糖</w:t>
            </w:r>
          </w:p>
        </w:tc>
        <w:tc>
          <w:tcPr>
            <w:tcW w:w="1327" w:type="dxa"/>
            <w:noWrap w:val="0"/>
            <w:vAlign w:val="center"/>
          </w:tcPr>
          <w:p w14:paraId="031AF3D4">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48546C3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0425D56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妇科、肝胆外科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10137"/>
      <w:bookmarkStart w:id="21" w:name="_Toc25496"/>
      <w:bookmarkStart w:id="22" w:name="_Toc76373866"/>
      <w:bookmarkStart w:id="23" w:name="_Toc343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胃肠外科包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胃肠外科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胃肠外科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胃肠外科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4033"/>
      <w:bookmarkStart w:id="45" w:name="_Toc9714"/>
      <w:bookmarkStart w:id="46" w:name="_Toc14224"/>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11474"/>
      <w:bookmarkStart w:id="53" w:name="_Toc13391"/>
      <w:bookmarkStart w:id="54" w:name="_Toc2599"/>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30465"/>
      <w:bookmarkStart w:id="60" w:name="_Toc29620"/>
      <w:bookmarkStart w:id="61" w:name="_Toc2922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9C7149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1、用途：供内窥镜手术以及小切口手术使用，其功能是扩展切口术野，保护切口免受损伤，减少切口感染。</w:t>
      </w:r>
    </w:p>
    <w:p w14:paraId="7258F69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21C7365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1）材料：外环、置入环由PE制成，通道由PU(聚氨酯)薄膜制成；外环、置入环、通道由硅胶制成。</w:t>
      </w:r>
    </w:p>
    <w:p w14:paraId="050A2C4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2）各个使用连接均能承受牵拉力，不脱开、不撕裂。置入环、外环在径向外力、轴向外力作用下，能产生弹性变形，外力释放后能弹性恢复。</w:t>
      </w:r>
    </w:p>
    <w:p w14:paraId="42B7758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3）物理尺寸：外环外径：40mm-320mm</w:t>
      </w:r>
      <w:r>
        <w:rPr>
          <w:rFonts w:hint="eastAsia" w:cs="Times New Roman"/>
          <w:sz w:val="24"/>
          <w:szCs w:val="24"/>
          <w:lang w:val="en-US" w:eastAsia="zh-CN"/>
        </w:rPr>
        <w:t>；</w:t>
      </w:r>
      <w:r>
        <w:rPr>
          <w:rFonts w:hint="eastAsia" w:ascii="Times New Roman" w:eastAsia="宋体" w:cs="Times New Roman"/>
          <w:sz w:val="24"/>
          <w:szCs w:val="24"/>
          <w:lang w:val="en-US" w:eastAsia="zh-CN"/>
        </w:rPr>
        <w:t>置入环外径：30mm-330mm</w:t>
      </w:r>
      <w:r>
        <w:rPr>
          <w:rFonts w:hint="eastAsia" w:cs="Times New Roman"/>
          <w:sz w:val="24"/>
          <w:szCs w:val="24"/>
          <w:lang w:val="en-US" w:eastAsia="zh-CN"/>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3、组成成分：由外环、置入环和通道组成</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08B156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1、用途：可调节拉勾环，调整张力，拉勾线能提供均匀一致且足够强度的拉力。</w:t>
      </w:r>
    </w:p>
    <w:p w14:paraId="4D3E57A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4280EA9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1）拉钩类型：单钩型、双钩型、宽钩型可选；</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2）拉钩高度：5mm、12mm可选</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7BA0A45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1.技术参数</w:t>
      </w:r>
    </w:p>
    <w:p w14:paraId="6A1B7D6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1）自动化一键收紧套扎吻合功能，单人单手即可一键完成套扎吻合功能，缓慢旋转按键收紧拉线。</w:t>
      </w:r>
    </w:p>
    <w:p w14:paraId="43B3607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2）智能化定量套扎：自带紧线标志，定量收紧弹力线，有利于手术安全和标准化。</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2、组成：套扎弹力线乳胶、涤纶材质</w:t>
      </w:r>
      <w:r>
        <w:rPr>
          <w:rFonts w:hint="eastAsia" w:cs="Times New Roman"/>
          <w:i w:val="0"/>
          <w:kern w:val="2"/>
          <w:sz w:val="24"/>
          <w:szCs w:val="24"/>
          <w:lang w:val="en-US" w:eastAsia="zh-CN" w:bidi="ar-SA"/>
        </w:rPr>
        <w:t>。</w:t>
      </w:r>
    </w:p>
    <w:p w14:paraId="4AC16C5F">
      <w:pPr>
        <w:spacing w:line="320" w:lineRule="exact"/>
        <w:rPr>
          <w:rFonts w:hint="default" w:ascii="Times New Roman" w:hAnsi="Times New Roman" w:eastAsia="宋体" w:cs="Times New Roman"/>
          <w:i w:val="0"/>
          <w:kern w:val="2"/>
          <w:sz w:val="24"/>
          <w:szCs w:val="24"/>
          <w:lang w:val="en-US" w:eastAsia="zh-CN" w:bidi="ar-SA"/>
        </w:rPr>
      </w:pPr>
    </w:p>
    <w:p w14:paraId="2382342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76072E1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1、技术参数：</w:t>
      </w:r>
    </w:p>
    <w:p w14:paraId="451D3D3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1）导管长度：150</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300厘米；</w:t>
      </w:r>
    </w:p>
    <w:p w14:paraId="7C52B6F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2）导管外径：5</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15毫米；</w:t>
      </w:r>
    </w:p>
    <w:p w14:paraId="1EE014C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3）引流腔道内径：2</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8毫米；</w:t>
      </w:r>
    </w:p>
    <w:p w14:paraId="2B07B7D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4）导丝参数：150-300厘米；刻度间隔：5-</w:t>
      </w:r>
      <w:r>
        <w:rPr>
          <w:rFonts w:hint="eastAsia" w:cs="Times New Roman"/>
          <w:i w:val="0"/>
          <w:kern w:val="2"/>
          <w:sz w:val="24"/>
          <w:szCs w:val="24"/>
          <w:lang w:val="en-US" w:eastAsia="zh-CN" w:bidi="ar-SA"/>
        </w:rPr>
        <w:t>1</w:t>
      </w:r>
      <w:r>
        <w:rPr>
          <w:rFonts w:hint="default" w:ascii="Times New Roman" w:hAnsi="Times New Roman" w:eastAsia="宋体" w:cs="Times New Roman"/>
          <w:i w:val="0"/>
          <w:kern w:val="2"/>
          <w:sz w:val="24"/>
          <w:szCs w:val="24"/>
          <w:lang w:val="en-US" w:eastAsia="zh-CN" w:bidi="ar-SA"/>
        </w:rPr>
        <w:t>0厘米；</w:t>
      </w:r>
    </w:p>
    <w:p w14:paraId="4995A84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5）特殊标记：距离前端一定距离处（如50厘米、100厘米等位置）设置颜色标记或特殊符号标记；</w:t>
      </w:r>
    </w:p>
    <w:p w14:paraId="6F159233">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2、组成：导管主体材质：医用级聚氨酯、硅橡胶；前端引导头材质：柔软的医用塑料或硅胶材质</w:t>
      </w:r>
      <w:r>
        <w:rPr>
          <w:rFonts w:hint="eastAsia" w:cs="Times New Roman"/>
          <w:i w:val="0"/>
          <w:kern w:val="2"/>
          <w:sz w:val="24"/>
          <w:szCs w:val="24"/>
          <w:lang w:val="en-US" w:eastAsia="zh-CN" w:bidi="ar-SA"/>
        </w:rPr>
        <w:t>。</w:t>
      </w:r>
    </w:p>
    <w:p w14:paraId="2F225CAA">
      <w:pPr>
        <w:spacing w:line="320" w:lineRule="exact"/>
        <w:ind w:left="478" w:leftChars="85" w:hanging="240" w:hangingChars="100"/>
        <w:rPr>
          <w:rFonts w:hint="eastAsia" w:cs="Times New Roman"/>
          <w:i w:val="0"/>
          <w:kern w:val="2"/>
          <w:sz w:val="24"/>
          <w:szCs w:val="24"/>
          <w:lang w:val="en-US" w:eastAsia="zh-CN" w:bidi="ar-SA"/>
        </w:rPr>
      </w:pPr>
    </w:p>
    <w:p w14:paraId="5C9E1A81">
      <w:pPr>
        <w:spacing w:line="320" w:lineRule="exact"/>
        <w:ind w:left="479" w:leftChars="85" w:hanging="241" w:hangingChars="100"/>
        <w:rPr>
          <w:rFonts w:hint="eastAsia"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054003C1">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1.用途:产品适用于所有腹腔、盆腔、宫腔手术，可预防术后肠粘连和盆腔粘连。</w:t>
      </w:r>
    </w:p>
    <w:p w14:paraId="65D69FD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2.产品为无色、透明粘稠状胶体/凝胶，PH值在6.5-7.5之间。</w:t>
      </w:r>
    </w:p>
    <w:p w14:paraId="1E1AF68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3.在组织表明能均匀铺展，形成一层稳定、连续、柔韧的生物屏障膜，有效隔离创面。维持有效屏障时间不低于72小时，最终应在体内被完全降解吸收，无残留，代谢产物对人体安全。</w:t>
      </w:r>
    </w:p>
    <w:p w14:paraId="538E2BF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4.主要成分为几丁糖(壳聚糖)，含量85%，提供明确的脱乙酰度范围和重均分子量范围。具有适宜的粘度，不小于1000mPa.s，有效作用浓度范围0.5%-2%左右(已溶液形式使用)。</w:t>
      </w:r>
    </w:p>
    <w:p w14:paraId="2FCF44A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5.独立无菌包装，提供多种规格供选择，如8ml/支、10m1/支等。</w:t>
      </w:r>
    </w:p>
    <w:p w14:paraId="03A2A7F8">
      <w:pPr>
        <w:pStyle w:val="2"/>
        <w:rPr>
          <w:rFonts w:hint="default"/>
          <w:lang w:val="en-US" w:eastAsia="zh-CN"/>
        </w:rPr>
      </w:pPr>
    </w:p>
    <w:p w14:paraId="74E6337F">
      <w:pPr>
        <w:spacing w:line="320" w:lineRule="exact"/>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6373878"/>
      <w:bookmarkStart w:id="68" w:name="_Toc31843"/>
      <w:bookmarkStart w:id="69" w:name="_Toc1768"/>
      <w:bookmarkStart w:id="70" w:name="_Toc24122"/>
      <w:bookmarkStart w:id="71" w:name="_Toc17944"/>
      <w:bookmarkStart w:id="72" w:name="_Toc17524"/>
      <w:bookmarkStart w:id="73" w:name="_Toc15650"/>
      <w:bookmarkStart w:id="74" w:name="_Toc7794"/>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9339"/>
      <w:bookmarkStart w:id="79" w:name="_Toc5959"/>
      <w:bookmarkStart w:id="80" w:name="_Toc76373879"/>
      <w:bookmarkStart w:id="81" w:name="_Toc30551"/>
      <w:bookmarkStart w:id="82" w:name="_Toc29836"/>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0263"/>
      <w:bookmarkStart w:id="89" w:name="_Toc2258"/>
      <w:bookmarkStart w:id="90" w:name="_Toc27737"/>
      <w:bookmarkStart w:id="91" w:name="_Toc27893"/>
      <w:bookmarkStart w:id="92" w:name="_Toc76373885"/>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8189"/>
      <w:bookmarkStart w:id="96" w:name="_Toc76373886"/>
      <w:bookmarkStart w:id="97" w:name="_Toc12712"/>
      <w:bookmarkStart w:id="98" w:name="_Toc11052"/>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9809"/>
      <w:bookmarkStart w:id="102" w:name="_Toc26754"/>
      <w:bookmarkStart w:id="103" w:name="_Toc5535"/>
      <w:bookmarkStart w:id="104" w:name="_Toc76373887"/>
      <w:bookmarkStart w:id="105" w:name="_Toc31293"/>
      <w:bookmarkStart w:id="106" w:name="_Toc13585"/>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30068"/>
      <w:bookmarkStart w:id="110" w:name="_Toc16925"/>
      <w:bookmarkStart w:id="111" w:name="_Toc2900"/>
      <w:bookmarkStart w:id="112" w:name="_Toc5251"/>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0034"/>
      <w:bookmarkStart w:id="118" w:name="_Toc26071"/>
      <w:bookmarkStart w:id="119" w:name="_Toc11342"/>
      <w:bookmarkStart w:id="120" w:name="_Toc11654"/>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10864"/>
      <w:bookmarkStart w:id="125" w:name="_Toc27646"/>
      <w:bookmarkStart w:id="126" w:name="_Toc20391"/>
      <w:bookmarkStart w:id="127" w:name="_Toc763738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2975"/>
      <w:bookmarkStart w:id="137" w:name="_Toc24088"/>
      <w:bookmarkStart w:id="138" w:name="_Toc10152"/>
      <w:bookmarkStart w:id="139" w:name="_Toc19409"/>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76373907"/>
      <w:bookmarkStart w:id="143" w:name="_Toc16112"/>
      <w:bookmarkStart w:id="144" w:name="_Toc7750"/>
      <w:bookmarkStart w:id="145" w:name="_Toc11892"/>
      <w:bookmarkStart w:id="146" w:name="_Toc12863"/>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493178790"/>
      <w:bookmarkStart w:id="171" w:name="_Toc27306"/>
      <w:bookmarkStart w:id="172" w:name="_Toc76373909"/>
      <w:bookmarkStart w:id="173" w:name="_Toc9795"/>
      <w:bookmarkStart w:id="174" w:name="_Toc21431"/>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76373910"/>
      <w:bookmarkStart w:id="180" w:name="_Toc16487"/>
      <w:bookmarkStart w:id="181" w:name="_Toc492721039"/>
      <w:bookmarkStart w:id="182" w:name="_Toc20258"/>
      <w:bookmarkStart w:id="183" w:name="_Toc411"/>
      <w:bookmarkStart w:id="184" w:name="_Toc493178791"/>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6217"/>
      <w:bookmarkStart w:id="189" w:name="_Toc4250"/>
      <w:bookmarkStart w:id="190" w:name="_Toc16151"/>
      <w:bookmarkStart w:id="191" w:name="_Toc19291"/>
      <w:bookmarkStart w:id="192" w:name="_Toc76373912"/>
      <w:bookmarkStart w:id="193" w:name="_Toc8925"/>
      <w:bookmarkStart w:id="194" w:name="_Toc493178793"/>
      <w:bookmarkStart w:id="195" w:name="_Toc492721038"/>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7BBD8E72">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B59009-48C8-4510-9AAD-263FA32E311C}"/>
  </w:font>
  <w:font w:name="黑体">
    <w:panose1 w:val="02010609060101010101"/>
    <w:charset w:val="86"/>
    <w:family w:val="auto"/>
    <w:pitch w:val="default"/>
    <w:sig w:usb0="800002BF" w:usb1="38CF7CFA" w:usb2="00000016" w:usb3="00000000" w:csb0="00040001" w:csb1="00000000"/>
    <w:embedRegular r:id="rId2" w:fontKey="{51491C8A-3F35-4CBB-85B9-0BA8EC048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ECBF98E-10C0-4D86-B8EB-E2A66A6326E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0705760-6A0D-4C8A-9CC9-3BDA8E7B983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4660FD6-B6D2-4A50-874A-02AF7B5F6ACB}"/>
  </w:font>
  <w:font w:name="方正黑体_GBK">
    <w:panose1 w:val="03000509000000000000"/>
    <w:charset w:val="86"/>
    <w:family w:val="script"/>
    <w:pitch w:val="default"/>
    <w:sig w:usb0="00000001" w:usb1="080E0000" w:usb2="00000000" w:usb3="00000000" w:csb0="00040000" w:csb1="00000000"/>
    <w:embedRegular r:id="rId6" w:fontKey="{20491AC0-B2B7-48A9-95C3-6F89A6162853}"/>
  </w:font>
  <w:font w:name="方正小标宋_GBK">
    <w:panose1 w:val="03000509000000000000"/>
    <w:charset w:val="86"/>
    <w:family w:val="script"/>
    <w:pitch w:val="default"/>
    <w:sig w:usb0="00000001" w:usb1="080E0000" w:usb2="00000000" w:usb3="00000000" w:csb0="00040000" w:csb1="00000000"/>
    <w:embedRegular r:id="rId7" w:fontKey="{E6CC9BE4-F670-4D1D-BF8A-3E90E8332578}"/>
  </w:font>
  <w:font w:name="微软雅黑">
    <w:panose1 w:val="020B0503020204020204"/>
    <w:charset w:val="86"/>
    <w:family w:val="swiss"/>
    <w:pitch w:val="default"/>
    <w:sig w:usb0="80000287" w:usb1="2ACF3C50" w:usb2="00000016" w:usb3="00000000" w:csb0="0004001F" w:csb1="00000000"/>
    <w:embedRegular r:id="rId8" w:fontKey="{1B78336B-86F1-4FC7-8B87-2D2BB859FC04}"/>
  </w:font>
  <w:font w:name="仿宋">
    <w:panose1 w:val="02010609060101010101"/>
    <w:charset w:val="86"/>
    <w:family w:val="modern"/>
    <w:pitch w:val="default"/>
    <w:sig w:usb0="800002BF" w:usb1="38CF7CFA" w:usb2="00000016" w:usb3="00000000" w:csb0="00040001" w:csb1="00000000"/>
    <w:embedRegular r:id="rId9" w:fontKey="{5B395DE8-477D-40F1-92BF-7A2C578CBECA}"/>
  </w:font>
  <w:font w:name="楷体">
    <w:panose1 w:val="02010609060101010101"/>
    <w:charset w:val="86"/>
    <w:family w:val="modern"/>
    <w:pitch w:val="default"/>
    <w:sig w:usb0="800002BF" w:usb1="38CF7CFA" w:usb2="00000016" w:usb3="00000000" w:csb0="00040001" w:csb1="00000000"/>
    <w:embedRegular r:id="rId10" w:fontKey="{51D59458-04DE-4DAD-991D-088BADDEB2D5}"/>
  </w:font>
  <w:font w:name="WPSEMBED53">
    <w:panose1 w:val="03000509000000000000"/>
    <w:charset w:val="86"/>
    <w:family w:val="auto"/>
    <w:pitch w:val="default"/>
    <w:sig w:usb0="00000001" w:usb1="080E0000" w:usb2="00000000" w:usb3="00000000" w:csb0="00040000" w:csb1="00000000"/>
  </w:font>
  <w:font w:name="WPSEMBED5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AF2234"/>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B29EB"/>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476B28"/>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D01E6B"/>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3B44D5"/>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3567</Words>
  <Characters>3731</Characters>
  <Lines>101</Lines>
  <Paragraphs>28</Paragraphs>
  <TotalTime>1</TotalTime>
  <ScaleCrop>false</ScaleCrop>
  <LinksUpToDate>false</LinksUpToDate>
  <CharactersWithSpaces>3823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2025-11-25T03:29:26Z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