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3D1C1">
      <w:pPr>
        <w:spacing w:line="276" w:lineRule="auto"/>
        <w:rPr>
          <w:rFonts w:hint="eastAsia" w:ascii="宋体"/>
          <w:b/>
          <w:bCs/>
          <w:color w:val="000000" w:themeColor="text1"/>
          <w:sz w:val="22"/>
          <w:highlight w:val="none"/>
          <w14:textFill>
            <w14:solidFill>
              <w14:schemeClr w14:val="tx1"/>
            </w14:solidFill>
          </w14:textFill>
        </w:rPr>
      </w:pPr>
    </w:p>
    <w:p w14:paraId="7F4F7DE4">
      <w:pPr>
        <w:spacing w:line="276" w:lineRule="auto"/>
        <w:jc w:val="right"/>
        <w:rPr>
          <w:rFonts w:ascii="宋体"/>
          <w:color w:val="000000" w:themeColor="text1"/>
          <w:sz w:val="22"/>
          <w:highlight w:val="none"/>
          <w:u w:val="single"/>
          <w14:textFill>
            <w14:solidFill>
              <w14:schemeClr w14:val="tx1"/>
            </w14:solidFill>
          </w14:textFill>
        </w:rPr>
      </w:pPr>
    </w:p>
    <w:p w14:paraId="5EB63A3B">
      <w:pPr>
        <w:spacing w:line="276" w:lineRule="auto"/>
        <w:jc w:val="center"/>
        <w:rPr>
          <w:rFonts w:ascii="宋体" w:hAnsi="宋体"/>
          <w:color w:val="000000" w:themeColor="text1"/>
          <w:sz w:val="44"/>
          <w:szCs w:val="44"/>
          <w:highlight w:val="none"/>
          <w14:textFill>
            <w14:solidFill>
              <w14:schemeClr w14:val="tx1"/>
            </w14:solidFill>
          </w14:textFill>
        </w:rPr>
      </w:pPr>
    </w:p>
    <w:p w14:paraId="60CB6BC3">
      <w:pPr>
        <w:snapToGrid w:val="0"/>
        <w:spacing w:line="276" w:lineRule="auto"/>
        <w:ind w:left="55" w:leftChars="-101" w:hanging="267" w:hangingChars="74"/>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重庆医科大学附属第二医院</w:t>
      </w:r>
    </w:p>
    <w:p w14:paraId="3F061A00">
      <w:pPr>
        <w:wordWrap w:val="0"/>
        <w:autoSpaceDE w:val="0"/>
        <w:autoSpaceDN w:val="0"/>
        <w:adjustRightInd w:val="0"/>
        <w:spacing w:before="120" w:after="120" w:line="276" w:lineRule="auto"/>
        <w:jc w:val="center"/>
        <w:rPr>
          <w:rFonts w:ascii="宋体" w:hAnsi="宋体" w:cs="宋体"/>
          <w:snapToGrid w:val="0"/>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衰变池维保服务</w:t>
      </w:r>
      <w:r>
        <w:rPr>
          <w:rFonts w:hint="eastAsia" w:ascii="宋体" w:hAnsi="宋体" w:cs="宋体"/>
          <w:b/>
          <w:bCs/>
          <w:color w:val="000000" w:themeColor="text1"/>
          <w:sz w:val="36"/>
          <w:szCs w:val="36"/>
          <w:highlight w:val="none"/>
          <w14:textFill>
            <w14:solidFill>
              <w14:schemeClr w14:val="tx1"/>
            </w14:solidFill>
          </w14:textFill>
        </w:rPr>
        <w:t>项目</w:t>
      </w:r>
    </w:p>
    <w:p w14:paraId="7CEF9279">
      <w:pPr>
        <w:wordWrap w:val="0"/>
        <w:autoSpaceDE w:val="0"/>
        <w:autoSpaceDN w:val="0"/>
        <w:adjustRightInd w:val="0"/>
        <w:spacing w:before="120" w:after="120" w:line="276" w:lineRule="auto"/>
        <w:jc w:val="center"/>
        <w:rPr>
          <w:rFonts w:ascii="仿宋_GB2312" w:hAnsi="仿宋_GB2312"/>
          <w:b/>
          <w:snapToGrid w:val="0"/>
          <w:color w:val="000000" w:themeColor="text1"/>
          <w:sz w:val="72"/>
          <w:szCs w:val="72"/>
          <w:highlight w:val="none"/>
          <w14:textFill>
            <w14:solidFill>
              <w14:schemeClr w14:val="tx1"/>
            </w14:solidFill>
          </w14:textFill>
        </w:rPr>
      </w:pPr>
      <w:r>
        <w:rPr>
          <w:rFonts w:hint="eastAsia" w:ascii="仿宋_GB2312" w:hAnsi="仿宋_GB2312"/>
          <w:b/>
          <w:snapToGrid w:val="0"/>
          <w:color w:val="000000" w:themeColor="text1"/>
          <w:sz w:val="72"/>
          <w:szCs w:val="72"/>
          <w:highlight w:val="none"/>
          <w14:textFill>
            <w14:solidFill>
              <w14:schemeClr w14:val="tx1"/>
            </w14:solidFill>
          </w14:textFill>
        </w:rPr>
        <w:t>采购</w:t>
      </w:r>
      <w:r>
        <w:rPr>
          <w:rFonts w:ascii="仿宋_GB2312" w:hAnsi="仿宋_GB2312"/>
          <w:b/>
          <w:snapToGrid w:val="0"/>
          <w:color w:val="000000" w:themeColor="text1"/>
          <w:sz w:val="72"/>
          <w:szCs w:val="72"/>
          <w:highlight w:val="none"/>
          <w14:textFill>
            <w14:solidFill>
              <w14:schemeClr w14:val="tx1"/>
            </w14:solidFill>
          </w14:textFill>
        </w:rPr>
        <w:t>文件</w:t>
      </w:r>
    </w:p>
    <w:p w14:paraId="1C213DEC">
      <w:pPr>
        <w:wordWrap w:val="0"/>
        <w:autoSpaceDE w:val="0"/>
        <w:autoSpaceDN w:val="0"/>
        <w:adjustRightInd w:val="0"/>
        <w:spacing w:line="276" w:lineRule="auto"/>
        <w:jc w:val="center"/>
        <w:rPr>
          <w:rFonts w:eastAsia="彩虹小标宋"/>
          <w:b/>
          <w:snapToGrid w:val="0"/>
          <w:color w:val="000000" w:themeColor="text1"/>
          <w:sz w:val="36"/>
          <w:szCs w:val="48"/>
          <w:highlight w:val="none"/>
          <w14:textFill>
            <w14:solidFill>
              <w14:schemeClr w14:val="tx1"/>
            </w14:solidFill>
          </w14:textFill>
        </w:rPr>
      </w:pPr>
    </w:p>
    <w:p w14:paraId="21BCA29F">
      <w:pPr>
        <w:wordWrap w:val="0"/>
        <w:autoSpaceDE w:val="0"/>
        <w:autoSpaceDN w:val="0"/>
        <w:adjustRightInd w:val="0"/>
        <w:spacing w:line="276" w:lineRule="auto"/>
        <w:ind w:firstLine="624"/>
        <w:jc w:val="left"/>
        <w:rPr>
          <w:snapToGrid w:val="0"/>
          <w:color w:val="000000" w:themeColor="text1"/>
          <w:sz w:val="32"/>
          <w:highlight w:val="none"/>
          <w14:textFill>
            <w14:solidFill>
              <w14:schemeClr w14:val="tx1"/>
            </w14:solidFill>
          </w14:textFill>
        </w:rPr>
      </w:pPr>
    </w:p>
    <w:p w14:paraId="670372F1">
      <w:pPr>
        <w:pStyle w:val="2"/>
        <w:spacing w:line="276" w:lineRule="auto"/>
        <w:rPr>
          <w:color w:val="000000" w:themeColor="text1"/>
          <w:highlight w:val="none"/>
          <w14:textFill>
            <w14:solidFill>
              <w14:schemeClr w14:val="tx1"/>
            </w14:solidFill>
          </w14:textFill>
        </w:rPr>
      </w:pPr>
    </w:p>
    <w:p w14:paraId="225CFC70">
      <w:pPr>
        <w:adjustRightInd w:val="0"/>
        <w:spacing w:line="276" w:lineRule="auto"/>
        <w:ind w:firstLine="624"/>
        <w:jc w:val="center"/>
        <w:rPr>
          <w:snapToGrid w:val="0"/>
          <w:color w:val="000000" w:themeColor="text1"/>
          <w:sz w:val="44"/>
          <w:highlight w:val="none"/>
          <w14:textFill>
            <w14:solidFill>
              <w14:schemeClr w14:val="tx1"/>
            </w14:solidFill>
          </w14:textFill>
        </w:rPr>
      </w:pPr>
    </w:p>
    <w:p w14:paraId="7E53E4EF">
      <w:pPr>
        <w:adjustRightInd w:val="0"/>
        <w:spacing w:line="276" w:lineRule="auto"/>
        <w:ind w:firstLine="624"/>
        <w:jc w:val="center"/>
        <w:rPr>
          <w:snapToGrid w:val="0"/>
          <w:color w:val="000000" w:themeColor="text1"/>
          <w:sz w:val="44"/>
          <w:highlight w:val="none"/>
          <w14:textFill>
            <w14:solidFill>
              <w14:schemeClr w14:val="tx1"/>
            </w14:solidFill>
          </w14:textFill>
        </w:rPr>
      </w:pPr>
    </w:p>
    <w:p w14:paraId="5D983B83">
      <w:pPr>
        <w:adjustRightInd w:val="0"/>
        <w:spacing w:line="276" w:lineRule="auto"/>
        <w:ind w:firstLine="624"/>
        <w:jc w:val="center"/>
        <w:rPr>
          <w:snapToGrid w:val="0"/>
          <w:color w:val="000000" w:themeColor="text1"/>
          <w:sz w:val="44"/>
          <w:highlight w:val="none"/>
          <w14:textFill>
            <w14:solidFill>
              <w14:schemeClr w14:val="tx1"/>
            </w14:solidFill>
          </w14:textFill>
        </w:rPr>
      </w:pPr>
    </w:p>
    <w:p w14:paraId="47584707">
      <w:pPr>
        <w:pStyle w:val="2"/>
        <w:rPr>
          <w:color w:val="000000" w:themeColor="text1"/>
          <w:highlight w:val="none"/>
          <w14:textFill>
            <w14:solidFill>
              <w14:schemeClr w14:val="tx1"/>
            </w14:solidFill>
          </w14:textFill>
        </w:rPr>
      </w:pPr>
    </w:p>
    <w:p w14:paraId="5014C87C">
      <w:pPr>
        <w:rPr>
          <w:color w:val="000000" w:themeColor="text1"/>
          <w:highlight w:val="none"/>
          <w14:textFill>
            <w14:solidFill>
              <w14:schemeClr w14:val="tx1"/>
            </w14:solidFill>
          </w14:textFill>
        </w:rPr>
      </w:pPr>
    </w:p>
    <w:p w14:paraId="4E5076C0">
      <w:pPr>
        <w:pStyle w:val="2"/>
        <w:rPr>
          <w:color w:val="000000" w:themeColor="text1"/>
          <w:highlight w:val="none"/>
          <w14:textFill>
            <w14:solidFill>
              <w14:schemeClr w14:val="tx1"/>
            </w14:solidFill>
          </w14:textFill>
        </w:rPr>
      </w:pPr>
    </w:p>
    <w:p w14:paraId="39BFC584">
      <w:pPr>
        <w:rPr>
          <w:color w:val="000000" w:themeColor="text1"/>
          <w:highlight w:val="none"/>
          <w14:textFill>
            <w14:solidFill>
              <w14:schemeClr w14:val="tx1"/>
            </w14:solidFill>
          </w14:textFill>
        </w:rPr>
      </w:pPr>
    </w:p>
    <w:p w14:paraId="59FF4495">
      <w:pPr>
        <w:pStyle w:val="2"/>
        <w:rPr>
          <w:color w:val="000000" w:themeColor="text1"/>
          <w:highlight w:val="none"/>
          <w14:textFill>
            <w14:solidFill>
              <w14:schemeClr w14:val="tx1"/>
            </w14:solidFill>
          </w14:textFill>
        </w:rPr>
      </w:pPr>
    </w:p>
    <w:p w14:paraId="0EA86207">
      <w:pPr>
        <w:rPr>
          <w:color w:val="000000" w:themeColor="text1"/>
          <w:highlight w:val="none"/>
          <w14:textFill>
            <w14:solidFill>
              <w14:schemeClr w14:val="tx1"/>
            </w14:solidFill>
          </w14:textFill>
        </w:rPr>
      </w:pPr>
    </w:p>
    <w:p w14:paraId="193278FD">
      <w:pPr>
        <w:pStyle w:val="2"/>
        <w:rPr>
          <w:color w:val="000000" w:themeColor="text1"/>
          <w:highlight w:val="none"/>
          <w14:textFill>
            <w14:solidFill>
              <w14:schemeClr w14:val="tx1"/>
            </w14:solidFill>
          </w14:textFill>
        </w:rPr>
      </w:pPr>
    </w:p>
    <w:p w14:paraId="061BF071">
      <w:pPr>
        <w:adjustRightInd w:val="0"/>
        <w:spacing w:line="276" w:lineRule="auto"/>
        <w:ind w:firstLine="2602" w:firstLineChars="723"/>
        <w:rPr>
          <w:snapToGrid w:val="0"/>
          <w:color w:val="000000" w:themeColor="text1"/>
          <w:sz w:val="36"/>
          <w:szCs w:val="36"/>
          <w:highlight w:val="none"/>
          <w14:textFill>
            <w14:solidFill>
              <w14:schemeClr w14:val="tx1"/>
            </w14:solidFill>
          </w14:textFill>
        </w:rPr>
      </w:pPr>
      <w:r>
        <w:rPr>
          <w:rFonts w:hint="eastAsia"/>
          <w:snapToGrid w:val="0"/>
          <w:color w:val="000000" w:themeColor="text1"/>
          <w:sz w:val="36"/>
          <w:szCs w:val="36"/>
          <w:highlight w:val="none"/>
          <w14:textFill>
            <w14:solidFill>
              <w14:schemeClr w14:val="tx1"/>
            </w14:solidFill>
          </w14:textFill>
        </w:rPr>
        <w:t>重庆医科大学附属第二医院</w:t>
      </w:r>
      <w:r>
        <w:rPr>
          <w:snapToGrid w:val="0"/>
          <w:color w:val="000000" w:themeColor="text1"/>
          <w:sz w:val="36"/>
          <w:szCs w:val="36"/>
          <w:highlight w:val="none"/>
          <w14:textFill>
            <w14:solidFill>
              <w14:schemeClr w14:val="tx1"/>
            </w14:solidFill>
          </w14:textFill>
        </w:rPr>
        <w:t xml:space="preserve"> </w:t>
      </w:r>
    </w:p>
    <w:p w14:paraId="164EF91C">
      <w:pPr>
        <w:adjustRightInd w:val="0"/>
        <w:spacing w:line="276" w:lineRule="auto"/>
        <w:ind w:firstLine="3682" w:firstLineChars="1023"/>
        <w:rPr>
          <w:snapToGrid w:val="0"/>
          <w:color w:val="000000" w:themeColor="text1"/>
          <w:sz w:val="44"/>
          <w:highlight w:val="none"/>
          <w14:textFill>
            <w14:solidFill>
              <w14:schemeClr w14:val="tx1"/>
            </w14:solidFill>
          </w14:textFill>
        </w:rPr>
      </w:pPr>
      <w:r>
        <w:rPr>
          <w:rFonts w:hint="eastAsia"/>
          <w:snapToGrid w:val="0"/>
          <w:color w:val="000000" w:themeColor="text1"/>
          <w:sz w:val="36"/>
          <w:szCs w:val="36"/>
          <w:highlight w:val="none"/>
          <w14:textFill>
            <w14:solidFill>
              <w14:schemeClr w14:val="tx1"/>
            </w14:solidFill>
          </w14:textFill>
        </w:rPr>
        <w:t>二〇二</w:t>
      </w:r>
      <w:r>
        <w:rPr>
          <w:rFonts w:hint="eastAsia"/>
          <w:snapToGrid w:val="0"/>
          <w:color w:val="000000" w:themeColor="text1"/>
          <w:sz w:val="36"/>
          <w:szCs w:val="36"/>
          <w:highlight w:val="none"/>
          <w:lang w:val="en-US" w:eastAsia="zh-CN"/>
          <w14:textFill>
            <w14:solidFill>
              <w14:schemeClr w14:val="tx1"/>
            </w14:solidFill>
          </w14:textFill>
        </w:rPr>
        <w:t>五</w:t>
      </w:r>
      <w:r>
        <w:rPr>
          <w:rFonts w:hint="eastAsia"/>
          <w:snapToGrid w:val="0"/>
          <w:color w:val="000000" w:themeColor="text1"/>
          <w:sz w:val="36"/>
          <w:szCs w:val="36"/>
          <w:highlight w:val="none"/>
          <w14:textFill>
            <w14:solidFill>
              <w14:schemeClr w14:val="tx1"/>
            </w14:solidFill>
          </w14:textFill>
        </w:rPr>
        <w:t>年</w:t>
      </w:r>
      <w:r>
        <w:rPr>
          <w:rFonts w:hint="eastAsia"/>
          <w:snapToGrid w:val="0"/>
          <w:color w:val="000000" w:themeColor="text1"/>
          <w:sz w:val="36"/>
          <w:szCs w:val="36"/>
          <w:highlight w:val="none"/>
          <w:lang w:val="en-US" w:eastAsia="zh-CN"/>
          <w14:textFill>
            <w14:solidFill>
              <w14:schemeClr w14:val="tx1"/>
            </w14:solidFill>
          </w14:textFill>
        </w:rPr>
        <w:t>十一</w:t>
      </w:r>
      <w:r>
        <w:rPr>
          <w:rFonts w:hint="eastAsia"/>
          <w:snapToGrid w:val="0"/>
          <w:color w:val="000000" w:themeColor="text1"/>
          <w:sz w:val="36"/>
          <w:szCs w:val="36"/>
          <w:highlight w:val="none"/>
          <w14:textFill>
            <w14:solidFill>
              <w14:schemeClr w14:val="tx1"/>
            </w14:solidFill>
          </w14:textFill>
        </w:rPr>
        <w:t>月</w:t>
      </w:r>
    </w:p>
    <w:p w14:paraId="0D89022B">
      <w:pPr>
        <w:spacing w:line="276" w:lineRule="auto"/>
        <w:jc w:val="center"/>
        <w:rPr>
          <w:rFonts w:ascii="宋体"/>
          <w:color w:val="000000" w:themeColor="text1"/>
          <w:sz w:val="36"/>
          <w:highlight w:val="none"/>
          <w14:textFill>
            <w14:solidFill>
              <w14:schemeClr w14:val="tx1"/>
            </w14:solidFill>
          </w14:textFill>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3"/>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6FA6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5EA5AC02">
            <w:pPr>
              <w:pStyle w:val="36"/>
              <w:spacing w:line="276" w:lineRule="auto"/>
              <w:ind w:firstLine="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项号</w:t>
            </w:r>
          </w:p>
        </w:tc>
        <w:tc>
          <w:tcPr>
            <w:tcW w:w="1845" w:type="dxa"/>
            <w:gridSpan w:val="2"/>
            <w:vAlign w:val="center"/>
          </w:tcPr>
          <w:p w14:paraId="2DC799B2">
            <w:pPr>
              <w:pStyle w:val="36"/>
              <w:spacing w:line="276" w:lineRule="auto"/>
              <w:ind w:firstLine="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内容</w:t>
            </w:r>
          </w:p>
        </w:tc>
        <w:tc>
          <w:tcPr>
            <w:tcW w:w="6948" w:type="dxa"/>
            <w:vAlign w:val="center"/>
          </w:tcPr>
          <w:p w14:paraId="062F8A96">
            <w:pPr>
              <w:pStyle w:val="36"/>
              <w:spacing w:line="276" w:lineRule="auto"/>
              <w:ind w:firstLine="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说明与要求</w:t>
            </w:r>
          </w:p>
        </w:tc>
      </w:tr>
      <w:tr w14:paraId="2444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FE57AB9">
            <w:pPr>
              <w:pStyle w:val="15"/>
              <w:spacing w:line="276" w:lineRule="auto"/>
              <w:jc w:val="left"/>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1</w:t>
            </w:r>
          </w:p>
        </w:tc>
        <w:tc>
          <w:tcPr>
            <w:tcW w:w="1845" w:type="dxa"/>
            <w:gridSpan w:val="2"/>
            <w:vAlign w:val="center"/>
          </w:tcPr>
          <w:p w14:paraId="44280713">
            <w:pPr>
              <w:pStyle w:val="15"/>
              <w:spacing w:line="276" w:lineRule="auto"/>
              <w:jc w:val="left"/>
              <w:rPr>
                <w:rFonts w:ascii="仿宋_GB2312" w:eastAsia="仿宋_GB2312"/>
                <w:color w:val="000000" w:themeColor="text1"/>
                <w:szCs w:val="24"/>
                <w:highlight w:val="none"/>
                <w14:textFill>
                  <w14:solidFill>
                    <w14:schemeClr w14:val="tx1"/>
                  </w14:solidFill>
                </w14:textFill>
              </w:rPr>
            </w:pPr>
            <w:r>
              <w:rPr>
                <w:rFonts w:hint="eastAsia" w:ascii="仿宋_GB2312" w:hAnsi="宋体" w:eastAsia="仿宋_GB2312"/>
                <w:color w:val="000000" w:themeColor="text1"/>
                <w:kern w:val="0"/>
                <w:szCs w:val="24"/>
                <w:highlight w:val="none"/>
                <w14:textFill>
                  <w14:solidFill>
                    <w14:schemeClr w14:val="tx1"/>
                  </w14:solidFill>
                </w14:textFill>
              </w:rPr>
              <w:t>项目名称</w:t>
            </w:r>
          </w:p>
        </w:tc>
        <w:tc>
          <w:tcPr>
            <w:tcW w:w="6948" w:type="dxa"/>
            <w:vAlign w:val="center"/>
          </w:tcPr>
          <w:p w14:paraId="5BBCD8BE">
            <w:pPr>
              <w:snapToGrid w:val="0"/>
              <w:spacing w:line="276" w:lineRule="auto"/>
              <w:ind w:left="-38" w:leftChars="-18" w:firstLine="26" w:firstLineChars="11"/>
              <w:jc w:val="left"/>
              <w:rPr>
                <w:rFonts w:hint="default" w:ascii="仿宋_GB2312" w:hAnsi="宋体" w:eastAsia="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重庆医科大学附属第二医院</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衰变池维保服务</w:t>
            </w:r>
          </w:p>
        </w:tc>
      </w:tr>
      <w:tr w14:paraId="0660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609C5847">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w:t>
            </w:r>
          </w:p>
        </w:tc>
        <w:tc>
          <w:tcPr>
            <w:tcW w:w="1845" w:type="dxa"/>
            <w:gridSpan w:val="2"/>
            <w:vAlign w:val="center"/>
          </w:tcPr>
          <w:p w14:paraId="3618BAA5">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项目概况</w:t>
            </w:r>
          </w:p>
        </w:tc>
        <w:tc>
          <w:tcPr>
            <w:tcW w:w="6948" w:type="dxa"/>
            <w:vAlign w:val="center"/>
          </w:tcPr>
          <w:p w14:paraId="1996C4BF">
            <w:pPr>
              <w:spacing w:line="276"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服务内容：</w:t>
            </w:r>
            <w:r>
              <w:rPr>
                <w:rFonts w:hint="eastAsia" w:ascii="仿宋" w:hAnsi="仿宋" w:eastAsia="仿宋" w:cs="仿宋"/>
                <w:color w:val="000000" w:themeColor="text1"/>
                <w:sz w:val="24"/>
                <w:szCs w:val="24"/>
                <w:highlight w:val="none"/>
                <w:lang w:val="en-US" w:eastAsia="zh-CN"/>
                <w14:textFill>
                  <w14:solidFill>
                    <w14:schemeClr w14:val="tx1"/>
                  </w14:solidFill>
                </w14:textFill>
              </w:rPr>
              <w:t>1、江南院区核医学科区衰变池、集水井</w:t>
            </w:r>
          </w:p>
          <w:p w14:paraId="466A8337">
            <w:pPr>
              <w:pStyle w:val="2"/>
              <w:ind w:firstLine="1200" w:firstLineChars="5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2、渝中院区魁星A组团核医学科成品衰变池</w:t>
            </w:r>
          </w:p>
          <w:p w14:paraId="58659E86">
            <w:pPr>
              <w:spacing w:line="276" w:lineRule="auto"/>
              <w:rPr>
                <w:rFonts w:hint="default" w:ascii="仿宋_GB2312" w:eastAsia="仿宋_GB2312"/>
                <w:color w:val="000000" w:themeColor="text1"/>
                <w:sz w:val="24"/>
                <w:highlight w:val="none"/>
                <w:lang w:val="en-US"/>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服务周期：</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年（全包）</w:t>
            </w:r>
          </w:p>
        </w:tc>
      </w:tr>
      <w:tr w14:paraId="6071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5" w:type="dxa"/>
            <w:vAlign w:val="center"/>
          </w:tcPr>
          <w:p w14:paraId="19DEB30B">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w:t>
            </w:r>
          </w:p>
        </w:tc>
        <w:tc>
          <w:tcPr>
            <w:tcW w:w="1845" w:type="dxa"/>
            <w:gridSpan w:val="2"/>
            <w:vAlign w:val="center"/>
          </w:tcPr>
          <w:p w14:paraId="4B1B4680">
            <w:pPr>
              <w:pStyle w:val="36"/>
              <w:spacing w:line="276" w:lineRule="auto"/>
              <w:ind w:firstLine="0"/>
              <w:jc w:val="left"/>
              <w:rPr>
                <w:rFonts w:hint="default"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服务要求</w:t>
            </w:r>
          </w:p>
        </w:tc>
        <w:tc>
          <w:tcPr>
            <w:tcW w:w="6948" w:type="dxa"/>
            <w:vAlign w:val="center"/>
          </w:tcPr>
          <w:p w14:paraId="78EDBF65">
            <w:pPr>
              <w:spacing w:line="360" w:lineRule="auto"/>
              <w:rPr>
                <w:rFonts w:hint="default" w:eastAsia="仿宋"/>
                <w:b/>
                <w:bCs/>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维保范围包括衰变池池体、水泵、管道及阀门等附件、监测仪器、控制系统等。</w:t>
            </w:r>
          </w:p>
          <w:p w14:paraId="6CD3B369">
            <w:pPr>
              <w:pStyle w:val="36"/>
              <w:numPr>
                <w:ilvl w:val="0"/>
                <w:numId w:val="0"/>
              </w:numPr>
              <w:spacing w:line="360" w:lineRule="auto"/>
              <w:rPr>
                <w:rFonts w:hint="default" w:ascii="仿宋_GB2312" w:eastAsia="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2、负责所有设备的定期巡检、维护、零星技改，其中巡检频次为每月2次。</w:t>
            </w:r>
          </w:p>
          <w:p w14:paraId="76EF0534">
            <w:pPr>
              <w:pStyle w:val="36"/>
              <w:numPr>
                <w:ilvl w:val="0"/>
                <w:numId w:val="0"/>
              </w:numPr>
              <w:spacing w:line="360"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3、负责所有设备的维修和应急处置，维修人员需在接报后2小时内到达现场。</w:t>
            </w:r>
          </w:p>
          <w:p w14:paraId="5171868E">
            <w:pPr>
              <w:pStyle w:val="51"/>
              <w:widowControl/>
              <w:numPr>
                <w:ilvl w:val="0"/>
                <w:numId w:val="0"/>
              </w:numPr>
              <w:shd w:val="clear" w:color="auto" w:fill="FFFFFF"/>
              <w:spacing w:line="360" w:lineRule="auto"/>
              <w:jc w:val="left"/>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u w:val="none"/>
                <w:lang w:val="en-US" w:eastAsia="zh-CN" w:bidi="ar-SA"/>
                <w14:textFill>
                  <w14:solidFill>
                    <w14:schemeClr w14:val="tx1"/>
                  </w14:solidFill>
                </w14:textFill>
              </w:rPr>
              <w:t>4、负责放射性监测，废水排放需符合相关法律法规要求。</w:t>
            </w:r>
          </w:p>
          <w:p w14:paraId="0E21AA02">
            <w:pPr>
              <w:pStyle w:val="51"/>
              <w:widowControl/>
              <w:numPr>
                <w:ilvl w:val="0"/>
                <w:numId w:val="0"/>
              </w:numPr>
              <w:shd w:val="clear" w:color="auto" w:fill="FFFFFF"/>
              <w:spacing w:line="360" w:lineRule="auto"/>
              <w:jc w:val="left"/>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5、负责衰变池、集水井清掏工作。</w:t>
            </w:r>
          </w:p>
          <w:p w14:paraId="01DAB8F6">
            <w:pPr>
              <w:pStyle w:val="51"/>
              <w:widowControl/>
              <w:numPr>
                <w:ilvl w:val="0"/>
                <w:numId w:val="0"/>
              </w:numPr>
              <w:shd w:val="clear" w:color="auto" w:fill="FFFFFF"/>
              <w:spacing w:line="360" w:lineRule="auto"/>
              <w:jc w:val="left"/>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6、加装流量及辐射监测设备各1套，要求具备远程监控、报警等功能，并在合同签订后1个月内完成安装调试。</w:t>
            </w:r>
          </w:p>
          <w:p w14:paraId="47D6AC46">
            <w:pPr>
              <w:pStyle w:val="36"/>
              <w:numPr>
                <w:ilvl w:val="0"/>
                <w:numId w:val="0"/>
              </w:numPr>
              <w:spacing w:line="360" w:lineRule="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p>
          <w:p w14:paraId="49F11EC8">
            <w:pPr>
              <w:pStyle w:val="51"/>
              <w:widowControl/>
              <w:numPr>
                <w:ilvl w:val="0"/>
                <w:numId w:val="0"/>
              </w:numPr>
              <w:shd w:val="clear" w:color="auto" w:fill="FFFFFF"/>
              <w:spacing w:line="360" w:lineRule="auto"/>
              <w:jc w:val="left"/>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theme="minorBidi"/>
                <w:b/>
                <w:bCs/>
                <w:color w:val="000000" w:themeColor="text1"/>
                <w:szCs w:val="24"/>
                <w:highlight w:val="none"/>
                <w14:textFill>
                  <w14:solidFill>
                    <w14:schemeClr w14:val="tx1"/>
                  </w14:solidFill>
                </w14:textFill>
              </w:rPr>
              <w:t>以上为基本要求，参与人可根据自身实力提出更高承诺。</w:t>
            </w:r>
          </w:p>
        </w:tc>
      </w:tr>
      <w:tr w14:paraId="0D07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808D7C8">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w:t>
            </w:r>
          </w:p>
        </w:tc>
        <w:tc>
          <w:tcPr>
            <w:tcW w:w="1845" w:type="dxa"/>
            <w:gridSpan w:val="2"/>
            <w:vAlign w:val="center"/>
          </w:tcPr>
          <w:p w14:paraId="0A1F5760">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转包</w:t>
            </w:r>
          </w:p>
        </w:tc>
        <w:tc>
          <w:tcPr>
            <w:tcW w:w="6948" w:type="dxa"/>
            <w:vAlign w:val="center"/>
          </w:tcPr>
          <w:p w14:paraId="686C1E07">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■不允许</w:t>
            </w:r>
          </w:p>
        </w:tc>
      </w:tr>
      <w:tr w14:paraId="0970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144CBFB7">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w:t>
            </w:r>
          </w:p>
        </w:tc>
        <w:tc>
          <w:tcPr>
            <w:tcW w:w="1845" w:type="dxa"/>
            <w:gridSpan w:val="2"/>
            <w:vAlign w:val="center"/>
          </w:tcPr>
          <w:p w14:paraId="661E5040">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评</w:t>
            </w:r>
            <w:r>
              <w:rPr>
                <w:rFonts w:hint="eastAsia"/>
                <w:color w:val="000000" w:themeColor="text1"/>
                <w:szCs w:val="24"/>
                <w:highlight w:val="none"/>
                <w14:textFill>
                  <w14:solidFill>
                    <w14:schemeClr w14:val="tx1"/>
                  </w14:solidFill>
                </w14:textFill>
              </w:rPr>
              <w:t>选</w:t>
            </w:r>
            <w:r>
              <w:rPr>
                <w:color w:val="000000" w:themeColor="text1"/>
                <w:szCs w:val="24"/>
                <w:highlight w:val="none"/>
                <w14:textFill>
                  <w14:solidFill>
                    <w14:schemeClr w14:val="tx1"/>
                  </w14:solidFill>
                </w14:textFill>
              </w:rPr>
              <w:t>原则</w:t>
            </w:r>
          </w:p>
        </w:tc>
        <w:tc>
          <w:tcPr>
            <w:tcW w:w="6948" w:type="dxa"/>
            <w:vAlign w:val="center"/>
          </w:tcPr>
          <w:p w14:paraId="73AFBD4E">
            <w:pPr>
              <w:spacing w:line="276" w:lineRule="auto"/>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初评通过的基础上，</w:t>
            </w:r>
            <w:r>
              <w:rPr>
                <w:rFonts w:hint="eastAsia" w:ascii="仿宋_GB2312" w:eastAsia="仿宋_GB2312"/>
                <w:color w:val="000000" w:themeColor="text1"/>
                <w:sz w:val="24"/>
                <w:highlight w:val="none"/>
                <w:lang w:eastAsia="zh-CN"/>
                <w14:textFill>
                  <w14:solidFill>
                    <w14:schemeClr w14:val="tx1"/>
                  </w14:solidFill>
                </w14:textFill>
              </w:rPr>
              <w:t>最低价</w:t>
            </w:r>
            <w:r>
              <w:rPr>
                <w:rFonts w:ascii="仿宋_GB2312" w:eastAsia="仿宋_GB2312"/>
                <w:color w:val="000000" w:themeColor="text1"/>
                <w:sz w:val="24"/>
                <w:highlight w:val="none"/>
                <w14:textFill>
                  <w14:solidFill>
                    <w14:schemeClr w14:val="tx1"/>
                  </w14:solidFill>
                </w14:textFill>
              </w:rPr>
              <w:t>评</w:t>
            </w:r>
            <w:r>
              <w:rPr>
                <w:rFonts w:hint="eastAsia" w:ascii="仿宋_GB2312" w:eastAsia="仿宋_GB2312"/>
                <w:color w:val="000000" w:themeColor="text1"/>
                <w:sz w:val="24"/>
                <w:highlight w:val="none"/>
                <w14:textFill>
                  <w14:solidFill>
                    <w14:schemeClr w14:val="tx1"/>
                  </w14:solidFill>
                </w14:textFill>
              </w:rPr>
              <w:t>分</w:t>
            </w:r>
            <w:r>
              <w:rPr>
                <w:rFonts w:ascii="仿宋_GB2312" w:eastAsia="仿宋_GB2312"/>
                <w:color w:val="000000" w:themeColor="text1"/>
                <w:sz w:val="24"/>
                <w:highlight w:val="none"/>
                <w14:textFill>
                  <w14:solidFill>
                    <w14:schemeClr w14:val="tx1"/>
                  </w14:solidFill>
                </w14:textFill>
              </w:rPr>
              <w:t>法</w:t>
            </w:r>
          </w:p>
          <w:p w14:paraId="65F65C7A">
            <w:pPr>
              <w:pStyle w:val="2"/>
              <w:spacing w:line="276" w:lineRule="auto"/>
              <w:rPr>
                <w:color w:val="000000" w:themeColor="text1"/>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本项目无二次报价</w:t>
            </w:r>
            <w:r>
              <w:rPr>
                <w:rFonts w:hint="eastAsia"/>
                <w:color w:val="000000" w:themeColor="text1"/>
                <w:highlight w:val="none"/>
                <w14:textFill>
                  <w14:solidFill>
                    <w14:schemeClr w14:val="tx1"/>
                  </w14:solidFill>
                </w14:textFill>
              </w:rPr>
              <w:t xml:space="preserve"> </w:t>
            </w:r>
          </w:p>
        </w:tc>
      </w:tr>
      <w:tr w14:paraId="38B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jc w:val="center"/>
        </w:trPr>
        <w:tc>
          <w:tcPr>
            <w:tcW w:w="855" w:type="dxa"/>
            <w:vAlign w:val="center"/>
          </w:tcPr>
          <w:p w14:paraId="56E2B3F5">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w:t>
            </w:r>
          </w:p>
        </w:tc>
        <w:tc>
          <w:tcPr>
            <w:tcW w:w="1845" w:type="dxa"/>
            <w:gridSpan w:val="2"/>
            <w:vAlign w:val="center"/>
          </w:tcPr>
          <w:p w14:paraId="733609A8">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竞选单位资格条件</w:t>
            </w:r>
          </w:p>
        </w:tc>
        <w:tc>
          <w:tcPr>
            <w:tcW w:w="6948" w:type="dxa"/>
            <w:vAlign w:val="center"/>
          </w:tcPr>
          <w:p w14:paraId="4D0C7864">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（一）基本资格条件：</w:t>
            </w:r>
          </w:p>
          <w:p w14:paraId="75E08F1C">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1.竞选单位具有独立承担民事责任的能力</w:t>
            </w:r>
          </w:p>
          <w:p w14:paraId="7B5E757B">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【提供法人营业执照（副本）或事业单位法人证书（副本）或个体工商户营业执照或有效的自然人身份证明或社会团体法人登记证书（提供复印件并加盖鲜章）】</w:t>
            </w:r>
          </w:p>
          <w:p w14:paraId="757454A2">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2.法定代表人身份证明【格式3，自然人无需提供】</w:t>
            </w:r>
          </w:p>
          <w:p w14:paraId="3EB54651">
            <w:pPr>
              <w:spacing w:line="276" w:lineRule="auto"/>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3.法定代表人授权委托书【格式4，自然人、法人本人到场的无需提供】</w:t>
            </w:r>
          </w:p>
          <w:p w14:paraId="0DCC3E6C">
            <w:pP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（二）特定资格条件：</w:t>
            </w:r>
          </w:p>
          <w:p w14:paraId="38463B72">
            <w:pP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 xml:space="preserve">    1.提供自2022年1月1日以来，衰变池维保业绩合同1份</w:t>
            </w:r>
          </w:p>
          <w:p w14:paraId="45EB6769">
            <w:pPr>
              <w:spacing w:line="276" w:lineRule="auto"/>
              <w:ind w:firstLine="480" w:firstLineChars="200"/>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w:t>
            </w:r>
            <w:r>
              <w:rPr>
                <w:rFonts w:hint="eastAsia" w:ascii="仿宋_GB2312" w:eastAsia="仿宋_GB2312"/>
                <w:color w:val="000000" w:themeColor="text1"/>
                <w:sz w:val="24"/>
                <w:highlight w:val="none"/>
                <w:lang w:eastAsia="zh-CN"/>
                <w14:textFill>
                  <w14:solidFill>
                    <w14:schemeClr w14:val="tx1"/>
                  </w14:solidFill>
                </w14:textFill>
              </w:rPr>
              <w:t>操作人员</w:t>
            </w:r>
            <w:r>
              <w:rPr>
                <w:rFonts w:hint="eastAsia" w:ascii="仿宋_GB2312" w:eastAsia="仿宋_GB2312"/>
                <w:color w:val="000000" w:themeColor="text1"/>
                <w:sz w:val="24"/>
                <w:highlight w:val="none"/>
                <w:lang w:val="en-US" w:eastAsia="zh-CN"/>
                <w14:textFill>
                  <w14:solidFill>
                    <w14:schemeClr w14:val="tx1"/>
                  </w14:solidFill>
                </w14:textFill>
              </w:rPr>
              <w:t>需持有</w:t>
            </w:r>
            <w:r>
              <w:rPr>
                <w:rFonts w:hint="eastAsia" w:ascii="仿宋_GB2312" w:eastAsia="仿宋_GB2312"/>
                <w:color w:val="000000" w:themeColor="text1"/>
                <w:sz w:val="24"/>
                <w:highlight w:val="none"/>
                <w:lang w:eastAsia="zh-CN"/>
                <w14:textFill>
                  <w14:solidFill>
                    <w14:schemeClr w14:val="tx1"/>
                  </w14:solidFill>
                </w14:textFill>
              </w:rPr>
              <w:t>放射卫生检测与技术评价技术培训考核</w:t>
            </w:r>
            <w:r>
              <w:rPr>
                <w:rFonts w:hint="eastAsia" w:ascii="仿宋_GB2312" w:eastAsia="仿宋_GB2312"/>
                <w:color w:val="000000" w:themeColor="text1"/>
                <w:sz w:val="24"/>
                <w:highlight w:val="none"/>
                <w:lang w:val="en-US" w:eastAsia="zh-CN"/>
                <w14:textFill>
                  <w14:solidFill>
                    <w14:schemeClr w14:val="tx1"/>
                  </w14:solidFill>
                </w14:textFill>
              </w:rPr>
              <w:t>或者</w:t>
            </w:r>
            <w:r>
              <w:rPr>
                <w:rFonts w:hint="eastAsia" w:ascii="仿宋_GB2312" w:eastAsia="仿宋_GB2312"/>
                <w:color w:val="000000" w:themeColor="text1"/>
                <w:sz w:val="24"/>
                <w:highlight w:val="yellow"/>
                <w:lang w:val="en-US" w:eastAsia="zh-CN"/>
                <w14:textFill>
                  <w14:solidFill>
                    <w14:schemeClr w14:val="tx1"/>
                  </w14:solidFill>
                </w14:textFill>
              </w:rPr>
              <w:t>核技术利用辐射安全与防护考核</w:t>
            </w:r>
            <w:r>
              <w:rPr>
                <w:rFonts w:hint="eastAsia" w:ascii="仿宋_GB2312" w:eastAsia="仿宋_GB2312"/>
                <w:color w:val="000000" w:themeColor="text1"/>
                <w:sz w:val="24"/>
                <w:highlight w:val="none"/>
                <w:lang w:eastAsia="zh-CN"/>
                <w14:textFill>
                  <w14:solidFill>
                    <w14:schemeClr w14:val="tx1"/>
                  </w14:solidFill>
                </w14:textFill>
              </w:rPr>
              <w:t>合格证书</w:t>
            </w:r>
          </w:p>
          <w:p w14:paraId="21F08C80">
            <w:p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以上人员</w:t>
            </w:r>
            <w:r>
              <w:rPr>
                <w:rFonts w:hint="eastAsia" w:ascii="仿宋_GB2312" w:eastAsia="仿宋_GB2312"/>
                <w:color w:val="000000" w:themeColor="text1"/>
                <w:sz w:val="24"/>
                <w:highlight w:val="none"/>
                <w:lang w:eastAsia="zh-CN"/>
                <w14:textFill>
                  <w14:solidFill>
                    <w14:schemeClr w14:val="tx1"/>
                  </w14:solidFill>
                </w14:textFill>
              </w:rPr>
              <w:t>需提供</w:t>
            </w:r>
            <w:r>
              <w:rPr>
                <w:rFonts w:hint="eastAsia" w:ascii="仿宋_GB2312" w:eastAsia="仿宋_GB2312"/>
                <w:color w:val="000000" w:themeColor="text1"/>
                <w:sz w:val="24"/>
                <w:highlight w:val="none"/>
                <w:lang w:val="en-US" w:eastAsia="zh-CN"/>
                <w14:textFill>
                  <w14:solidFill>
                    <w14:schemeClr w14:val="tx1"/>
                  </w14:solidFill>
                </w14:textFill>
              </w:rPr>
              <w:t>竞选单位</w:t>
            </w:r>
            <w:r>
              <w:rPr>
                <w:rFonts w:hint="eastAsia" w:ascii="仿宋_GB2312" w:eastAsia="仿宋_GB2312"/>
                <w:color w:val="000000" w:themeColor="text1"/>
                <w:sz w:val="24"/>
                <w:highlight w:val="none"/>
                <w:lang w:eastAsia="zh-CN"/>
                <w14:textFill>
                  <w14:solidFill>
                    <w14:schemeClr w14:val="tx1"/>
                  </w14:solidFill>
                </w14:textFill>
              </w:rPr>
              <w:t>为</w:t>
            </w:r>
            <w:r>
              <w:rPr>
                <w:rFonts w:hint="eastAsia" w:ascii="仿宋_GB2312" w:eastAsia="仿宋_GB2312"/>
                <w:color w:val="000000" w:themeColor="text1"/>
                <w:sz w:val="24"/>
                <w:highlight w:val="none"/>
                <w:lang w:val="en-US" w:eastAsia="zh-CN"/>
                <w14:textFill>
                  <w14:solidFill>
                    <w14:schemeClr w14:val="tx1"/>
                  </w14:solidFill>
                </w14:textFill>
              </w:rPr>
              <w:t>其</w:t>
            </w:r>
            <w:r>
              <w:rPr>
                <w:rFonts w:hint="eastAsia" w:ascii="仿宋_GB2312" w:eastAsia="仿宋_GB2312"/>
                <w:color w:val="000000" w:themeColor="text1"/>
                <w:sz w:val="24"/>
                <w:highlight w:val="none"/>
                <w:lang w:eastAsia="zh-CN"/>
                <w14:textFill>
                  <w14:solidFill>
                    <w14:schemeClr w14:val="tx1"/>
                  </w14:solidFill>
                </w14:textFill>
              </w:rPr>
              <w:t>缴纳近</w:t>
            </w:r>
            <w:r>
              <w:rPr>
                <w:rFonts w:hint="eastAsia" w:ascii="仿宋_GB2312" w:eastAsia="仿宋_GB2312"/>
                <w:color w:val="000000" w:themeColor="text1"/>
                <w:sz w:val="24"/>
                <w:highlight w:val="none"/>
                <w:lang w:val="en-US" w:eastAsia="zh-CN"/>
                <w14:textFill>
                  <w14:solidFill>
                    <w14:schemeClr w14:val="tx1"/>
                  </w14:solidFill>
                </w14:textFill>
              </w:rPr>
              <w:t>3个月</w:t>
            </w:r>
            <w:r>
              <w:rPr>
                <w:rFonts w:hint="eastAsia" w:ascii="仿宋_GB2312" w:eastAsia="仿宋_GB2312"/>
                <w:color w:val="000000" w:themeColor="text1"/>
                <w:sz w:val="24"/>
                <w:highlight w:val="none"/>
                <w:lang w:eastAsia="zh-CN"/>
                <w14:textFill>
                  <w14:solidFill>
                    <w14:schemeClr w14:val="tx1"/>
                  </w14:solidFill>
                </w14:textFill>
              </w:rPr>
              <w:t>社保证明。</w:t>
            </w:r>
          </w:p>
        </w:tc>
      </w:tr>
      <w:tr w14:paraId="1E80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E6EE97A">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7</w:t>
            </w:r>
          </w:p>
        </w:tc>
        <w:tc>
          <w:tcPr>
            <w:tcW w:w="1845" w:type="dxa"/>
            <w:gridSpan w:val="2"/>
            <w:vAlign w:val="center"/>
          </w:tcPr>
          <w:p w14:paraId="7532F054">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项目最高限价</w:t>
            </w:r>
          </w:p>
        </w:tc>
        <w:tc>
          <w:tcPr>
            <w:tcW w:w="6948" w:type="dxa"/>
            <w:vAlign w:val="center"/>
          </w:tcPr>
          <w:p w14:paraId="6641CDEF">
            <w:pPr>
              <w:pStyle w:val="36"/>
              <w:tabs>
                <w:tab w:val="left" w:pos="423"/>
                <w:tab w:val="clear" w:pos="900"/>
              </w:tabs>
              <w:spacing w:line="276" w:lineRule="auto"/>
              <w:ind w:firstLine="0"/>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375000元</w:t>
            </w:r>
          </w:p>
        </w:tc>
      </w:tr>
      <w:tr w14:paraId="41C9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62F1B6BB">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8</w:t>
            </w:r>
          </w:p>
        </w:tc>
        <w:tc>
          <w:tcPr>
            <w:tcW w:w="1845" w:type="dxa"/>
            <w:gridSpan w:val="2"/>
            <w:vAlign w:val="center"/>
          </w:tcPr>
          <w:p w14:paraId="7E4CDFA2">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费用报价方式</w:t>
            </w:r>
          </w:p>
        </w:tc>
        <w:tc>
          <w:tcPr>
            <w:tcW w:w="6948" w:type="dxa"/>
            <w:vAlign w:val="center"/>
          </w:tcPr>
          <w:p w14:paraId="28902FA4">
            <w:pPr>
              <w:snapToGrid w:val="0"/>
              <w:spacing w:line="360" w:lineRule="auto"/>
              <w:rPr>
                <w:rFonts w:hint="eastAsia"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olor w:val="000000" w:themeColor="text1"/>
                <w:kern w:val="0"/>
                <w:sz w:val="24"/>
                <w:szCs w:val="24"/>
                <w:highlight w:val="none"/>
                <w14:textFill>
                  <w14:solidFill>
                    <w14:schemeClr w14:val="tx1"/>
                  </w14:solidFill>
                </w14:textFill>
              </w:rPr>
              <w:t>.</w:t>
            </w:r>
            <w:r>
              <w:rPr>
                <w:rFonts w:hint="eastAsia" w:ascii="仿宋" w:hAnsi="仿宋" w:eastAsia="仿宋"/>
                <w:color w:val="000000" w:themeColor="text1"/>
                <w:kern w:val="0"/>
                <w:sz w:val="24"/>
                <w:szCs w:val="24"/>
                <w:highlight w:val="none"/>
                <w:lang w:eastAsia="zh-CN"/>
                <w14:textFill>
                  <w14:solidFill>
                    <w14:schemeClr w14:val="tx1"/>
                  </w14:solidFill>
                </w14:textFill>
              </w:rPr>
              <w:t>包干</w:t>
            </w:r>
            <w:r>
              <w:rPr>
                <w:rFonts w:hint="eastAsia" w:ascii="仿宋" w:hAnsi="仿宋" w:eastAsia="仿宋"/>
                <w:color w:val="000000" w:themeColor="text1"/>
                <w:kern w:val="0"/>
                <w:sz w:val="24"/>
                <w:szCs w:val="24"/>
                <w:highlight w:val="none"/>
                <w14:textFill>
                  <w14:solidFill>
                    <w14:schemeClr w14:val="tx1"/>
                  </w14:solidFill>
                </w14:textFill>
              </w:rPr>
              <w:t>报价包含：</w:t>
            </w:r>
          </w:p>
          <w:p w14:paraId="38534E44">
            <w:pPr>
              <w:snapToGrid w:val="0"/>
              <w:spacing w:line="360" w:lineRule="auto"/>
              <w:rPr>
                <w:rFonts w:hint="eastAsia"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olor w:val="000000" w:themeColor="text1"/>
                <w:kern w:val="0"/>
                <w:sz w:val="24"/>
                <w:szCs w:val="24"/>
                <w:highlight w:val="none"/>
                <w14:textFill>
                  <w14:solidFill>
                    <w14:schemeClr w14:val="tx1"/>
                  </w14:solidFill>
                </w14:textFill>
              </w:rPr>
              <w:t>包含但不限于以下内容：</w:t>
            </w:r>
            <w:r>
              <w:rPr>
                <w:rFonts w:hint="eastAsia" w:ascii="仿宋" w:hAnsi="仿宋" w:eastAsia="仿宋"/>
                <w:color w:val="000000" w:themeColor="text1"/>
                <w:kern w:val="0"/>
                <w:sz w:val="24"/>
                <w:szCs w:val="24"/>
                <w:highlight w:val="none"/>
                <w:lang w:val="en-US" w:eastAsia="zh-CN"/>
                <w14:textFill>
                  <w14:solidFill>
                    <w14:schemeClr w14:val="tx1"/>
                  </w14:solidFill>
                </w14:textFill>
              </w:rPr>
              <w:t>设备购置费、</w:t>
            </w:r>
            <w:r>
              <w:rPr>
                <w:rFonts w:hint="eastAsia" w:ascii="仿宋" w:hAnsi="仿宋" w:eastAsia="仿宋"/>
                <w:color w:val="000000" w:themeColor="text1"/>
                <w:kern w:val="0"/>
                <w:sz w:val="24"/>
                <w:szCs w:val="24"/>
                <w:highlight w:val="none"/>
                <w14:textFill>
                  <w14:solidFill>
                    <w14:schemeClr w14:val="tx1"/>
                  </w14:solidFill>
                </w14:textFill>
              </w:rPr>
              <w:t>人工费、材料费、加工费、运输（含包装、运输、转运、装卸至医院指定地点）、管理费、利润、保险、各种规费税费、约定的</w:t>
            </w:r>
            <w:r>
              <w:rPr>
                <w:rFonts w:hint="eastAsia" w:ascii="仿宋" w:hAnsi="仿宋" w:eastAsia="仿宋"/>
                <w:color w:val="000000" w:themeColor="text1"/>
                <w:kern w:val="0"/>
                <w:sz w:val="24"/>
                <w:szCs w:val="24"/>
                <w:highlight w:val="none"/>
                <w:lang w:val="en-US" w:eastAsia="zh-CN"/>
                <w14:textFill>
                  <w14:solidFill>
                    <w14:schemeClr w14:val="tx1"/>
                  </w14:solidFill>
                </w14:textFill>
              </w:rPr>
              <w:t>安装</w:t>
            </w:r>
            <w:r>
              <w:rPr>
                <w:rFonts w:hint="eastAsia" w:ascii="仿宋" w:hAnsi="仿宋" w:eastAsia="仿宋"/>
                <w:color w:val="000000" w:themeColor="text1"/>
                <w:kern w:val="0"/>
                <w:sz w:val="24"/>
                <w:szCs w:val="24"/>
                <w:highlight w:val="none"/>
                <w14:textFill>
                  <w14:solidFill>
                    <w14:schemeClr w14:val="tx1"/>
                  </w14:solidFill>
                </w14:textFill>
              </w:rPr>
              <w:t>费用、风险费、专用工具、调试等所有成本费用。</w:t>
            </w:r>
          </w:p>
          <w:p w14:paraId="20F0292C">
            <w:pPr>
              <w:snapToGrid w:val="0"/>
              <w:spacing w:line="360" w:lineRule="auto"/>
              <w:rPr>
                <w:rFonts w:hint="eastAsia" w:ascii="仿宋" w:hAnsi="仿宋" w:eastAsia="仿宋"/>
                <w:color w:val="000000" w:themeColor="text1"/>
                <w:kern w:val="0"/>
                <w:sz w:val="24"/>
                <w:szCs w:val="24"/>
                <w:highlight w:val="none"/>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2</w:t>
            </w:r>
            <w: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t>.竞选单位应自行踏勘现场及周围环境，以便获取竞选单位须自己负责的有关编制竞选文件报价清单和签署合同所需的所有资料。</w:t>
            </w:r>
          </w:p>
        </w:tc>
      </w:tr>
      <w:tr w14:paraId="3D83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62B0740D">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9</w:t>
            </w:r>
          </w:p>
        </w:tc>
        <w:tc>
          <w:tcPr>
            <w:tcW w:w="1845" w:type="dxa"/>
            <w:gridSpan w:val="2"/>
            <w:vAlign w:val="center"/>
          </w:tcPr>
          <w:p w14:paraId="33CD32C2">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费用支付</w:t>
            </w:r>
          </w:p>
          <w:p w14:paraId="44A58DD2">
            <w:pPr>
              <w:pStyle w:val="36"/>
              <w:spacing w:line="276" w:lineRule="auto"/>
              <w:ind w:firstLine="0"/>
              <w:jc w:val="left"/>
              <w:rPr>
                <w:color w:val="000000" w:themeColor="text1"/>
                <w:szCs w:val="24"/>
                <w:highlight w:val="none"/>
                <w14:textFill>
                  <w14:solidFill>
                    <w14:schemeClr w14:val="tx1"/>
                  </w14:solidFill>
                </w14:textFill>
              </w:rPr>
            </w:pPr>
          </w:p>
        </w:tc>
        <w:tc>
          <w:tcPr>
            <w:tcW w:w="6948" w:type="dxa"/>
            <w:vAlign w:val="center"/>
          </w:tcPr>
          <w:p w14:paraId="37C50AE2">
            <w:pPr>
              <w:spacing w:line="276" w:lineRule="auto"/>
              <w:ind w:firstLine="480" w:firstLineChars="200"/>
              <w:jc w:val="left"/>
              <w:rPr>
                <w:rFonts w:hint="eastAsia" w:ascii="仿宋_GB2312" w:hAnsi="宋体" w:eastAsia="仿宋_GB2312"/>
                <w:color w:val="000000" w:themeColor="text1"/>
                <w:kern w:val="0"/>
                <w:sz w:val="24"/>
                <w:highlight w:val="none"/>
                <w:lang w:eastAsia="zh-CN"/>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本项目无预付款，</w:t>
            </w:r>
            <w:r>
              <w:rPr>
                <w:rFonts w:hint="eastAsia" w:ascii="仿宋_GB2312" w:hAnsi="宋体" w:eastAsia="仿宋_GB2312"/>
                <w:color w:val="000000" w:themeColor="text1"/>
                <w:kern w:val="0"/>
                <w:sz w:val="24"/>
                <w:highlight w:val="none"/>
                <w:lang w:val="en-US" w:eastAsia="zh-CN"/>
                <w14:textFill>
                  <w14:solidFill>
                    <w14:schemeClr w14:val="tx1"/>
                  </w14:solidFill>
                </w14:textFill>
              </w:rPr>
              <w:t>经考核后（附件2）两个院区衰变池运维费用季度结算，以上费用</w:t>
            </w:r>
            <w:r>
              <w:rPr>
                <w:rFonts w:hint="eastAsia" w:ascii="仿宋_GB2312" w:hAnsi="宋体" w:eastAsia="仿宋_GB2312"/>
                <w:color w:val="000000" w:themeColor="text1"/>
                <w:kern w:val="0"/>
                <w:sz w:val="24"/>
                <w:highlight w:val="none"/>
                <w14:textFill>
                  <w14:solidFill>
                    <w14:schemeClr w14:val="tx1"/>
                  </w14:solidFill>
                </w14:textFill>
              </w:rPr>
              <w:t>在收到</w:t>
            </w:r>
            <w:r>
              <w:rPr>
                <w:rFonts w:hint="eastAsia" w:ascii="仿宋_GB2312" w:hAnsi="宋体" w:eastAsia="仿宋_GB2312"/>
                <w:color w:val="000000" w:themeColor="text1"/>
                <w:kern w:val="0"/>
                <w:sz w:val="24"/>
                <w:highlight w:val="none"/>
                <w:lang w:val="en-US" w:eastAsia="zh-CN"/>
                <w14:textFill>
                  <w14:solidFill>
                    <w14:schemeClr w14:val="tx1"/>
                  </w14:solidFill>
                </w14:textFill>
              </w:rPr>
              <w:t>中选单位</w:t>
            </w:r>
            <w:r>
              <w:rPr>
                <w:rFonts w:hint="eastAsia" w:ascii="仿宋_GB2312" w:hAnsi="宋体" w:eastAsia="仿宋_GB2312"/>
                <w:color w:val="000000" w:themeColor="text1"/>
                <w:kern w:val="0"/>
                <w:sz w:val="24"/>
                <w:highlight w:val="none"/>
                <w14:textFill>
                  <w14:solidFill>
                    <w14:schemeClr w14:val="tx1"/>
                  </w14:solidFill>
                </w14:textFill>
              </w:rPr>
              <w:t>出具的发票和凭证资料之后40个工作日内支付该</w:t>
            </w:r>
            <w:r>
              <w:rPr>
                <w:rFonts w:hint="eastAsia" w:ascii="仿宋_GB2312" w:hAnsi="宋体" w:eastAsia="仿宋_GB2312"/>
                <w:color w:val="000000" w:themeColor="text1"/>
                <w:kern w:val="0"/>
                <w:sz w:val="24"/>
                <w:highlight w:val="none"/>
                <w:lang w:val="en-US" w:eastAsia="zh-CN"/>
                <w14:textFill>
                  <w14:solidFill>
                    <w14:schemeClr w14:val="tx1"/>
                  </w14:solidFill>
                </w14:textFill>
              </w:rPr>
              <w:t>款项。</w:t>
            </w:r>
          </w:p>
        </w:tc>
      </w:tr>
      <w:tr w14:paraId="5A73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14:paraId="6745460D">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10</w:t>
            </w:r>
          </w:p>
        </w:tc>
        <w:tc>
          <w:tcPr>
            <w:tcW w:w="1845" w:type="dxa"/>
            <w:gridSpan w:val="2"/>
            <w:vAlign w:val="center"/>
          </w:tcPr>
          <w:p w14:paraId="735A4C74">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竞选文件组成</w:t>
            </w:r>
          </w:p>
        </w:tc>
        <w:tc>
          <w:tcPr>
            <w:tcW w:w="6948" w:type="dxa"/>
            <w:vAlign w:val="center"/>
          </w:tcPr>
          <w:p w14:paraId="67A56926">
            <w:pPr>
              <w:pStyle w:val="36"/>
              <w:spacing w:line="240" w:lineRule="auto"/>
              <w:ind w:firstLine="0"/>
              <w:jc w:val="left"/>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（一）手持资料（1份，无需密封）</w:t>
            </w:r>
          </w:p>
          <w:p w14:paraId="07F2FADA">
            <w:pPr>
              <w:pStyle w:val="36"/>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1．营业执照【提供复印件并加盖鲜章】</w:t>
            </w:r>
          </w:p>
          <w:p w14:paraId="777FBA21">
            <w:pPr>
              <w:pStyle w:val="36"/>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2．竞选单位的法定代表人或委托代理人或自然人本人身份证【原件】</w:t>
            </w:r>
          </w:p>
          <w:p w14:paraId="4BCBA460">
            <w:pPr>
              <w:pStyle w:val="36"/>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.法定代表人身份证明【格式3，自然人无需提供】</w:t>
            </w:r>
          </w:p>
          <w:p w14:paraId="3CA0A4B3">
            <w:pPr>
              <w:pStyle w:val="36"/>
              <w:spacing w:line="240"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.法定代表人授权委托书【格式4，自然人、法人本人到场的无需提供】</w:t>
            </w:r>
          </w:p>
          <w:p w14:paraId="32A22565">
            <w:pPr>
              <w:pStyle w:val="36"/>
              <w:spacing w:line="240" w:lineRule="auto"/>
              <w:ind w:firstLine="0"/>
              <w:jc w:val="left"/>
              <w:rPr>
                <w:b/>
                <w:color w:val="000000" w:themeColor="text1"/>
                <w:szCs w:val="24"/>
                <w:highlight w:val="none"/>
                <w14:textFill>
                  <w14:solidFill>
                    <w14:schemeClr w14:val="tx1"/>
                  </w14:solidFill>
                </w14:textFill>
              </w:rPr>
            </w:pPr>
          </w:p>
          <w:p w14:paraId="3E0AEBE1">
            <w:pPr>
              <w:pStyle w:val="36"/>
              <w:spacing w:line="240" w:lineRule="auto"/>
              <w:ind w:firstLine="0"/>
              <w:jc w:val="left"/>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（二）竞选文件（1正2副，需密封）</w:t>
            </w:r>
          </w:p>
          <w:p w14:paraId="6B88B3EE">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1.评审条款差异表（格式1）</w:t>
            </w:r>
          </w:p>
          <w:p w14:paraId="633EE75A">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2.竞选函（格式2）（若有分项报价清单，请添加到格式2后面）</w:t>
            </w:r>
          </w:p>
          <w:p w14:paraId="6783FF47">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.基本资格条件证明材料：</w:t>
            </w:r>
          </w:p>
          <w:p w14:paraId="7BC79020">
            <w:pPr>
              <w:pStyle w:val="36"/>
              <w:spacing w:line="276" w:lineRule="auto"/>
              <w:ind w:firstLine="240" w:firstLineChars="10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①营业执照【提供复印件需加盖公章（原件备查）】</w:t>
            </w:r>
          </w:p>
          <w:p w14:paraId="08172F0D">
            <w:pPr>
              <w:pStyle w:val="36"/>
              <w:spacing w:line="276" w:lineRule="auto"/>
              <w:ind w:firstLine="240" w:firstLineChars="10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②法定代表人身份证明【格式</w:t>
            </w: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，自然人无需提供】</w:t>
            </w:r>
          </w:p>
          <w:p w14:paraId="31AEF464">
            <w:pPr>
              <w:pStyle w:val="36"/>
              <w:spacing w:line="276" w:lineRule="auto"/>
              <w:ind w:firstLine="240" w:firstLineChars="10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③法定代表人授权委托书【格式4，自然人、法人本人到场的无需提供】</w:t>
            </w:r>
          </w:p>
          <w:p w14:paraId="1E6D1654">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.特定资格条件证明材料【要求详见采购文件6竞选单位资格条件（二），格式自拟】</w:t>
            </w:r>
          </w:p>
          <w:p w14:paraId="3E2505C7">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5</w:t>
            </w:r>
            <w:r>
              <w:rPr>
                <w:rFonts w:hint="eastAsia"/>
                <w:color w:val="000000" w:themeColor="text1"/>
                <w:szCs w:val="24"/>
                <w:highlight w:val="none"/>
                <w14:textFill>
                  <w14:solidFill>
                    <w14:schemeClr w14:val="tx1"/>
                  </w14:solidFill>
                </w14:textFill>
              </w:rPr>
              <w:t>.承诺书（格式5）</w:t>
            </w:r>
          </w:p>
          <w:p w14:paraId="6863D227">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w:t>
            </w:r>
            <w:r>
              <w:rPr>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货物、产品或设备要求响应资料【要求详见采购文件3货物、产品或设备要求，格式自拟】</w:t>
            </w:r>
          </w:p>
          <w:p w14:paraId="1A8A1BCC">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7</w:t>
            </w:r>
            <w:r>
              <w:rPr>
                <w:rFonts w:hint="eastAsia"/>
                <w:color w:val="000000" w:themeColor="text1"/>
                <w:szCs w:val="24"/>
                <w:highlight w:val="none"/>
                <w14:textFill>
                  <w14:solidFill>
                    <w14:schemeClr w14:val="tx1"/>
                  </w14:solidFill>
                </w14:textFill>
              </w:rPr>
              <w:t>.其他商务、技术等证明材料【根据评分办法自行编制，格式自拟】</w:t>
            </w:r>
          </w:p>
        </w:tc>
      </w:tr>
      <w:tr w14:paraId="5001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018D84D6">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w:t>
            </w:r>
          </w:p>
        </w:tc>
        <w:tc>
          <w:tcPr>
            <w:tcW w:w="1845" w:type="dxa"/>
            <w:gridSpan w:val="2"/>
            <w:vAlign w:val="center"/>
          </w:tcPr>
          <w:p w14:paraId="50D005A9">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竞选文件格式</w:t>
            </w:r>
          </w:p>
        </w:tc>
        <w:tc>
          <w:tcPr>
            <w:tcW w:w="6948" w:type="dxa"/>
            <w:vAlign w:val="center"/>
          </w:tcPr>
          <w:p w14:paraId="5B5A6EC7">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1.签字盖章要求</w:t>
            </w:r>
          </w:p>
          <w:p w14:paraId="3315B85C">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1.1竞选文件正、副本封面均须法定代表人或其委托代理人签字、加盖竞选单位公章（鲜章），正、副本均须加盖骑缝章（鲜章）；</w:t>
            </w:r>
          </w:p>
          <w:p w14:paraId="2A4E287B">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1.2竞选文件正本内页要求签字、盖章的地方均须由法定代表人或其委托代理人签字、加盖竞选单位公章（鲜章）；竞选文件副本内页可以是正本的复印件。</w:t>
            </w:r>
          </w:p>
          <w:p w14:paraId="3B70B79F">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2.装订要求</w:t>
            </w:r>
          </w:p>
          <w:p w14:paraId="4ADD0774">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竞选文件的正本与副本应分别装订成册，采用胶订、平订或线订等，不得采用活页装订方式。</w:t>
            </w:r>
          </w:p>
          <w:p w14:paraId="1FDA11CE">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3.份数要求：1份正本，</w:t>
            </w:r>
            <w:r>
              <w:rPr>
                <w:color w:val="000000" w:themeColor="text1"/>
                <w:szCs w:val="24"/>
                <w:highlight w:val="none"/>
                <w14:textFill>
                  <w14:solidFill>
                    <w14:schemeClr w14:val="tx1"/>
                  </w14:solidFill>
                </w14:textFill>
              </w:rPr>
              <w:t>2</w:t>
            </w:r>
            <w:r>
              <w:rPr>
                <w:rFonts w:hint="eastAsia"/>
                <w:color w:val="000000" w:themeColor="text1"/>
                <w:szCs w:val="24"/>
                <w:highlight w:val="none"/>
                <w14:textFill>
                  <w14:solidFill>
                    <w14:schemeClr w14:val="tx1"/>
                  </w14:solidFill>
                </w14:textFill>
              </w:rPr>
              <w:t>份副本。（须在封面注明）</w:t>
            </w:r>
          </w:p>
          <w:p w14:paraId="17BD1B93">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4.密封要求：将装订好的竞选文件正、副本封装在一个文件袋内，并在袋上加盖竞选单位公章。</w:t>
            </w:r>
          </w:p>
          <w:p w14:paraId="31A25119">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5.竞选文件正副本请务必做好目录及对应页码。</w:t>
            </w:r>
          </w:p>
          <w:p w14:paraId="48CDE9D5">
            <w:pPr>
              <w:pStyle w:val="36"/>
              <w:spacing w:line="276" w:lineRule="auto"/>
              <w:ind w:firstLine="0"/>
              <w:jc w:val="left"/>
              <w:rPr>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（特别提醒：请竞选单位严格按照竞选文件格式要求准备）</w:t>
            </w:r>
          </w:p>
        </w:tc>
      </w:tr>
      <w:tr w14:paraId="1802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6765D5D6">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2</w:t>
            </w:r>
          </w:p>
        </w:tc>
        <w:tc>
          <w:tcPr>
            <w:tcW w:w="1845" w:type="dxa"/>
            <w:gridSpan w:val="2"/>
            <w:vAlign w:val="center"/>
          </w:tcPr>
          <w:p w14:paraId="0EF5C04A">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采购程序</w:t>
            </w:r>
          </w:p>
        </w:tc>
        <w:tc>
          <w:tcPr>
            <w:tcW w:w="6948" w:type="dxa"/>
            <w:vAlign w:val="center"/>
          </w:tcPr>
          <w:p w14:paraId="5CE51BC9">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按下列程序进行：</w:t>
            </w:r>
          </w:p>
          <w:p w14:paraId="7478FA10">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1.竞选单位在规定时间内按格式报名，报名后若放弃参加竞选请务必提前电话或邮件说明理由；</w:t>
            </w:r>
          </w:p>
          <w:p w14:paraId="7D9C6797">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2.竞选单位在规定的时间内递交竞选文件并在竞选文件递交表上签到；</w:t>
            </w:r>
          </w:p>
          <w:p w14:paraId="46962AAC">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3.宣布比选会议开始；</w:t>
            </w:r>
          </w:p>
          <w:p w14:paraId="02F0EE65">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4.按照竞选文件递交顺序依次点名； </w:t>
            </w:r>
          </w:p>
          <w:p w14:paraId="4D823D64">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5.核验参加比选会议的竞选单位的法定代表人或委托代理人本人身份证（原件）、委托代理人的授权委托书，以确认其身份合法有效。若经核实委托代理人提供资料与实际不符的，不得参加比选会；</w:t>
            </w:r>
          </w:p>
          <w:p w14:paraId="6D424342">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6.竞选文件的密封检查：竞选单位自荐或推举3名代表对所有文件密封情况进行检查（由工作人员展示，竞选单位代表不可直接触碰竞选文件），并签署竞选文件密封检查记录表；</w:t>
            </w:r>
          </w:p>
          <w:p w14:paraId="4F783C17">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7.开启顺序：随机开启、检查文件份数；</w:t>
            </w:r>
          </w:p>
          <w:p w14:paraId="6931722C">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8.当众公布竞选单位名称、竞选报价、质量要求、工期及其他内容并记录在案； </w:t>
            </w:r>
          </w:p>
          <w:p w14:paraId="629263DF">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9.竞选单位代表、比选人代表、监督人等有关人员在比选记录上签字确认；</w:t>
            </w:r>
          </w:p>
          <w:p w14:paraId="059AA1E6">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10.竞选单位代表离场，保持联系方式畅通；</w:t>
            </w:r>
          </w:p>
          <w:p w14:paraId="0A1EEEAA">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11.专家入场，先进行初步评审，初步评审未通过作否决竞选处理。初步评审通过的竞选单位进入详细评审，得到竞选得分排名；</w:t>
            </w:r>
          </w:p>
          <w:p w14:paraId="483F2E49">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12.公示拟中选候选人；</w:t>
            </w:r>
          </w:p>
          <w:p w14:paraId="0F7C0909">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13.发放中选通知书、签订合同。</w:t>
            </w:r>
          </w:p>
        </w:tc>
      </w:tr>
      <w:tr w14:paraId="7C4D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2E56AEA1">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3</w:t>
            </w:r>
          </w:p>
        </w:tc>
        <w:tc>
          <w:tcPr>
            <w:tcW w:w="922" w:type="dxa"/>
            <w:vMerge w:val="restart"/>
            <w:vAlign w:val="center"/>
          </w:tcPr>
          <w:p w14:paraId="56EA280E">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评分办法</w:t>
            </w:r>
          </w:p>
        </w:tc>
        <w:tc>
          <w:tcPr>
            <w:tcW w:w="923" w:type="dxa"/>
            <w:vAlign w:val="center"/>
          </w:tcPr>
          <w:p w14:paraId="5A70C7E3">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（1）</w:t>
            </w:r>
          </w:p>
        </w:tc>
        <w:tc>
          <w:tcPr>
            <w:tcW w:w="6948" w:type="dxa"/>
            <w:vAlign w:val="center"/>
          </w:tcPr>
          <w:p w14:paraId="50F7802A">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初步评审</w:t>
            </w:r>
          </w:p>
          <w:p w14:paraId="4F856B39">
            <w:pPr>
              <w:pStyle w:val="36"/>
              <w:spacing w:line="276" w:lineRule="auto"/>
              <w:ind w:firstLine="0"/>
              <w:jc w:val="left"/>
              <w:rPr>
                <w:b/>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1.满足</w:t>
            </w:r>
            <w:r>
              <w:rPr>
                <w:rFonts w:hint="eastAsia"/>
                <w:b/>
                <w:color w:val="000000" w:themeColor="text1"/>
                <w:szCs w:val="24"/>
                <w:highlight w:val="none"/>
                <w14:textFill>
                  <w14:solidFill>
                    <w14:schemeClr w14:val="tx1"/>
                  </w14:solidFill>
                </w14:textFill>
              </w:rPr>
              <w:t>采购文件第3条</w:t>
            </w:r>
            <w:r>
              <w:rPr>
                <w:rFonts w:hint="eastAsia"/>
                <w:b/>
                <w:color w:val="000000" w:themeColor="text1"/>
                <w:szCs w:val="24"/>
                <w:highlight w:val="none"/>
                <w:lang w:val="en-US" w:eastAsia="zh-CN"/>
                <w14:textFill>
                  <w14:solidFill>
                    <w14:schemeClr w14:val="tx1"/>
                  </w14:solidFill>
                </w14:textFill>
              </w:rPr>
              <w:t>服务</w:t>
            </w:r>
            <w:r>
              <w:rPr>
                <w:rFonts w:hint="eastAsia"/>
                <w:b/>
                <w:color w:val="000000" w:themeColor="text1"/>
                <w:szCs w:val="24"/>
                <w:highlight w:val="none"/>
                <w14:textFill>
                  <w14:solidFill>
                    <w14:schemeClr w14:val="tx1"/>
                  </w14:solidFill>
                </w14:textFill>
              </w:rPr>
              <w:t>要求，第6条竞选单位条件、第8条费用报价方式的视为通过初步评审。未通过初步评审的作否决竞选处理，不进入评分环节，不参与排名。</w:t>
            </w:r>
          </w:p>
          <w:p w14:paraId="348C982F">
            <w:pPr>
              <w:pStyle w:val="36"/>
              <w:spacing w:line="276" w:lineRule="auto"/>
              <w:ind w:firstLine="0"/>
              <w:jc w:val="left"/>
              <w:rPr>
                <w:color w:val="000000" w:themeColor="text1"/>
                <w:szCs w:val="24"/>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1F21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Merge w:val="continue"/>
            <w:vAlign w:val="center"/>
          </w:tcPr>
          <w:p w14:paraId="3D4041FE">
            <w:pPr>
              <w:pStyle w:val="36"/>
              <w:spacing w:line="276" w:lineRule="auto"/>
              <w:ind w:firstLine="0"/>
              <w:jc w:val="left"/>
              <w:rPr>
                <w:color w:val="000000" w:themeColor="text1"/>
                <w:highlight w:val="none"/>
                <w14:textFill>
                  <w14:solidFill>
                    <w14:schemeClr w14:val="tx1"/>
                  </w14:solidFill>
                </w14:textFill>
              </w:rPr>
            </w:pPr>
          </w:p>
        </w:tc>
        <w:tc>
          <w:tcPr>
            <w:tcW w:w="922" w:type="dxa"/>
            <w:vMerge w:val="continue"/>
            <w:vAlign w:val="center"/>
          </w:tcPr>
          <w:p w14:paraId="43686089">
            <w:pPr>
              <w:pStyle w:val="36"/>
              <w:spacing w:line="276" w:lineRule="auto"/>
              <w:ind w:firstLine="0"/>
              <w:jc w:val="left"/>
              <w:rPr>
                <w:color w:val="000000" w:themeColor="text1"/>
                <w:highlight w:val="none"/>
                <w14:textFill>
                  <w14:solidFill>
                    <w14:schemeClr w14:val="tx1"/>
                  </w14:solidFill>
                </w14:textFill>
              </w:rPr>
            </w:pPr>
          </w:p>
        </w:tc>
        <w:tc>
          <w:tcPr>
            <w:tcW w:w="923" w:type="dxa"/>
            <w:vAlign w:val="center"/>
          </w:tcPr>
          <w:p w14:paraId="43A1051B">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（2）</w:t>
            </w:r>
          </w:p>
        </w:tc>
        <w:tc>
          <w:tcPr>
            <w:tcW w:w="6948" w:type="dxa"/>
            <w:vAlign w:val="center"/>
          </w:tcPr>
          <w:p w14:paraId="7F1B114F">
            <w:pPr>
              <w:pStyle w:val="36"/>
              <w:keepNext w:val="0"/>
              <w:keepLines w:val="0"/>
              <w:suppressLineNumbers w:val="0"/>
              <w:spacing w:before="0" w:beforeAutospacing="0" w:after="0" w:afterAutospacing="0" w:line="240" w:lineRule="auto"/>
              <w:ind w:left="0" w:right="0" w:firstLine="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最低价中选：通过初步评审的竞选单位中竞选总报价最低的单位为第一中选候选人，以此类推。</w:t>
            </w:r>
          </w:p>
          <w:p w14:paraId="4C9D6024">
            <w:pPr>
              <w:pStyle w:val="36"/>
              <w:keepNext w:val="0"/>
              <w:keepLines w:val="0"/>
              <w:suppressLineNumbers w:val="0"/>
              <w:spacing w:before="0" w:beforeAutospacing="0" w:after="0" w:afterAutospacing="0" w:line="240" w:lineRule="auto"/>
              <w:ind w:left="0" w:right="0" w:firstLine="0"/>
              <w:jc w:val="left"/>
              <w:rPr>
                <w:rFonts w:hint="default"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【若有两家及以上竞选单位竞选总报价相同且均为最低价，则按照6竞选单位资格条件中提供的业绩金额大的优先原则进行排序】</w:t>
            </w:r>
          </w:p>
        </w:tc>
      </w:tr>
      <w:tr w14:paraId="57D0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5" w:type="dxa"/>
            <w:vAlign w:val="center"/>
          </w:tcPr>
          <w:p w14:paraId="54DAF465">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4</w:t>
            </w:r>
          </w:p>
        </w:tc>
        <w:tc>
          <w:tcPr>
            <w:tcW w:w="1845" w:type="dxa"/>
            <w:gridSpan w:val="2"/>
            <w:vAlign w:val="center"/>
          </w:tcPr>
          <w:p w14:paraId="40FD6A61">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报名方式</w:t>
            </w:r>
          </w:p>
        </w:tc>
        <w:tc>
          <w:tcPr>
            <w:tcW w:w="6948" w:type="dxa"/>
            <w:vAlign w:val="center"/>
          </w:tcPr>
          <w:p w14:paraId="04F3035D">
            <w:pPr>
              <w:pStyle w:val="36"/>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1.请于202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日下午1</w:t>
            </w:r>
            <w:r>
              <w:rPr>
                <w:rFonts w:hint="eastAsia" w:asci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:00前将“企业营业执照、法定代表人授权书”电子扫描件打包发送至邮箱：</w:t>
            </w:r>
            <w:r>
              <w:rPr>
                <w:rFonts w:hint="eastAsia" w:ascii="宋体" w:hAnsi="宋体" w:eastAsia="宋体" w:cs="宋体"/>
                <w:color w:val="auto"/>
                <w:sz w:val="24"/>
                <w:szCs w:val="24"/>
                <w:highlight w:val="none"/>
                <w:lang w:val="en-US" w:eastAsia="zh-CN"/>
              </w:rPr>
              <w:t>cgglc2023@163.com</w:t>
            </w:r>
            <w:r>
              <w:rPr>
                <w:rFonts w:hint="eastAsia" w:ascii="宋体" w:hAnsi="宋体" w:eastAsia="宋体" w:cs="宋体"/>
                <w:color w:val="auto"/>
                <w:sz w:val="24"/>
                <w:szCs w:val="24"/>
                <w:highlight w:val="none"/>
              </w:rPr>
              <w:t>，邮件命名方式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+单位名称+联系人+联系电话”。</w:t>
            </w:r>
          </w:p>
          <w:p w14:paraId="11F96347">
            <w:pPr>
              <w:pStyle w:val="36"/>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2.报名单位名称必须与竞选单位名称相同，只有按上述规定报名后，才具备竞选资格。</w:t>
            </w:r>
          </w:p>
          <w:p w14:paraId="6D0AEFC6">
            <w:pPr>
              <w:pStyle w:val="36"/>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3.竞选单位应仔细阅读和检查竞谈文件的全部内容。如发现缺页或附件不全，应及时提出，以便补齐。如有疑问，请在202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日1</w:t>
            </w:r>
            <w:r>
              <w:rPr>
                <w:rFonts w:hint="eastAsia" w:asci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：00前向招标人提出，超过此时间规定，采购人不再受理竞选疑问。</w:t>
            </w:r>
          </w:p>
          <w:p w14:paraId="1BF62AF7">
            <w:pPr>
              <w:pStyle w:val="36"/>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报名联系人：</w:t>
            </w:r>
            <w:r>
              <w:rPr>
                <w:rFonts w:hint="eastAsia" w:ascii="宋体" w:eastAsia="宋体" w:cs="宋体"/>
                <w:color w:val="auto"/>
                <w:sz w:val="24"/>
                <w:szCs w:val="24"/>
                <w:highlight w:val="none"/>
                <w:lang w:val="en-US" w:eastAsia="zh-CN"/>
              </w:rPr>
              <w:t>佘</w:t>
            </w:r>
            <w:r>
              <w:rPr>
                <w:rFonts w:hint="eastAsia" w:ascii="宋体" w:hAnsi="宋体" w:eastAsia="宋体" w:cs="宋体"/>
                <w:color w:val="auto"/>
                <w:sz w:val="24"/>
                <w:szCs w:val="24"/>
                <w:highlight w:val="none"/>
                <w:lang w:val="en-US" w:eastAsia="zh-CN"/>
              </w:rPr>
              <w:t xml:space="preserve">老师   </w:t>
            </w:r>
            <w:r>
              <w:rPr>
                <w:rFonts w:hint="eastAsia" w:ascii="宋体" w:hAnsi="宋体" w:eastAsia="宋体" w:cs="宋体"/>
                <w:color w:val="auto"/>
                <w:sz w:val="24"/>
                <w:szCs w:val="24"/>
                <w:highlight w:val="none"/>
              </w:rPr>
              <w:t xml:space="preserve">     联系电话：</w:t>
            </w:r>
            <w:r>
              <w:rPr>
                <w:rFonts w:hint="eastAsia" w:ascii="宋体" w:eastAsia="宋体" w:cs="宋体"/>
                <w:color w:val="auto"/>
                <w:sz w:val="24"/>
                <w:szCs w:val="24"/>
                <w:highlight w:val="none"/>
                <w:lang w:val="en-US" w:eastAsia="zh-CN"/>
              </w:rPr>
              <w:t>023-63693159</w:t>
            </w:r>
            <w:r>
              <w:rPr>
                <w:rFonts w:hint="eastAsia" w:ascii="宋体" w:hAnsi="宋体" w:eastAsia="宋体" w:cs="宋体"/>
                <w:color w:val="auto"/>
                <w:sz w:val="24"/>
                <w:szCs w:val="24"/>
                <w:highlight w:val="none"/>
                <w:lang w:val="en-US" w:eastAsia="zh-CN"/>
              </w:rPr>
              <w:t xml:space="preserve">   </w:t>
            </w:r>
          </w:p>
          <w:p w14:paraId="7F78DD1D">
            <w:pPr>
              <w:pStyle w:val="36"/>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现场踏勘联系人：张老师    联系电话：15023109051 </w:t>
            </w:r>
          </w:p>
          <w:p w14:paraId="3E2C13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特别说明：</w:t>
            </w:r>
          </w:p>
          <w:p w14:paraId="5D76A7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1.请在工作日8：00-11:30,14:00-17：00联系。</w:t>
            </w:r>
          </w:p>
          <w:p w14:paraId="494598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000000" w:themeColor="text1"/>
                <w:szCs w:val="24"/>
                <w:highlight w:val="none"/>
                <w14:textFill>
                  <w14:solidFill>
                    <w14:schemeClr w14:val="tx1"/>
                  </w14:solidFill>
                </w14:textFill>
              </w:rPr>
            </w:pPr>
            <w:r>
              <w:rPr>
                <w:rFonts w:hint="eastAsia" w:ascii="宋体" w:hAnsi="宋体" w:eastAsia="宋体" w:cs="宋体"/>
                <w:sz w:val="24"/>
                <w:szCs w:val="24"/>
              </w:rPr>
              <w:t>2.请各单位仔细阅读采购文件及其他附件内容，确定要参加后再发送邮件报名。若已邮件报名，竞选当天无故未准时到场的，将按照《重庆医科大学附属第二医院供应商诚信管理规定》进行处理。</w:t>
            </w:r>
          </w:p>
        </w:tc>
      </w:tr>
      <w:tr w14:paraId="3623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15555B8">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5</w:t>
            </w:r>
          </w:p>
        </w:tc>
        <w:tc>
          <w:tcPr>
            <w:tcW w:w="1845" w:type="dxa"/>
            <w:gridSpan w:val="2"/>
            <w:vAlign w:val="center"/>
          </w:tcPr>
          <w:p w14:paraId="4A932F93">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竞选时间及地点</w:t>
            </w:r>
          </w:p>
        </w:tc>
        <w:tc>
          <w:tcPr>
            <w:tcW w:w="6948" w:type="dxa"/>
            <w:vAlign w:val="center"/>
          </w:tcPr>
          <w:p w14:paraId="5B8111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1.竞选时间：2025年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w:t>
            </w:r>
            <w:r>
              <w:rPr>
                <w:rFonts w:hint="eastAsia" w:ascii="宋体" w:hAnsi="宋体" w:eastAsia="宋体" w:cs="宋体"/>
                <w:sz w:val="24"/>
                <w:szCs w:val="24"/>
                <w:lang w:val="en-US" w:eastAsia="zh-CN"/>
              </w:rPr>
              <w:t>10:00</w:t>
            </w:r>
          </w:p>
          <w:p w14:paraId="010C02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2.竞选地点：渝中区戴家巷2号都市方舟5楼采购管理处</w:t>
            </w:r>
          </w:p>
          <w:p w14:paraId="580078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szCs w:val="24"/>
                <w:highlight w:val="none"/>
                <w:lang w:val="en-US"/>
                <w14:textFill>
                  <w14:solidFill>
                    <w14:schemeClr w14:val="tx1"/>
                  </w14:solidFill>
                </w14:textFill>
              </w:rPr>
            </w:pPr>
            <w:r>
              <w:rPr>
                <w:rFonts w:hint="eastAsia" w:ascii="宋体" w:hAnsi="宋体" w:eastAsia="宋体" w:cs="宋体"/>
                <w:sz w:val="24"/>
                <w:szCs w:val="24"/>
              </w:rPr>
              <w:t>3.竞选文件递交：竞选截止时间前半小时内（</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30-10:00</w:t>
            </w:r>
            <w:r>
              <w:rPr>
                <w:rFonts w:hint="eastAsia" w:ascii="宋体" w:hAnsi="宋体" w:eastAsia="宋体" w:cs="宋体"/>
                <w:sz w:val="24"/>
                <w:szCs w:val="24"/>
              </w:rPr>
              <w:t>）递交，逾期送达或未送达竞选文件指定地点，或未按本采购文件要求密封的，采购人不予受理。</w:t>
            </w:r>
            <w:bookmarkStart w:id="27" w:name="_GoBack"/>
            <w:bookmarkEnd w:id="27"/>
          </w:p>
        </w:tc>
      </w:tr>
    </w:tbl>
    <w:p w14:paraId="0FE774BC">
      <w:pPr>
        <w:spacing w:line="276" w:lineRule="auto"/>
        <w:rPr>
          <w:rFonts w:ascii="黑体" w:eastAsia="黑体"/>
          <w:color w:val="000000" w:themeColor="text1"/>
          <w:sz w:val="44"/>
          <w:szCs w:val="44"/>
          <w:highlight w:val="none"/>
          <w14:textFill>
            <w14:solidFill>
              <w14:schemeClr w14:val="tx1"/>
            </w14:solidFill>
          </w14:textFill>
        </w:rPr>
      </w:pPr>
    </w:p>
    <w:p w14:paraId="6F87CBA0">
      <w:pPr>
        <w:spacing w:line="276" w:lineRule="auto"/>
        <w:rPr>
          <w:rFonts w:ascii="黑体" w:eastAsia="黑体"/>
          <w:color w:val="000000" w:themeColor="text1"/>
          <w:sz w:val="44"/>
          <w:szCs w:val="44"/>
          <w:highlight w:val="none"/>
          <w14:textFill>
            <w14:solidFill>
              <w14:schemeClr w14:val="tx1"/>
            </w14:solidFill>
          </w14:textFill>
        </w:rPr>
      </w:pPr>
    </w:p>
    <w:p w14:paraId="403B94B0">
      <w:pPr>
        <w:spacing w:line="276" w:lineRule="auto"/>
        <w:rPr>
          <w:rFonts w:ascii="黑体" w:eastAsia="黑体"/>
          <w:color w:val="000000" w:themeColor="text1"/>
          <w:sz w:val="44"/>
          <w:szCs w:val="44"/>
          <w:highlight w:val="none"/>
          <w14:textFill>
            <w14:solidFill>
              <w14:schemeClr w14:val="tx1"/>
            </w14:solidFill>
          </w14:textFill>
        </w:rPr>
      </w:pPr>
    </w:p>
    <w:p w14:paraId="73F5E023">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18D4CC6">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020610C">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128C6E8">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5E1235D">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3718D1A">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7F98977">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4464084">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389B0A6">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EC809D0">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CE0F0E1">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686FF1C">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5804448">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3B63030">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052F48B">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附件1：</w:t>
      </w:r>
    </w:p>
    <w:p w14:paraId="20B50A8C">
      <w:pPr>
        <w:pStyle w:val="6"/>
        <w:numPr>
          <w:ilvl w:val="2"/>
          <w:numId w:val="0"/>
        </w:numPr>
        <w:bidi w:val="0"/>
        <w:rPr>
          <w:rFonts w:hint="eastAsia" w:ascii="宋体" w:hAnsi="宋体" w:eastAsia="宋体" w:cs="宋体"/>
          <w:color w:val="000000" w:themeColor="text1"/>
          <w:highlight w:val="none"/>
          <w:lang w:val="en-US" w:eastAsia="zh-CN"/>
          <w14:textFill>
            <w14:solidFill>
              <w14:schemeClr w14:val="tx1"/>
            </w14:solidFill>
          </w14:textFill>
        </w:rPr>
      </w:pPr>
      <w:bookmarkStart w:id="0" w:name="_Toc4600568"/>
      <w:bookmarkStart w:id="1" w:name="_Toc13667"/>
      <w:r>
        <w:rPr>
          <w:rFonts w:hint="eastAsia" w:ascii="宋体" w:hAnsi="宋体" w:eastAsia="宋体" w:cs="宋体"/>
          <w:color w:val="000000" w:themeColor="text1"/>
          <w:highlight w:val="none"/>
          <w:lang w:val="en-US" w:eastAsia="zh-CN"/>
          <w14:textFill>
            <w14:solidFill>
              <w14:schemeClr w14:val="tx1"/>
            </w14:solidFill>
          </w14:textFill>
        </w:rPr>
        <w:t>衰变池配置清单</w:t>
      </w:r>
      <w:bookmarkEnd w:id="0"/>
      <w:bookmarkEnd w:id="1"/>
    </w:p>
    <w:p w14:paraId="48BC44E4">
      <w:pPr>
        <w:rPr>
          <w:rFonts w:hint="default" w:ascii="宋体" w:hAnsi="宋体" w:eastAsia="宋体" w:cs="宋体"/>
          <w:b/>
          <w:bCs/>
          <w:color w:val="000000" w:themeColor="text1"/>
          <w:kern w:val="2"/>
          <w:sz w:val="24"/>
          <w:szCs w:val="32"/>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32"/>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2"/>
          <w:sz w:val="24"/>
          <w:szCs w:val="32"/>
          <w:highlight w:val="none"/>
          <w:lang w:val="en-US" w:eastAsia="zh-CN" w:bidi="ar-SA"/>
          <w14:textFill>
            <w14:solidFill>
              <w14:schemeClr w14:val="tx1"/>
            </w14:solidFill>
          </w14:textFill>
        </w:rPr>
        <w:t>渝中院区</w:t>
      </w:r>
    </w:p>
    <w:tbl>
      <w:tblPr>
        <w:tblStyle w:val="23"/>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190"/>
        <w:gridCol w:w="1080"/>
        <w:gridCol w:w="1080"/>
        <w:gridCol w:w="2175"/>
      </w:tblGrid>
      <w:tr w14:paraId="5F0F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19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92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A1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设施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设备参数详情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32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C3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28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54C3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D6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4B2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微生物降解槽体</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D8A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材质：不锈钢箱体。110法兰，配备两台绞刀式排污泵（一备一用）。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2F1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424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080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可自动搅碎杂质，杜绝管路堵塞。配备自动冲洗结构，可冲洗搅碎大部分难溶于水的物质，使系统溶液正常排除而不会造成堵塞。</w:t>
            </w:r>
          </w:p>
        </w:tc>
      </w:tr>
      <w:tr w14:paraId="3F08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67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252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BE3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E1C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C3E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382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7DA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42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21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放射性废液衰变槽体</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D7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厂定制产品，不锈钢板体；不锈钢槽体面板一体成型，具有极强的韧性及耐腐蚀度，可保证其30年以上的使用年限。槽体包含不锈钢连接法兰,底部100mm型平整槽钢。每个槽体均配简洁的设备部件连接机构，与系统完全匹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1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1F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68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经过降解的待处理废液贮存入此箱体，三个箱体所贮存废液循环一次排放的时间≥预处理核素半衰期的10倍时间，以达到国家解控排放标准。</w:t>
            </w:r>
          </w:p>
        </w:tc>
      </w:tr>
      <w:tr w14:paraId="4FB0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6B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DA4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电动阀执行器</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49B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阀体为UPVC材质，电动执行器为带反馈信号的专用大扭力执行器。电压：220v频率：50hz功率：50w扭力：50N*M信号：4-20ma</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EA7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yellow"/>
                <w:u w:val="none"/>
                <w:lang w:val="en-US" w:eastAsia="zh-CN"/>
                <w14:textFill>
                  <w14:solidFill>
                    <w14:schemeClr w14:val="tx1"/>
                  </w14:solidFill>
                </w14:textFill>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741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032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实现废液的分级贮存、分级排放；即控制此阀体打开与关闭动作来实现某一放射性衰变槽体的入液及出液功能。并且同一时间有且只能有一个入液阀或出液发打开。其他阀体为关闭状态。</w:t>
            </w:r>
          </w:p>
        </w:tc>
      </w:tr>
      <w:tr w14:paraId="21DC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98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ED5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47EF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B1E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CC8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B76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A74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3A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021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无堵塞排污泵</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EF3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大功率380v电机及无堵塞增压泵头。</w:t>
            </w:r>
          </w:p>
          <w:p w14:paraId="0E29B2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电压：三项380功率：2.2kw连接：dn50法兰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18E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238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3E8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泵集自吸和无堵塞排污于一身，既可象一般清水自吸泵那样不需安装底阀，不需灌引水、又可抽吸含有大颗粒固体块、长纤维的污物、沉淀物废矿杂质、II便及一切工程污水物，完全减轻工人的劳动强度，而且使用、移动、安装方便、极少维修、性能稳定。</w:t>
            </w:r>
          </w:p>
        </w:tc>
      </w:tr>
      <w:tr w14:paraId="39DE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A3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6F3A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3DF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E29E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7785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08D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B39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EF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93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废液取样测量系统</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53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高灵敏晶体探头及废液取样机构组成该系统。（专为本系统开发，完全兼容系统）电压：dc12v信号：负脉冲探测范围100000cps排放空闲阶段，本机构可作为区域辐射监测而存在，避免维修或操作人员受不必要照射。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97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CA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36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当决定某一槽体轮到排放，首先会自动执行取样动作，待检验合格后方可启动排污泵。</w:t>
            </w:r>
          </w:p>
        </w:tc>
      </w:tr>
      <w:tr w14:paraId="1E0B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8D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6F55">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放射性废液控制柜</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687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由核心控制器、中间继电器接触器、热过载继电器等融合为一套放射性废液控制柜。电压：三项五线380 v功率：2.5kw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F5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F6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E31C">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控制及采集执行器以及其余部件的动作及状态，通过专业的控制软件把所有的状态反馈与人机界面之上，方便安全可靠。</w:t>
            </w:r>
          </w:p>
        </w:tc>
      </w:tr>
      <w:tr w14:paraId="60EF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02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E5E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管路连接</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024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UPVC材质，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DN100,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厚壁、耐压耐腐蚀，此环境下可连续应用≥30年。包含所有连接件及耗材工具、布线等。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B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A8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2EC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连接各个箱体及槽体，以及其他执行部分之间的液体流路。</w:t>
            </w:r>
          </w:p>
        </w:tc>
      </w:tr>
      <w:tr w14:paraId="67C7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F7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644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控制电路及线路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A8F8">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8F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A8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2656">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连接控制柜与执行器线路、连接监测系统与控制柜之间线路等</w:t>
            </w:r>
          </w:p>
        </w:tc>
      </w:tr>
      <w:tr w14:paraId="29DB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F7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D6E1">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温湿度传感器</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0CA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温湿度探头、温湿度处理器，输出执行器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1B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93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7415">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实时反应贮存房间内环境温湿度；当温度过低会触发报警，湿度过高同样会触发报警</w:t>
            </w:r>
          </w:p>
        </w:tc>
      </w:tr>
      <w:tr w14:paraId="40B8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86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39A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专业化控制软件</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15F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与专用控制柜配套使用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1C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87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78FE">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软件专为废液处理系统兼容匹配，与其他部件配合，可真正实现无人化值守、间接明了的操控界面，可反应当前状态、排放记录、液位报警、故障点报警等</w:t>
            </w:r>
          </w:p>
        </w:tc>
      </w:tr>
      <w:tr w14:paraId="0DAC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23F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0477">
            <w:pPr>
              <w:keepNext w:val="0"/>
              <w:keepLines w:val="0"/>
              <w:widowControl/>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电磁流量计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AB6D">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型号：BLD·DN65;口径：DN65；电压：220V；电极：316L；流量范围：2.5-35m³/h；仪表精度：0.5级；仪表系数：1.5234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D6B4">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D746">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1369">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监控排放数据</w:t>
            </w:r>
          </w:p>
        </w:tc>
      </w:tr>
      <w:tr w14:paraId="1CB6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4B3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A7A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衰变池Tc99m</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180B">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材质：不锈钢箱体。</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（一备一用）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533C">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5C16">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84C2">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衰变池Tc99m污水排水使用，衰变池为一用一备，放射性污水进入衰变池前首先进入预处理槽，污水经粉碎泵搅碎后经提升进入衰变池</w:t>
            </w:r>
          </w:p>
        </w:tc>
      </w:tr>
      <w:tr w14:paraId="393C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B434">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018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废液管理系统</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AF03">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材质：不锈钢箱体。两个不锈钢槽体组成，单个槽体有效容积≥4.5m³；槽体底侧板采用厚度＞3mm厚不锈钢，顶侧板采用厚度＞1.5mm厚不锈钢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9FC6">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10F9">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74F3">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电脑控制</w:t>
            </w:r>
          </w:p>
        </w:tc>
      </w:tr>
      <w:tr w14:paraId="081D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3345">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8155">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处理工艺</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92F1">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预处理池1立方米1个，衰变池4.5立方米有2个</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衰变池每个使用池可接收10个半衰期(2.5天)的水量(约4.5m3)，两池错开时段进水，每池停留时间都可以达到10个半衰期，然后再分别排放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8E4F">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C63E">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725B">
            <w:pPr>
              <w:keepNext w:val="0"/>
              <w:keepLines w:val="0"/>
              <w:widowControl/>
              <w:suppressLineNumbers w:val="0"/>
              <w:jc w:val="both"/>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槽体内限位器、传感器、过滤网能够自动冲洗，无需人工清理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设有手动取样阀。</w:t>
            </w:r>
          </w:p>
        </w:tc>
      </w:tr>
    </w:tbl>
    <w:p w14:paraId="35E0BB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p>
    <w:p w14:paraId="6C18F39E">
      <w:pPr>
        <w:pStyle w:val="12"/>
        <w:rPr>
          <w:rFonts w:hint="eastAsia" w:ascii="宋体" w:hAnsi="宋体" w:eastAsia="宋体" w:cs="宋体"/>
          <w:color w:val="000000" w:themeColor="text1"/>
          <w:highlight w:val="none"/>
          <w14:textFill>
            <w14:solidFill>
              <w14:schemeClr w14:val="tx1"/>
            </w14:solidFill>
          </w14:textFill>
        </w:rPr>
      </w:pPr>
    </w:p>
    <w:p w14:paraId="15D4B0B6">
      <w:pPr>
        <w:pStyle w:val="12"/>
        <w:rPr>
          <w:rFonts w:hint="eastAsia" w:ascii="宋体" w:hAnsi="宋体" w:eastAsia="宋体" w:cs="宋体"/>
          <w:color w:val="000000" w:themeColor="text1"/>
          <w:highlight w:val="none"/>
          <w14:textFill>
            <w14:solidFill>
              <w14:schemeClr w14:val="tx1"/>
            </w14:solidFill>
          </w14:textFill>
        </w:rPr>
      </w:pPr>
    </w:p>
    <w:p w14:paraId="79B07767">
      <w:pPr>
        <w:pStyle w:val="12"/>
        <w:rPr>
          <w:rFonts w:hint="eastAsia" w:ascii="宋体" w:hAnsi="宋体" w:eastAsia="宋体" w:cs="宋体"/>
          <w:color w:val="000000" w:themeColor="text1"/>
          <w:highlight w:val="none"/>
          <w14:textFill>
            <w14:solidFill>
              <w14:schemeClr w14:val="tx1"/>
            </w14:solidFill>
          </w14:textFill>
        </w:rPr>
      </w:pPr>
    </w:p>
    <w:p w14:paraId="1E874A7C">
      <w:pPr>
        <w:pStyle w:val="12"/>
        <w:rPr>
          <w:rFonts w:hint="eastAsia" w:ascii="宋体" w:hAnsi="宋体" w:eastAsia="宋体" w:cs="宋体"/>
          <w:color w:val="000000" w:themeColor="text1"/>
          <w:highlight w:val="none"/>
          <w14:textFill>
            <w14:solidFill>
              <w14:schemeClr w14:val="tx1"/>
            </w14:solidFill>
          </w14:textFill>
        </w:rPr>
      </w:pPr>
    </w:p>
    <w:p w14:paraId="25C48B8A">
      <w:pPr>
        <w:pStyle w:val="12"/>
        <w:rPr>
          <w:rFonts w:hint="eastAsia" w:ascii="宋体" w:hAnsi="宋体" w:eastAsia="宋体" w:cs="宋体"/>
          <w:color w:val="000000" w:themeColor="text1"/>
          <w:highlight w:val="none"/>
          <w14:textFill>
            <w14:solidFill>
              <w14:schemeClr w14:val="tx1"/>
            </w14:solidFill>
          </w14:textFill>
        </w:rPr>
      </w:pPr>
    </w:p>
    <w:p w14:paraId="4182240A">
      <w:pPr>
        <w:pStyle w:val="12"/>
        <w:rPr>
          <w:rFonts w:hint="eastAsia" w:ascii="宋体" w:hAnsi="宋体" w:eastAsia="宋体" w:cs="宋体"/>
          <w:color w:val="000000" w:themeColor="text1"/>
          <w:highlight w:val="none"/>
          <w14:textFill>
            <w14:solidFill>
              <w14:schemeClr w14:val="tx1"/>
            </w14:solidFill>
          </w14:textFill>
        </w:rPr>
      </w:pPr>
    </w:p>
    <w:p w14:paraId="3FAC086E">
      <w:pPr>
        <w:pStyle w:val="12"/>
        <w:rPr>
          <w:rFonts w:hint="eastAsia" w:ascii="宋体" w:hAnsi="宋体" w:eastAsia="宋体" w:cs="宋体"/>
          <w:color w:val="000000" w:themeColor="text1"/>
          <w:highlight w:val="none"/>
          <w14:textFill>
            <w14:solidFill>
              <w14:schemeClr w14:val="tx1"/>
            </w14:solidFill>
          </w14:textFill>
        </w:rPr>
      </w:pPr>
    </w:p>
    <w:p w14:paraId="7CA9AAA6">
      <w:pPr>
        <w:pStyle w:val="12"/>
        <w:rPr>
          <w:rFonts w:hint="eastAsia" w:ascii="宋体" w:hAnsi="宋体" w:eastAsia="宋体" w:cs="宋体"/>
          <w:color w:val="000000" w:themeColor="text1"/>
          <w:highlight w:val="none"/>
          <w14:textFill>
            <w14:solidFill>
              <w14:schemeClr w14:val="tx1"/>
            </w14:solidFill>
          </w14:textFill>
        </w:rPr>
      </w:pPr>
    </w:p>
    <w:p w14:paraId="78A501A7">
      <w:pPr>
        <w:pStyle w:val="12"/>
        <w:rPr>
          <w:rFonts w:hint="eastAsia" w:ascii="宋体" w:hAnsi="宋体" w:eastAsia="宋体" w:cs="宋体"/>
          <w:color w:val="000000" w:themeColor="text1"/>
          <w:highlight w:val="none"/>
          <w14:textFill>
            <w14:solidFill>
              <w14:schemeClr w14:val="tx1"/>
            </w14:solidFill>
          </w14:textFill>
        </w:rPr>
      </w:pPr>
    </w:p>
    <w:p w14:paraId="25ACA8BE">
      <w:pPr>
        <w:pStyle w:val="12"/>
        <w:rPr>
          <w:rFonts w:hint="eastAsia" w:ascii="宋体" w:hAnsi="宋体" w:eastAsia="宋体" w:cs="宋体"/>
          <w:color w:val="000000" w:themeColor="text1"/>
          <w:highlight w:val="none"/>
          <w14:textFill>
            <w14:solidFill>
              <w14:schemeClr w14:val="tx1"/>
            </w14:solidFill>
          </w14:textFill>
        </w:rPr>
      </w:pPr>
    </w:p>
    <w:p w14:paraId="4A4FE05B">
      <w:pPr>
        <w:pStyle w:val="12"/>
        <w:rPr>
          <w:rFonts w:hint="eastAsia" w:ascii="宋体" w:hAnsi="宋体" w:eastAsia="宋体" w:cs="宋体"/>
          <w:color w:val="000000" w:themeColor="text1"/>
          <w:highlight w:val="none"/>
          <w14:textFill>
            <w14:solidFill>
              <w14:schemeClr w14:val="tx1"/>
            </w14:solidFill>
          </w14:textFill>
        </w:rPr>
      </w:pPr>
    </w:p>
    <w:p w14:paraId="1167A6EE">
      <w:pPr>
        <w:pStyle w:val="12"/>
        <w:rPr>
          <w:rFonts w:hint="eastAsia" w:ascii="宋体" w:hAnsi="宋体" w:eastAsia="宋体" w:cs="宋体"/>
          <w:color w:val="000000" w:themeColor="text1"/>
          <w:highlight w:val="none"/>
          <w14:textFill>
            <w14:solidFill>
              <w14:schemeClr w14:val="tx1"/>
            </w14:solidFill>
          </w14:textFill>
        </w:rPr>
      </w:pPr>
    </w:p>
    <w:p w14:paraId="0D0CB076">
      <w:pPr>
        <w:pStyle w:val="12"/>
        <w:rPr>
          <w:rFonts w:hint="eastAsia" w:ascii="宋体" w:hAnsi="宋体" w:eastAsia="宋体" w:cs="宋体"/>
          <w:color w:val="000000" w:themeColor="text1"/>
          <w:highlight w:val="none"/>
          <w14:textFill>
            <w14:solidFill>
              <w14:schemeClr w14:val="tx1"/>
            </w14:solidFill>
          </w14:textFill>
        </w:rPr>
      </w:pPr>
    </w:p>
    <w:p w14:paraId="1749C6C5">
      <w:pPr>
        <w:pStyle w:val="12"/>
        <w:rPr>
          <w:rFonts w:hint="eastAsia" w:ascii="宋体" w:hAnsi="宋体" w:eastAsia="宋体" w:cs="宋体"/>
          <w:color w:val="000000" w:themeColor="text1"/>
          <w:highlight w:val="none"/>
          <w14:textFill>
            <w14:solidFill>
              <w14:schemeClr w14:val="tx1"/>
            </w14:solidFill>
          </w14:textFill>
        </w:rPr>
      </w:pPr>
    </w:p>
    <w:p w14:paraId="71D0E47A">
      <w:pPr>
        <w:rPr>
          <w:rFonts w:hint="default" w:ascii="宋体" w:hAnsi="宋体" w:eastAsia="宋体" w:cs="宋体"/>
          <w:b/>
          <w:bCs/>
          <w:color w:val="000000" w:themeColor="text1"/>
          <w:kern w:val="2"/>
          <w:sz w:val="24"/>
          <w:szCs w:val="32"/>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32"/>
          <w:highlight w:val="none"/>
          <w:lang w:val="en-US" w:eastAsia="zh-CN" w:bidi="ar-SA"/>
          <w14:textFill>
            <w14:solidFill>
              <w14:schemeClr w14:val="tx1"/>
            </w14:solidFill>
          </w14:textFill>
        </w:rPr>
        <w:t>江南</w:t>
      </w:r>
      <w:r>
        <w:rPr>
          <w:rFonts w:hint="eastAsia" w:ascii="宋体" w:hAnsi="宋体" w:eastAsia="宋体" w:cs="宋体"/>
          <w:b/>
          <w:bCs/>
          <w:color w:val="000000" w:themeColor="text1"/>
          <w:kern w:val="2"/>
          <w:sz w:val="24"/>
          <w:szCs w:val="32"/>
          <w:highlight w:val="none"/>
          <w:lang w:val="en-US" w:eastAsia="zh-CN" w:bidi="ar-SA"/>
          <w14:textFill>
            <w14:solidFill>
              <w14:schemeClr w14:val="tx1"/>
            </w14:solidFill>
          </w14:textFill>
        </w:rPr>
        <w:t>院区</w:t>
      </w:r>
    </w:p>
    <w:tbl>
      <w:tblPr>
        <w:tblStyle w:val="23"/>
        <w:tblW w:w="887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4"/>
        <w:gridCol w:w="1382"/>
        <w:gridCol w:w="2000"/>
        <w:gridCol w:w="1034"/>
        <w:gridCol w:w="760"/>
        <w:gridCol w:w="2948"/>
      </w:tblGrid>
      <w:tr w14:paraId="7967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6F61695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序号</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1A2BA5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设备名称</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B6713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设施</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设备参数</w:t>
            </w:r>
            <w:r>
              <w:rPr>
                <w:rFonts w:hint="eastAsia" w:ascii="宋体" w:hAnsi="宋体" w:cs="宋体"/>
                <w:color w:val="000000" w:themeColor="text1"/>
                <w:kern w:val="0"/>
                <w:sz w:val="21"/>
                <w:szCs w:val="21"/>
                <w:highlight w:val="none"/>
                <w:lang w:val="en-US" w:eastAsia="zh-CN"/>
                <w14:textFill>
                  <w14:solidFill>
                    <w14:schemeClr w14:val="tx1"/>
                  </w14:solidFill>
                </w14:textFill>
              </w:rPr>
              <w:t>详情</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110B43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数量</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A8F11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单位</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6BA195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备   注</w:t>
            </w:r>
          </w:p>
        </w:tc>
      </w:tr>
      <w:tr w14:paraId="7CB4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56D8402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4E9CD3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E7165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Q=5m3/h H=15m P=1.1K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6AE482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4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937E4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2C27A92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水位及时间控制，见PLC控制说明</w:t>
            </w:r>
          </w:p>
          <w:p w14:paraId="110ABFC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一用一备，安装于负一层核污水提升泵井(位置见负一层排水图)</w:t>
            </w:r>
          </w:p>
        </w:tc>
      </w:tr>
      <w:tr w14:paraId="4540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75E4808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2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2C0587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469ECC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Q=7m3/h H=10m P=0.75K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A48610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72A17C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5F6FB1E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水位及时间控制，见PLC控制说明</w:t>
            </w:r>
          </w:p>
          <w:p w14:paraId="2C04C4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一用一备，安装于一层隔渣池</w:t>
            </w:r>
          </w:p>
        </w:tc>
      </w:tr>
      <w:tr w14:paraId="7D79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26159A1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3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CAD17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20C7ED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Q=10m3/h H=15m P=1.5K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A3BD9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EF50B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78F8830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每池台，水位及时间控制，见PLC控制说明</w:t>
            </w:r>
          </w:p>
          <w:p w14:paraId="4942941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一用一备，安装于各B变池</w:t>
            </w:r>
          </w:p>
        </w:tc>
      </w:tr>
      <w:tr w14:paraId="50C7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46EA0C9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4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2CCD20D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68A3CC6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5Q=10m3/h H=15m P=1.5K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2E09B5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BDF68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5DB58F2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每池2台，水位及时间控制，见PLC控制说明</w:t>
            </w:r>
          </w:p>
          <w:p w14:paraId="69890A3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一用一备，安装于各表变池</w:t>
            </w:r>
          </w:p>
        </w:tc>
      </w:tr>
      <w:tr w14:paraId="67EE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32053B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5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0534E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液位探测传感器</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C64D8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不锈钢材质</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111756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10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7D17F6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17D609F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有效测量范围H-4.5m~H-0.0m</w:t>
            </w:r>
          </w:p>
          <w:p w14:paraId="56269B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数据远传到值班室，可以对电磁阀水泵进行控制</w:t>
            </w:r>
          </w:p>
        </w:tc>
      </w:tr>
      <w:tr w14:paraId="31C9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4621C5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6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F887C6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电动阀</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CEB38C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CC59FF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9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93113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028F73C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启闭由时间及水位控制(PLC编程)</w:t>
            </w:r>
          </w:p>
        </w:tc>
      </w:tr>
      <w:tr w14:paraId="49B2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1E290F4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7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8C4F8F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闸阀</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450F05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F1979B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42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B29934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4067B2A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软密封，有防腐层</w:t>
            </w:r>
          </w:p>
        </w:tc>
      </w:tr>
      <w:tr w14:paraId="6C17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2518C76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8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40260C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止回阀</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BC4054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DB7E45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20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EF0872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3CEFC8A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污水用低阻力球型止回阅</w:t>
            </w:r>
          </w:p>
        </w:tc>
      </w:tr>
      <w:tr w14:paraId="2BEF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69CFADD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9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1838C29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一体化污水</w:t>
            </w:r>
          </w:p>
          <w:p w14:paraId="2E45D1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提升设备</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18869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Q=200L/min H=10m</w:t>
            </w:r>
          </w:p>
          <w:p w14:paraId="006064F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P=700w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BD595B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B89BE7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3164585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成品设备，安装于等侯大厅备用间内</w:t>
            </w:r>
          </w:p>
        </w:tc>
      </w:tr>
      <w:tr w14:paraId="3A6E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57006A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10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F36A36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0B8BF6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1Q=5m3/h H=15m P=1.1K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8B5E91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2A18D0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0FE6272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一用一备，安装于负一层医疗污水提升泵井</w:t>
            </w:r>
          </w:p>
          <w:p w14:paraId="06199CF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(位置见负一层排水图)</w:t>
            </w:r>
          </w:p>
        </w:tc>
      </w:tr>
      <w:tr w14:paraId="0897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72570F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6449729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集水井</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E101FA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钢混结构</w:t>
            </w:r>
          </w:p>
          <w:p w14:paraId="16AF047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容积3m³</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C98729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81BFF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01D00E7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p>
        </w:tc>
      </w:tr>
      <w:tr w14:paraId="6649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156380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12</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9EBBA0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42C68D1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1Q=</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m3/h H=</w:t>
            </w:r>
            <w:r>
              <w:rPr>
                <w:rFonts w:hint="eastAsia" w:ascii="宋体" w:hAnsi="宋体" w:cs="宋体"/>
                <w:color w:val="000000" w:themeColor="text1"/>
                <w:kern w:val="0"/>
                <w:sz w:val="21"/>
                <w:szCs w:val="21"/>
                <w:highlight w:val="none"/>
                <w:lang w:val="en-US" w:eastAsia="zh-CN"/>
                <w14:textFill>
                  <w14:solidFill>
                    <w14:schemeClr w14:val="tx1"/>
                  </w14:solidFill>
                </w14:textFill>
              </w:rPr>
              <w:t>25</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m P=</w:t>
            </w:r>
            <w:r>
              <w:rPr>
                <w:rFonts w:hint="eastAsia" w:ascii="宋体" w:hAnsi="宋体" w:cs="宋体"/>
                <w:color w:val="000000" w:themeColor="text1"/>
                <w:kern w:val="0"/>
                <w:sz w:val="21"/>
                <w:szCs w:val="21"/>
                <w:highlight w:val="none"/>
                <w:lang w:val="en-US" w:eastAsia="zh-CN"/>
                <w14:textFill>
                  <w14:solidFill>
                    <w14:schemeClr w14:val="tx1"/>
                  </w14:solidFill>
                </w14:textFill>
              </w:rPr>
              <w:t>2.2</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0DE8AA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BA41A7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0E55E07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p>
        </w:tc>
      </w:tr>
      <w:tr w14:paraId="5AF8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26149AA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13</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722ED3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沉淀池A</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8F3A23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3m³</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02F108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998E3E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7609336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w:t>
            </w:r>
          </w:p>
        </w:tc>
      </w:tr>
      <w:tr w14:paraId="14A8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4578BB9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14</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0CEA57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i w:val="0"/>
                <w:iCs w:val="0"/>
                <w:color w:val="000000" w:themeColor="text1"/>
                <w:kern w:val="0"/>
                <w:sz w:val="21"/>
                <w:szCs w:val="21"/>
                <w:highlight w:val="yellow"/>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yellow"/>
                <w:u w:val="none"/>
                <w:lang w:val="en-US" w:eastAsia="zh-CN" w:bidi="ar"/>
                <w14:textFill>
                  <w14:solidFill>
                    <w14:schemeClr w14:val="tx1"/>
                  </w14:solidFill>
                </w14:textFill>
              </w:rPr>
              <w:t>沉淀池B</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45A9374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10m³</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C9CB48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12102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1E4ED4F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yellow"/>
                <w:lang w:val="en-US" w:eastAsia="zh-CN"/>
                <w14:textFill>
                  <w14:solidFill>
                    <w14:schemeClr w14:val="tx1"/>
                  </w14:solidFill>
                </w14:textFill>
              </w:rPr>
            </w:pPr>
          </w:p>
        </w:tc>
      </w:tr>
      <w:tr w14:paraId="3BB3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76D1B5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15</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AB4FFB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i w:val="0"/>
                <w:iCs w:val="0"/>
                <w:color w:val="000000" w:themeColor="text1"/>
                <w:kern w:val="0"/>
                <w:sz w:val="21"/>
                <w:szCs w:val="21"/>
                <w:highlight w:val="yellow"/>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A型衰变池</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E7C42C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F18/Tc99</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每个</w:t>
            </w:r>
            <w:r>
              <w:rPr>
                <w:rFonts w:hint="eastAsia" w:ascii="宋体" w:hAnsi="宋体" w:cs="宋体"/>
                <w:color w:val="000000" w:themeColor="text1"/>
                <w:kern w:val="0"/>
                <w:sz w:val="21"/>
                <w:szCs w:val="21"/>
                <w:highlight w:val="yellow"/>
                <w:lang w:val="en-US" w:eastAsia="zh-CN"/>
                <w14:textFill>
                  <w14:solidFill>
                    <w14:schemeClr w14:val="tx1"/>
                  </w14:solidFill>
                </w14:textFill>
              </w:rPr>
              <w:t>使用</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池可接收10个半衰期(3天)的水量(约5.25m3)</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1958CE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3</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FA3D8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1E82799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达到10个半衰期，再分别排放</w:t>
            </w:r>
          </w:p>
        </w:tc>
      </w:tr>
      <w:tr w14:paraId="1168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5F3D425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16</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161CE6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B型衰变池</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0985152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I131</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每个使用池可接收10个半衰期</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81天</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的总水量中的1/3，即27天的水量</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约65m3</w:t>
            </w:r>
            <w:r>
              <w:rPr>
                <w:rFonts w:hint="eastAsia" w:ascii="宋体" w:hAnsi="宋体" w:cs="宋体"/>
                <w:color w:val="000000" w:themeColor="text1"/>
                <w:kern w:val="0"/>
                <w:sz w:val="21"/>
                <w:szCs w:val="21"/>
                <w:highlight w:val="yellow"/>
                <w:lang w:val="en-US" w:eastAsia="zh-CN"/>
                <w14:textFill>
                  <w14:solidFill>
                    <w14:schemeClr w14:val="tx1"/>
                  </w14:solidFill>
                </w14:textFill>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05E8B6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5</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D41B9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yellow"/>
                <w:lang w:val="en-US" w:eastAsia="zh-CN"/>
                <w14:textFill>
                  <w14:solidFill>
                    <w14:schemeClr w14:val="tx1"/>
                  </w14:solidFill>
                </w14:textFill>
              </w:rPr>
            </w:pPr>
            <w:r>
              <w:rPr>
                <w:rFonts w:hint="eastAsia" w:ascii="宋体" w:hAnsi="宋体" w:cs="宋体"/>
                <w:color w:val="000000" w:themeColor="text1"/>
                <w:kern w:val="0"/>
                <w:sz w:val="21"/>
                <w:szCs w:val="21"/>
                <w:highlight w:val="yellow"/>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14:paraId="394E250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yellow"/>
                <w:lang w:val="en-US" w:eastAsia="zh-CN"/>
                <w14:textFill>
                  <w14:solidFill>
                    <w14:schemeClr w14:val="tx1"/>
                  </w14:solidFill>
                </w14:textFill>
              </w:rPr>
              <w:t>达到10个半衰期，再分别排放</w:t>
            </w:r>
          </w:p>
        </w:tc>
      </w:tr>
    </w:tbl>
    <w:p w14:paraId="7272DF66">
      <w:pPr>
        <w:pStyle w:val="2"/>
        <w:rPr>
          <w:rFonts w:ascii="黑体" w:eastAsia="黑体"/>
          <w:color w:val="000000" w:themeColor="text1"/>
          <w:sz w:val="44"/>
          <w:szCs w:val="44"/>
          <w:highlight w:val="none"/>
          <w14:textFill>
            <w14:solidFill>
              <w14:schemeClr w14:val="tx1"/>
            </w14:solidFill>
          </w14:textFill>
        </w:rPr>
      </w:pPr>
    </w:p>
    <w:p w14:paraId="3DF60378">
      <w:pPr>
        <w:rPr>
          <w:rFonts w:ascii="黑体" w:eastAsia="黑体"/>
          <w:color w:val="000000" w:themeColor="text1"/>
          <w:sz w:val="44"/>
          <w:szCs w:val="44"/>
          <w:highlight w:val="none"/>
          <w14:textFill>
            <w14:solidFill>
              <w14:schemeClr w14:val="tx1"/>
            </w14:solidFill>
          </w14:textFill>
        </w:rPr>
      </w:pPr>
    </w:p>
    <w:p w14:paraId="3348CE02">
      <w:pPr>
        <w:pStyle w:val="2"/>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附件2：</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30"/>
        <w:gridCol w:w="1965"/>
        <w:gridCol w:w="1975"/>
        <w:gridCol w:w="2989"/>
        <w:gridCol w:w="477"/>
        <w:gridCol w:w="657"/>
      </w:tblGrid>
      <w:tr w14:paraId="4982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7"/>
            <w:tcBorders>
              <w:tl2br w:val="nil"/>
              <w:tr2bl w:val="nil"/>
            </w:tcBorders>
            <w:noWrap/>
            <w:vAlign w:val="center"/>
          </w:tcPr>
          <w:p w14:paraId="54E27504">
            <w:pPr>
              <w:pStyle w:val="52"/>
              <w:bidi w:val="0"/>
              <w:jc w:val="center"/>
              <w:rPr>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重庆医科大学附属第二医院衰变池维保服务季度考核表</w:t>
            </w:r>
          </w:p>
        </w:tc>
      </w:tr>
      <w:tr w14:paraId="326E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7"/>
            <w:tcBorders>
              <w:tl2br w:val="nil"/>
              <w:tr2bl w:val="nil"/>
            </w:tcBorders>
            <w:noWrap w:val="0"/>
            <w:vAlign w:val="center"/>
          </w:tcPr>
          <w:p w14:paraId="2B5A066E">
            <w:pPr>
              <w:pStyle w:val="52"/>
              <w:bidi w:val="0"/>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被考核单位：                                   考核期间：                              得分：</w:t>
            </w:r>
          </w:p>
        </w:tc>
      </w:tr>
      <w:tr w14:paraId="33DA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7"/>
            <w:tcBorders>
              <w:tl2br w:val="nil"/>
              <w:tr2bl w:val="nil"/>
            </w:tcBorders>
            <w:noWrap w:val="0"/>
            <w:vAlign w:val="center"/>
          </w:tcPr>
          <w:p w14:paraId="67A06E1F">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考核科室：                                                 考核人员签字：</w:t>
            </w:r>
          </w:p>
        </w:tc>
      </w:tr>
      <w:tr w14:paraId="210C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tcBorders>
              <w:tl2br w:val="nil"/>
              <w:tr2bl w:val="nil"/>
            </w:tcBorders>
            <w:noWrap w:val="0"/>
            <w:vAlign w:val="center"/>
          </w:tcPr>
          <w:p w14:paraId="50C88F36">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序号</w:t>
            </w:r>
          </w:p>
        </w:tc>
        <w:tc>
          <w:tcPr>
            <w:tcW w:w="539" w:type="pct"/>
            <w:tcBorders>
              <w:tl2br w:val="nil"/>
              <w:tr2bl w:val="nil"/>
            </w:tcBorders>
            <w:noWrap w:val="0"/>
            <w:vAlign w:val="center"/>
          </w:tcPr>
          <w:p w14:paraId="72448CAB">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质量标准</w:t>
            </w:r>
          </w:p>
        </w:tc>
        <w:tc>
          <w:tcPr>
            <w:tcW w:w="2063" w:type="pct"/>
            <w:gridSpan w:val="2"/>
            <w:tcBorders>
              <w:tl2br w:val="nil"/>
              <w:tr2bl w:val="nil"/>
            </w:tcBorders>
            <w:noWrap w:val="0"/>
            <w:vAlign w:val="center"/>
          </w:tcPr>
          <w:p w14:paraId="64B201DB">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评价内容</w:t>
            </w:r>
          </w:p>
        </w:tc>
        <w:tc>
          <w:tcPr>
            <w:tcW w:w="1564" w:type="pct"/>
            <w:tcBorders>
              <w:tl2br w:val="nil"/>
              <w:tr2bl w:val="nil"/>
            </w:tcBorders>
            <w:noWrap w:val="0"/>
            <w:vAlign w:val="center"/>
          </w:tcPr>
          <w:p w14:paraId="6D78AEF6">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评分标准</w:t>
            </w:r>
          </w:p>
        </w:tc>
        <w:tc>
          <w:tcPr>
            <w:tcW w:w="250" w:type="pct"/>
            <w:tcBorders>
              <w:tl2br w:val="nil"/>
              <w:tr2bl w:val="nil"/>
            </w:tcBorders>
            <w:noWrap w:val="0"/>
            <w:vAlign w:val="center"/>
          </w:tcPr>
          <w:p w14:paraId="4473E993">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分值</w:t>
            </w:r>
          </w:p>
        </w:tc>
        <w:tc>
          <w:tcPr>
            <w:tcW w:w="344" w:type="pct"/>
            <w:tcBorders>
              <w:tl2br w:val="nil"/>
              <w:tr2bl w:val="nil"/>
            </w:tcBorders>
            <w:noWrap w:val="0"/>
            <w:vAlign w:val="center"/>
          </w:tcPr>
          <w:p w14:paraId="554DB4EE">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科室评分</w:t>
            </w:r>
          </w:p>
        </w:tc>
      </w:tr>
      <w:tr w14:paraId="0B70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238" w:type="pct"/>
            <w:vMerge w:val="restart"/>
            <w:tcBorders>
              <w:tl2br w:val="nil"/>
              <w:tr2bl w:val="nil"/>
            </w:tcBorders>
            <w:noWrap w:val="0"/>
            <w:vAlign w:val="center"/>
          </w:tcPr>
          <w:p w14:paraId="04B7A370">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539" w:type="pct"/>
            <w:vMerge w:val="restart"/>
            <w:tcBorders>
              <w:tl2br w:val="nil"/>
              <w:tr2bl w:val="nil"/>
            </w:tcBorders>
            <w:noWrap w:val="0"/>
            <w:vAlign w:val="center"/>
          </w:tcPr>
          <w:p w14:paraId="07502C7E">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基础</w:t>
            </w:r>
          </w:p>
          <w:p w14:paraId="761CBBDF">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管理</w:t>
            </w:r>
          </w:p>
          <w:p w14:paraId="7302C12B">
            <w:pPr>
              <w:pStyle w:val="52"/>
              <w:bidi w:val="0"/>
              <w:jc w:val="center"/>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r>
              <w:rPr>
                <w:rFonts w:hint="eastAsia"/>
                <w:color w:val="000000" w:themeColor="text1"/>
                <w:highlight w:val="none"/>
                <w:lang w:val="en-US" w:eastAsia="zh-CN"/>
                <w14:textFill>
                  <w14:solidFill>
                    <w14:schemeClr w14:val="tx1"/>
                  </w14:solidFill>
                </w14:textFill>
              </w:rPr>
              <w:t>）</w:t>
            </w:r>
          </w:p>
        </w:tc>
        <w:tc>
          <w:tcPr>
            <w:tcW w:w="2063" w:type="pct"/>
            <w:gridSpan w:val="2"/>
            <w:tcBorders>
              <w:tl2br w:val="nil"/>
              <w:tr2bl w:val="nil"/>
            </w:tcBorders>
            <w:noWrap w:val="0"/>
            <w:vAlign w:val="center"/>
          </w:tcPr>
          <w:p w14:paraId="719BF09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1.运营管理企业的管理人员和专业技术人员持证上岗。</w:t>
            </w:r>
          </w:p>
          <w:p w14:paraId="34DDB9C3">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维保人员负责衰变池每周/次巡检，完成各项巡检、完整填写监测记录</w:t>
            </w:r>
            <w:r>
              <w:rPr>
                <w:rFonts w:hint="default"/>
                <w:color w:val="000000" w:themeColor="text1"/>
                <w:highlight w:val="none"/>
                <w:lang w:val="en-US" w:eastAsia="zh-CN"/>
                <w14:textFill>
                  <w14:solidFill>
                    <w14:schemeClr w14:val="tx1"/>
                  </w14:solidFill>
                </w14:textFill>
              </w:rPr>
              <w:t>。</w:t>
            </w:r>
          </w:p>
          <w:p w14:paraId="6230DD1C">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巡检</w:t>
            </w:r>
            <w:r>
              <w:rPr>
                <w:rFonts w:hint="default"/>
                <w:color w:val="000000" w:themeColor="text1"/>
                <w:highlight w:val="none"/>
                <w:lang w:val="en-US" w:eastAsia="zh-CN"/>
                <w14:textFill>
                  <w14:solidFill>
                    <w14:schemeClr w14:val="tx1"/>
                  </w14:solidFill>
                </w14:textFill>
              </w:rPr>
              <w:t>员工着装规范，佩戴明显标志，工作规范、作风</w:t>
            </w:r>
          </w:p>
          <w:p w14:paraId="0127737B">
            <w:pPr>
              <w:pStyle w:val="52"/>
              <w:bidi w:val="0"/>
              <w:jc w:val="left"/>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严谨，员工按规定穿戴使用劳动保护用品。</w:t>
            </w:r>
          </w:p>
        </w:tc>
        <w:tc>
          <w:tcPr>
            <w:tcW w:w="1564" w:type="pct"/>
            <w:tcBorders>
              <w:tl2br w:val="nil"/>
              <w:tr2bl w:val="nil"/>
            </w:tcBorders>
            <w:noWrap w:val="0"/>
            <w:vAlign w:val="center"/>
          </w:tcPr>
          <w:p w14:paraId="603B0D51">
            <w:pPr>
              <w:pStyle w:val="52"/>
              <w:numPr>
                <w:ilvl w:val="0"/>
                <w:numId w:val="3"/>
              </w:numPr>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管理人员、专业技术人员每发现1人无上岗证书扣0.</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分；</w:t>
            </w:r>
          </w:p>
          <w:p w14:paraId="2D0BCD53">
            <w:pPr>
              <w:pStyle w:val="52"/>
              <w:numPr>
                <w:ilvl w:val="0"/>
                <w:numId w:val="3"/>
              </w:numPr>
              <w:bidi w:val="0"/>
              <w:ind w:left="0" w:leftChars="0" w:firstLine="0" w:firstLineChars="0"/>
              <w:jc w:val="both"/>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巡检频次</w:t>
            </w:r>
            <w:r>
              <w:rPr>
                <w:rFonts w:hint="default"/>
                <w:color w:val="000000" w:themeColor="text1"/>
                <w:highlight w:val="none"/>
                <w:lang w:val="en-US" w:eastAsia="zh-CN"/>
                <w14:textFill>
                  <w14:solidFill>
                    <w14:schemeClr w14:val="tx1"/>
                  </w14:solidFill>
                </w14:textFill>
              </w:rPr>
              <w:t>不符0.</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分；</w:t>
            </w:r>
          </w:p>
          <w:p w14:paraId="6BFADEAC">
            <w:pPr>
              <w:pStyle w:val="52"/>
              <w:numPr>
                <w:ilvl w:val="0"/>
                <w:numId w:val="0"/>
              </w:numPr>
              <w:bidi w:val="0"/>
              <w:ind w:leftChars="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发现人</w:t>
            </w:r>
            <w:r>
              <w:rPr>
                <w:rFonts w:hint="eastAsia"/>
                <w:color w:val="000000" w:themeColor="text1"/>
                <w:highlight w:val="none"/>
                <w:lang w:val="en-US" w:eastAsia="zh-CN"/>
                <w14:textFill>
                  <w14:solidFill>
                    <w14:schemeClr w14:val="tx1"/>
                  </w14:solidFill>
                </w14:textFill>
              </w:rPr>
              <w:t>未按期履行巡检任务</w:t>
            </w:r>
            <w:r>
              <w:rPr>
                <w:rFonts w:hint="default"/>
                <w:color w:val="000000" w:themeColor="text1"/>
                <w:highlight w:val="none"/>
                <w:lang w:val="en-US" w:eastAsia="zh-CN"/>
                <w14:textFill>
                  <w14:solidFill>
                    <w14:schemeClr w14:val="tx1"/>
                  </w14:solidFill>
                </w14:textFill>
              </w:rPr>
              <w:t>直接扣</w:t>
            </w:r>
            <w:r>
              <w:rPr>
                <w:rFonts w:hint="eastAsia"/>
                <w:color w:val="000000" w:themeColor="text1"/>
                <w:highlight w:val="none"/>
                <w:lang w:val="en-US" w:eastAsia="zh-CN"/>
                <w14:textFill>
                  <w14:solidFill>
                    <w14:schemeClr w14:val="tx1"/>
                  </w14:solidFill>
                </w14:textFill>
              </w:rPr>
              <w:t>6</w:t>
            </w:r>
            <w:r>
              <w:rPr>
                <w:rFonts w:hint="default"/>
                <w:color w:val="000000" w:themeColor="text1"/>
                <w:highlight w:val="none"/>
                <w:lang w:val="en-US" w:eastAsia="zh-CN"/>
                <w14:textFill>
                  <w14:solidFill>
                    <w14:schemeClr w14:val="tx1"/>
                  </w14:solidFill>
                </w14:textFill>
              </w:rPr>
              <w:t>分，服务期内累计发现3次以上(含3次）。采购人有权解除合同，且不退还履约保证金。</w:t>
            </w:r>
          </w:p>
        </w:tc>
        <w:tc>
          <w:tcPr>
            <w:tcW w:w="250" w:type="pct"/>
            <w:tcBorders>
              <w:tl2br w:val="nil"/>
              <w:tr2bl w:val="nil"/>
            </w:tcBorders>
            <w:noWrap w:val="0"/>
            <w:vAlign w:val="center"/>
          </w:tcPr>
          <w:p w14:paraId="437E626D">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44" w:type="pct"/>
            <w:tcBorders>
              <w:tl2br w:val="nil"/>
              <w:tr2bl w:val="nil"/>
            </w:tcBorders>
            <w:noWrap w:val="0"/>
            <w:vAlign w:val="center"/>
          </w:tcPr>
          <w:p w14:paraId="14EEEC9A">
            <w:pPr>
              <w:pStyle w:val="52"/>
              <w:bidi w:val="0"/>
              <w:jc w:val="center"/>
              <w:rPr>
                <w:rFonts w:hint="eastAsia"/>
                <w:color w:val="000000" w:themeColor="text1"/>
                <w:highlight w:val="none"/>
                <w:lang w:val="en-US" w:eastAsia="zh-CN"/>
                <w14:textFill>
                  <w14:solidFill>
                    <w14:schemeClr w14:val="tx1"/>
                  </w14:solidFill>
                </w14:textFill>
              </w:rPr>
            </w:pPr>
          </w:p>
        </w:tc>
      </w:tr>
      <w:tr w14:paraId="4FAF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619F6B16">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00AB7AB9">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7B49908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设施设备档案资料齐全，分类成册、管理完善，查阅方便。</w:t>
            </w:r>
          </w:p>
          <w:p w14:paraId="2B427449">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2.各种运行记录、维保资料、监测资料分类成册，定期归档、管理完善。</w:t>
            </w:r>
          </w:p>
          <w:p w14:paraId="27D80673">
            <w:pPr>
              <w:pStyle w:val="52"/>
              <w:bidi w:val="0"/>
              <w:jc w:val="lef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设立24小时应急热线，10分内响应</w:t>
            </w:r>
            <w:r>
              <w:rPr>
                <w:rFonts w:hint="default"/>
                <w:color w:val="000000" w:themeColor="text1"/>
                <w:highlight w:val="none"/>
                <w:lang w:val="en-US" w:eastAsia="zh-CN"/>
                <w14:textFill>
                  <w14:solidFill>
                    <w14:schemeClr w14:val="tx1"/>
                  </w14:solidFill>
                </w14:textFill>
              </w:rPr>
              <w:t>（含节假日）。</w:t>
            </w:r>
          </w:p>
        </w:tc>
        <w:tc>
          <w:tcPr>
            <w:tcW w:w="1564" w:type="pct"/>
            <w:tcBorders>
              <w:tl2br w:val="nil"/>
              <w:tr2bl w:val="nil"/>
            </w:tcBorders>
            <w:noWrap w:val="0"/>
            <w:vAlign w:val="center"/>
          </w:tcPr>
          <w:p w14:paraId="779C3F10">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每发现一项不齐全或不完善每处扣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71B12173">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44" w:type="pct"/>
            <w:tcBorders>
              <w:tl2br w:val="nil"/>
              <w:tr2bl w:val="nil"/>
            </w:tcBorders>
            <w:noWrap w:val="0"/>
            <w:vAlign w:val="center"/>
          </w:tcPr>
          <w:p w14:paraId="60359848">
            <w:pPr>
              <w:pStyle w:val="52"/>
              <w:bidi w:val="0"/>
              <w:jc w:val="center"/>
              <w:rPr>
                <w:rFonts w:hint="eastAsia"/>
                <w:color w:val="000000" w:themeColor="text1"/>
                <w:highlight w:val="none"/>
                <w:lang w:val="en-US" w:eastAsia="zh-CN"/>
                <w14:textFill>
                  <w14:solidFill>
                    <w14:schemeClr w14:val="tx1"/>
                  </w14:solidFill>
                </w14:textFill>
              </w:rPr>
            </w:pPr>
          </w:p>
        </w:tc>
      </w:tr>
      <w:tr w14:paraId="59CC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414A835B">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4A499651">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34D5A57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1.处理设施警示、功能标识完善、明显。</w:t>
            </w:r>
          </w:p>
          <w:p w14:paraId="13BF640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2.制度职责、工艺流程、操作规程、排污许可证、监测报告、应急预案、上岗证等上墙公示。</w:t>
            </w:r>
          </w:p>
          <w:p w14:paraId="28D17C9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3.有责任人、有专职</w:t>
            </w:r>
            <w:r>
              <w:rPr>
                <w:rFonts w:hint="eastAsia"/>
                <w:color w:val="000000" w:themeColor="text1"/>
                <w:highlight w:val="none"/>
                <w:lang w:val="en-US" w:eastAsia="zh-CN"/>
                <w14:textFill>
                  <w14:solidFill>
                    <w14:schemeClr w14:val="tx1"/>
                  </w14:solidFill>
                </w14:textFill>
              </w:rPr>
              <w:t>巡检人</w:t>
            </w:r>
            <w:r>
              <w:rPr>
                <w:rFonts w:hint="default"/>
                <w:color w:val="000000" w:themeColor="text1"/>
                <w:highlight w:val="none"/>
                <w:lang w:val="en-US" w:eastAsia="zh-CN"/>
                <w14:textFill>
                  <w14:solidFill>
                    <w14:schemeClr w14:val="tx1"/>
                  </w14:solidFill>
                </w14:textFill>
              </w:rPr>
              <w:t>员。</w:t>
            </w:r>
          </w:p>
          <w:p w14:paraId="2BFA7E0D">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4.现场清洁、明亮，物品摆放规范有序。</w:t>
            </w:r>
          </w:p>
          <w:p w14:paraId="055F2E13">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5.室内消防器材完好并在有效期内</w:t>
            </w:r>
            <w:r>
              <w:rPr>
                <w:rFonts w:hint="default"/>
                <w:color w:val="000000" w:themeColor="text1"/>
                <w:highlight w:val="none"/>
                <w14:textFill>
                  <w14:solidFill>
                    <w14:schemeClr w14:val="tx1"/>
                  </w14:solidFill>
                </w14:textFill>
              </w:rPr>
              <w:t>。</w:t>
            </w:r>
          </w:p>
        </w:tc>
        <w:tc>
          <w:tcPr>
            <w:tcW w:w="1564" w:type="pct"/>
            <w:tcBorders>
              <w:tl2br w:val="nil"/>
              <w:tr2bl w:val="nil"/>
            </w:tcBorders>
            <w:noWrap w:val="0"/>
            <w:vAlign w:val="center"/>
          </w:tcPr>
          <w:p w14:paraId="4BCED6E9">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基本符合</w:t>
            </w:r>
            <w:r>
              <w:rPr>
                <w:rFonts w:hint="eastAsia"/>
                <w:color w:val="000000" w:themeColor="text1"/>
                <w:highlight w:val="none"/>
                <w:lang w:val="en-US" w:eastAsia="zh-CN"/>
                <w14:textFill>
                  <w14:solidFill>
                    <w14:schemeClr w14:val="tx1"/>
                  </w14:solidFill>
                </w14:textFill>
              </w:rPr>
              <w:t>10</w:t>
            </w:r>
            <w:r>
              <w:rPr>
                <w:rFonts w:hint="default"/>
                <w:color w:val="000000" w:themeColor="text1"/>
                <w:highlight w:val="none"/>
                <w:lang w:val="en-US" w:eastAsia="zh-CN"/>
                <w14:textFill>
                  <w14:solidFill>
                    <w14:schemeClr w14:val="tx1"/>
                  </w14:solidFill>
                </w14:textFill>
              </w:rPr>
              <w:t>分，不符合0分</w:t>
            </w:r>
          </w:p>
        </w:tc>
        <w:tc>
          <w:tcPr>
            <w:tcW w:w="250" w:type="pct"/>
            <w:tcBorders>
              <w:tl2br w:val="nil"/>
              <w:tr2bl w:val="nil"/>
            </w:tcBorders>
            <w:noWrap w:val="0"/>
            <w:vAlign w:val="center"/>
          </w:tcPr>
          <w:p w14:paraId="422971B4">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344" w:type="pct"/>
            <w:tcBorders>
              <w:tl2br w:val="nil"/>
              <w:tr2bl w:val="nil"/>
            </w:tcBorders>
            <w:noWrap w:val="0"/>
            <w:vAlign w:val="center"/>
          </w:tcPr>
          <w:p w14:paraId="1B5F9DBC">
            <w:pPr>
              <w:pStyle w:val="52"/>
              <w:bidi w:val="0"/>
              <w:jc w:val="center"/>
              <w:rPr>
                <w:rFonts w:hint="eastAsia"/>
                <w:color w:val="000000" w:themeColor="text1"/>
                <w:highlight w:val="none"/>
                <w:lang w:val="en-US" w:eastAsia="zh-CN"/>
                <w14:textFill>
                  <w14:solidFill>
                    <w14:schemeClr w14:val="tx1"/>
                  </w14:solidFill>
                </w14:textFill>
              </w:rPr>
            </w:pPr>
          </w:p>
        </w:tc>
      </w:tr>
      <w:tr w14:paraId="3C8E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restart"/>
            <w:tcBorders>
              <w:tl2br w:val="nil"/>
              <w:tr2bl w:val="nil"/>
            </w:tcBorders>
            <w:noWrap w:val="0"/>
            <w:vAlign w:val="center"/>
          </w:tcPr>
          <w:p w14:paraId="7B0799A8">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539" w:type="pct"/>
            <w:vMerge w:val="restart"/>
            <w:tcBorders>
              <w:tl2br w:val="nil"/>
              <w:tr2bl w:val="nil"/>
            </w:tcBorders>
            <w:noWrap w:val="0"/>
            <w:vAlign w:val="center"/>
          </w:tcPr>
          <w:p w14:paraId="74587695">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设施设备管理</w:t>
            </w:r>
          </w:p>
          <w:p w14:paraId="56C384B4">
            <w:pPr>
              <w:pStyle w:val="52"/>
              <w:bidi w:val="0"/>
              <w:jc w:val="center"/>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default"/>
                <w:color w:val="000000" w:themeColor="text1"/>
                <w:highlight w:val="none"/>
                <w:lang w:val="en-US" w:eastAsia="zh-CN"/>
                <w14:textFill>
                  <w14:solidFill>
                    <w14:schemeClr w14:val="tx1"/>
                  </w14:solidFill>
                </w14:textFill>
              </w:rPr>
              <w:t>分）</w:t>
            </w:r>
          </w:p>
        </w:tc>
        <w:tc>
          <w:tcPr>
            <w:tcW w:w="2063" w:type="pct"/>
            <w:gridSpan w:val="2"/>
            <w:tcBorders>
              <w:tl2br w:val="nil"/>
              <w:tr2bl w:val="nil"/>
            </w:tcBorders>
            <w:noWrap w:val="0"/>
            <w:vAlign w:val="center"/>
          </w:tcPr>
          <w:p w14:paraId="5DBC832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1.严格执行设备安全运行、岗位责任制定期巡检、维护保养、运行记录管理、</w:t>
            </w:r>
            <w:r>
              <w:rPr>
                <w:rFonts w:hint="eastAsia"/>
                <w:color w:val="000000" w:themeColor="text1"/>
                <w:highlight w:val="none"/>
                <w:lang w:val="en-US" w:eastAsia="zh-CN"/>
                <w14:textFill>
                  <w14:solidFill>
                    <w14:schemeClr w14:val="tx1"/>
                  </w14:solidFill>
                </w14:textFill>
              </w:rPr>
              <w:t>衰变池体</w:t>
            </w:r>
            <w:r>
              <w:rPr>
                <w:rFonts w:hint="default"/>
                <w:color w:val="000000" w:themeColor="text1"/>
                <w:highlight w:val="none"/>
                <w:lang w:val="en-US" w:eastAsia="zh-CN"/>
                <w14:textFill>
                  <w14:solidFill>
                    <w14:schemeClr w14:val="tx1"/>
                  </w14:solidFill>
                </w14:textFill>
              </w:rPr>
              <w:t>清掏等维修档案等管理制度。</w:t>
            </w:r>
          </w:p>
          <w:p w14:paraId="47EEC7EA">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2.有年度、月度工作计划、设备设施维保计划，并严格执行。</w:t>
            </w:r>
          </w:p>
          <w:p w14:paraId="178E9F13">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3.建立</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设施设备</w:t>
            </w:r>
            <w:r>
              <w:rPr>
                <w:rFonts w:hint="eastAsia"/>
                <w:color w:val="000000" w:themeColor="text1"/>
                <w:highlight w:val="none"/>
                <w:lang w:val="en-US" w:eastAsia="zh-CN"/>
                <w14:textFill>
                  <w14:solidFill>
                    <w14:schemeClr w14:val="tx1"/>
                  </w14:solidFill>
                </w14:textFill>
              </w:rPr>
              <w:t>管理</w:t>
            </w:r>
            <w:r>
              <w:rPr>
                <w:rFonts w:hint="default"/>
                <w:color w:val="000000" w:themeColor="text1"/>
                <w:highlight w:val="none"/>
                <w:lang w:val="en-US" w:eastAsia="zh-CN"/>
                <w14:textFill>
                  <w14:solidFill>
                    <w14:schemeClr w14:val="tx1"/>
                  </w14:solidFill>
                </w14:textFill>
              </w:rPr>
              <w:t>台账。</w:t>
            </w:r>
          </w:p>
        </w:tc>
        <w:tc>
          <w:tcPr>
            <w:tcW w:w="1564" w:type="pct"/>
            <w:tcBorders>
              <w:tl2br w:val="nil"/>
              <w:tr2bl w:val="nil"/>
            </w:tcBorders>
            <w:noWrap w:val="0"/>
            <w:vAlign w:val="center"/>
          </w:tcPr>
          <w:p w14:paraId="73086A28">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50F075F9">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44" w:type="pct"/>
            <w:tcBorders>
              <w:tl2br w:val="nil"/>
              <w:tr2bl w:val="nil"/>
            </w:tcBorders>
            <w:noWrap w:val="0"/>
            <w:vAlign w:val="center"/>
          </w:tcPr>
          <w:p w14:paraId="1FCAC7EB">
            <w:pPr>
              <w:pStyle w:val="52"/>
              <w:bidi w:val="0"/>
              <w:jc w:val="center"/>
              <w:rPr>
                <w:rFonts w:hint="eastAsia"/>
                <w:color w:val="000000" w:themeColor="text1"/>
                <w:highlight w:val="none"/>
                <w:lang w:val="en-US" w:eastAsia="zh-CN"/>
                <w14:textFill>
                  <w14:solidFill>
                    <w14:schemeClr w14:val="tx1"/>
                  </w14:solidFill>
                </w14:textFill>
              </w:rPr>
            </w:pPr>
          </w:p>
        </w:tc>
      </w:tr>
      <w:tr w14:paraId="3A63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5B658F69">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588FCFD6">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5E03D77F">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1.设备机房环境整洁、无杂物、灰尘、无鼠、虫害发生、水患、照明充足、机房环境符合设备管理及安全要求。</w:t>
            </w:r>
          </w:p>
          <w:p w14:paraId="71E7C131">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2.机房挂置有相关操作、安全、管理等制度，管道流向标识完好。</w:t>
            </w:r>
          </w:p>
        </w:tc>
        <w:tc>
          <w:tcPr>
            <w:tcW w:w="1564" w:type="pct"/>
            <w:tcBorders>
              <w:tl2br w:val="nil"/>
              <w:tr2bl w:val="nil"/>
            </w:tcBorders>
            <w:noWrap w:val="0"/>
            <w:vAlign w:val="center"/>
          </w:tcPr>
          <w:p w14:paraId="0C44349D">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w:t>
            </w: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2E983B4C">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14:paraId="6627501E">
            <w:pPr>
              <w:pStyle w:val="52"/>
              <w:bidi w:val="0"/>
              <w:jc w:val="center"/>
              <w:rPr>
                <w:rFonts w:hint="eastAsia"/>
                <w:color w:val="000000" w:themeColor="text1"/>
                <w:highlight w:val="none"/>
                <w:lang w:val="en-US" w:eastAsia="zh-CN"/>
                <w14:textFill>
                  <w14:solidFill>
                    <w14:schemeClr w14:val="tx1"/>
                  </w14:solidFill>
                </w14:textFill>
              </w:rPr>
            </w:pPr>
          </w:p>
        </w:tc>
      </w:tr>
      <w:tr w14:paraId="4A4F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76B5E6DB">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4AAA192F">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2CAB8949">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1.从事污水设施设备维护所需各种专业技术人员。严格执行操作规程、持证上岗。</w:t>
            </w:r>
          </w:p>
        </w:tc>
        <w:tc>
          <w:tcPr>
            <w:tcW w:w="1564" w:type="pct"/>
            <w:tcBorders>
              <w:tl2br w:val="nil"/>
              <w:tr2bl w:val="nil"/>
            </w:tcBorders>
            <w:noWrap w:val="0"/>
            <w:vAlign w:val="center"/>
          </w:tcPr>
          <w:p w14:paraId="56EE73B2">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每发现-处不符合扣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0005135F">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14:paraId="1BA63B78">
            <w:pPr>
              <w:pStyle w:val="52"/>
              <w:bidi w:val="0"/>
              <w:jc w:val="center"/>
              <w:rPr>
                <w:rFonts w:hint="eastAsia"/>
                <w:color w:val="000000" w:themeColor="text1"/>
                <w:highlight w:val="none"/>
                <w:lang w:val="en-US" w:eastAsia="zh-CN"/>
                <w14:textFill>
                  <w14:solidFill>
                    <w14:schemeClr w14:val="tx1"/>
                  </w14:solidFill>
                </w14:textFill>
              </w:rPr>
            </w:pPr>
          </w:p>
        </w:tc>
      </w:tr>
      <w:tr w14:paraId="43BD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6C2860AF">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74B93890">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2DEE2D9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1.保证</w:t>
            </w:r>
            <w:r>
              <w:rPr>
                <w:rFonts w:hint="eastAsia"/>
                <w:color w:val="000000" w:themeColor="text1"/>
                <w:highlight w:val="none"/>
                <w:lang w:val="en-US" w:eastAsia="zh-CN"/>
                <w14:textFill>
                  <w14:solidFill>
                    <w14:schemeClr w14:val="tx1"/>
                  </w14:solidFill>
                </w14:textFill>
              </w:rPr>
              <w:t>衰变池处理</w:t>
            </w:r>
            <w:r>
              <w:rPr>
                <w:rFonts w:hint="default"/>
                <w:color w:val="000000" w:themeColor="text1"/>
                <w:highlight w:val="none"/>
                <w:lang w:val="en-US" w:eastAsia="zh-CN"/>
                <w14:textFill>
                  <w14:solidFill>
                    <w14:schemeClr w14:val="tx1"/>
                  </w14:solidFill>
                </w14:textFill>
              </w:rPr>
              <w:t>系统的安全可靠、稳定运行和达标排放</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无重大管理、安全责任事故。</w:t>
            </w:r>
          </w:p>
        </w:tc>
        <w:tc>
          <w:tcPr>
            <w:tcW w:w="1564" w:type="pct"/>
            <w:tcBorders>
              <w:tl2br w:val="nil"/>
              <w:tr2bl w:val="nil"/>
            </w:tcBorders>
            <w:noWrap w:val="0"/>
            <w:vAlign w:val="center"/>
          </w:tcPr>
          <w:p w14:paraId="2D867A9C">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任何一项不符合扣</w:t>
            </w: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35ACCDA0">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14:paraId="38F77E14">
            <w:pPr>
              <w:pStyle w:val="52"/>
              <w:bidi w:val="0"/>
              <w:jc w:val="center"/>
              <w:rPr>
                <w:rFonts w:hint="eastAsia"/>
                <w:color w:val="000000" w:themeColor="text1"/>
                <w:highlight w:val="none"/>
                <w:lang w:val="en-US" w:eastAsia="zh-CN"/>
                <w14:textFill>
                  <w14:solidFill>
                    <w14:schemeClr w14:val="tx1"/>
                  </w14:solidFill>
                </w14:textFill>
              </w:rPr>
            </w:pPr>
          </w:p>
        </w:tc>
      </w:tr>
      <w:tr w14:paraId="26EA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729F37E7">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6070F89E">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705FDFFB">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处理</w:t>
            </w:r>
            <w:r>
              <w:rPr>
                <w:rFonts w:hint="eastAsia"/>
                <w:color w:val="000000" w:themeColor="text1"/>
                <w:highlight w:val="none"/>
                <w:lang w:val="en-US" w:eastAsia="zh-CN"/>
                <w14:textFill>
                  <w14:solidFill>
                    <w14:schemeClr w14:val="tx1"/>
                  </w14:solidFill>
                </w14:textFill>
              </w:rPr>
              <w:t>系统</w:t>
            </w:r>
            <w:r>
              <w:rPr>
                <w:rFonts w:hint="default"/>
                <w:color w:val="000000" w:themeColor="text1"/>
                <w:highlight w:val="none"/>
                <w:lang w:val="en-US" w:eastAsia="zh-CN"/>
                <w14:textFill>
                  <w14:solidFill>
                    <w14:schemeClr w14:val="tx1"/>
                  </w14:solidFill>
                </w14:textFill>
              </w:rPr>
              <w:t>供电用电设备安全、正常，无运行缺陷、设备清洁、标识规范完整。</w:t>
            </w:r>
          </w:p>
          <w:p w14:paraId="7B4331B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2.定期试运行</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双电源等应急设备。</w:t>
            </w:r>
          </w:p>
        </w:tc>
        <w:tc>
          <w:tcPr>
            <w:tcW w:w="1564" w:type="pct"/>
            <w:tcBorders>
              <w:tl2br w:val="nil"/>
              <w:tr2bl w:val="nil"/>
            </w:tcBorders>
            <w:noWrap w:val="0"/>
            <w:vAlign w:val="center"/>
          </w:tcPr>
          <w:p w14:paraId="6761D3E6">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每发现-处不符合扣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5D64828C">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344" w:type="pct"/>
            <w:tcBorders>
              <w:tl2br w:val="nil"/>
              <w:tr2bl w:val="nil"/>
            </w:tcBorders>
            <w:noWrap w:val="0"/>
            <w:vAlign w:val="center"/>
          </w:tcPr>
          <w:p w14:paraId="7BD3741A">
            <w:pPr>
              <w:pStyle w:val="52"/>
              <w:bidi w:val="0"/>
              <w:jc w:val="center"/>
              <w:rPr>
                <w:rFonts w:hint="eastAsia"/>
                <w:color w:val="000000" w:themeColor="text1"/>
                <w:highlight w:val="none"/>
                <w:lang w:val="en-US" w:eastAsia="zh-CN"/>
                <w14:textFill>
                  <w14:solidFill>
                    <w14:schemeClr w14:val="tx1"/>
                  </w14:solidFill>
                </w14:textFill>
              </w:rPr>
            </w:pPr>
          </w:p>
        </w:tc>
      </w:tr>
      <w:tr w14:paraId="33BD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313CF3B1">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677CF3DB">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72E0416B">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衰变池、沉淀池</w:t>
            </w:r>
            <w:r>
              <w:rPr>
                <w:rFonts w:hint="default"/>
                <w:color w:val="000000" w:themeColor="text1"/>
                <w:highlight w:val="none"/>
                <w:lang w:val="en-US" w:eastAsia="zh-CN"/>
                <w14:textFill>
                  <w14:solidFill>
                    <w14:schemeClr w14:val="tx1"/>
                  </w14:solidFill>
                </w14:textFill>
              </w:rPr>
              <w:t>定期出渣清掏，严格执行国家相关规定规范处置医疗废液、废渣及有毒有害物质。</w:t>
            </w:r>
          </w:p>
        </w:tc>
        <w:tc>
          <w:tcPr>
            <w:tcW w:w="1564" w:type="pct"/>
            <w:tcBorders>
              <w:tl2br w:val="nil"/>
              <w:tr2bl w:val="nil"/>
            </w:tcBorders>
            <w:noWrap w:val="0"/>
            <w:vAlign w:val="center"/>
          </w:tcPr>
          <w:p w14:paraId="3C4E2E0E">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不符合扣3分</w:t>
            </w:r>
          </w:p>
        </w:tc>
        <w:tc>
          <w:tcPr>
            <w:tcW w:w="250" w:type="pct"/>
            <w:tcBorders>
              <w:tl2br w:val="nil"/>
              <w:tr2bl w:val="nil"/>
            </w:tcBorders>
            <w:noWrap w:val="0"/>
            <w:vAlign w:val="center"/>
          </w:tcPr>
          <w:p w14:paraId="38738FC5">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14:paraId="79887D2B">
            <w:pPr>
              <w:pStyle w:val="52"/>
              <w:bidi w:val="0"/>
              <w:jc w:val="center"/>
              <w:rPr>
                <w:rFonts w:hint="eastAsia"/>
                <w:color w:val="000000" w:themeColor="text1"/>
                <w:highlight w:val="none"/>
                <w:lang w:val="en-US" w:eastAsia="zh-CN"/>
                <w14:textFill>
                  <w14:solidFill>
                    <w14:schemeClr w14:val="tx1"/>
                  </w14:solidFill>
                </w14:textFill>
              </w:rPr>
            </w:pPr>
          </w:p>
        </w:tc>
      </w:tr>
      <w:tr w14:paraId="499E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24F36850">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397D3FE3">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3BDED41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1.定期校验检测仪器、仪表，各类检测仪器仪表完好率100%。</w:t>
            </w:r>
          </w:p>
        </w:tc>
        <w:tc>
          <w:tcPr>
            <w:tcW w:w="1564" w:type="pct"/>
            <w:tcBorders>
              <w:tl2br w:val="nil"/>
              <w:tr2bl w:val="nil"/>
            </w:tcBorders>
            <w:noWrap w:val="0"/>
            <w:vAlign w:val="center"/>
          </w:tcPr>
          <w:p w14:paraId="29BA7129">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不符合扣3分</w:t>
            </w:r>
          </w:p>
        </w:tc>
        <w:tc>
          <w:tcPr>
            <w:tcW w:w="250" w:type="pct"/>
            <w:tcBorders>
              <w:tl2br w:val="nil"/>
              <w:tr2bl w:val="nil"/>
            </w:tcBorders>
            <w:noWrap w:val="0"/>
            <w:vAlign w:val="center"/>
          </w:tcPr>
          <w:p w14:paraId="732A8A7F">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14:paraId="5A981452">
            <w:pPr>
              <w:pStyle w:val="52"/>
              <w:bidi w:val="0"/>
              <w:jc w:val="center"/>
              <w:rPr>
                <w:rFonts w:hint="eastAsia"/>
                <w:color w:val="000000" w:themeColor="text1"/>
                <w:highlight w:val="none"/>
                <w:lang w:val="en-US" w:eastAsia="zh-CN"/>
                <w14:textFill>
                  <w14:solidFill>
                    <w14:schemeClr w14:val="tx1"/>
                  </w14:solidFill>
                </w14:textFill>
              </w:rPr>
            </w:pPr>
          </w:p>
        </w:tc>
      </w:tr>
      <w:tr w14:paraId="0EEB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238" w:type="pct"/>
            <w:vMerge w:val="restart"/>
            <w:tcBorders>
              <w:tl2br w:val="nil"/>
              <w:tr2bl w:val="nil"/>
            </w:tcBorders>
            <w:noWrap w:val="0"/>
            <w:vAlign w:val="center"/>
          </w:tcPr>
          <w:p w14:paraId="7B9ECA0B">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539" w:type="pct"/>
            <w:vMerge w:val="restart"/>
            <w:tcBorders>
              <w:tl2br w:val="nil"/>
              <w:tr2bl w:val="nil"/>
            </w:tcBorders>
            <w:noWrap w:val="0"/>
            <w:vAlign w:val="center"/>
          </w:tcPr>
          <w:p w14:paraId="049BDC5D">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衰变池系统</w:t>
            </w:r>
            <w:r>
              <w:rPr>
                <w:rFonts w:hint="default"/>
                <w:color w:val="000000" w:themeColor="text1"/>
                <w:highlight w:val="none"/>
                <w:lang w:val="en-US" w:eastAsia="zh-CN"/>
                <w14:textFill>
                  <w14:solidFill>
                    <w14:schemeClr w14:val="tx1"/>
                  </w14:solidFill>
                </w14:textFill>
              </w:rPr>
              <w:t>运行安全管理</w:t>
            </w:r>
          </w:p>
          <w:p w14:paraId="6AF5A02C">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31</w:t>
            </w:r>
            <w:r>
              <w:rPr>
                <w:rFonts w:hint="default"/>
                <w:color w:val="000000" w:themeColor="text1"/>
                <w:highlight w:val="none"/>
                <w:lang w:val="en-US" w:eastAsia="zh-CN"/>
                <w14:textFill>
                  <w14:solidFill>
                    <w14:schemeClr w14:val="tx1"/>
                  </w14:solidFill>
                </w14:textFill>
              </w:rPr>
              <w:t>分）</w:t>
            </w:r>
          </w:p>
        </w:tc>
        <w:tc>
          <w:tcPr>
            <w:tcW w:w="2063" w:type="pct"/>
            <w:gridSpan w:val="2"/>
            <w:tcBorders>
              <w:tl2br w:val="nil"/>
              <w:tr2bl w:val="nil"/>
            </w:tcBorders>
            <w:noWrap w:val="0"/>
            <w:vAlign w:val="center"/>
          </w:tcPr>
          <w:p w14:paraId="40562277">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运行记录规范、准确、完整、真实。</w:t>
            </w:r>
          </w:p>
          <w:p w14:paraId="4E6AD3A5">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2.设施设备巡检、监测记录真实完整。</w:t>
            </w:r>
          </w:p>
        </w:tc>
        <w:tc>
          <w:tcPr>
            <w:tcW w:w="1564" w:type="pct"/>
            <w:tcBorders>
              <w:tl2br w:val="nil"/>
              <w:tr2bl w:val="nil"/>
            </w:tcBorders>
            <w:noWrap w:val="0"/>
            <w:vAlign w:val="center"/>
          </w:tcPr>
          <w:p w14:paraId="2F4E2D3E">
            <w:pPr>
              <w:pStyle w:val="52"/>
              <w:bidi w:val="0"/>
              <w:jc w:val="center"/>
              <w:rPr>
                <w:rFonts w:hint="default"/>
                <w:color w:val="000000" w:themeColor="text1"/>
                <w:highlight w:val="none"/>
                <w14:textFill>
                  <w14:solidFill>
                    <w14:schemeClr w14:val="tx1"/>
                  </w14:solidFill>
                </w14:textFill>
              </w:rPr>
            </w:pPr>
          </w:p>
          <w:p w14:paraId="151A2EF6">
            <w:pPr>
              <w:pStyle w:val="52"/>
              <w:bidi w:val="0"/>
              <w:jc w:val="center"/>
              <w:rPr>
                <w:rFonts w:hint="default"/>
                <w:color w:val="000000" w:themeColor="text1"/>
                <w:highlight w:val="none"/>
                <w:lang w:val="en-US" w:eastAsia="zh-CN"/>
                <w14:textFill>
                  <w14:solidFill>
                    <w14:schemeClr w14:val="tx1"/>
                  </w14:solidFill>
                </w14:textFill>
              </w:rPr>
            </w:pPr>
          </w:p>
          <w:p w14:paraId="47B99FA7">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每发现一处不符合扣1.5分</w:t>
            </w:r>
          </w:p>
        </w:tc>
        <w:tc>
          <w:tcPr>
            <w:tcW w:w="250" w:type="pct"/>
            <w:tcBorders>
              <w:tl2br w:val="nil"/>
              <w:tr2bl w:val="nil"/>
            </w:tcBorders>
            <w:noWrap w:val="0"/>
            <w:vAlign w:val="center"/>
          </w:tcPr>
          <w:p w14:paraId="627F2D6D">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14:paraId="6132EC85">
            <w:pPr>
              <w:pStyle w:val="52"/>
              <w:bidi w:val="0"/>
              <w:jc w:val="center"/>
              <w:rPr>
                <w:rFonts w:hint="eastAsia"/>
                <w:color w:val="000000" w:themeColor="text1"/>
                <w:highlight w:val="none"/>
                <w:lang w:val="en-US" w:eastAsia="zh-CN"/>
                <w14:textFill>
                  <w14:solidFill>
                    <w14:schemeClr w14:val="tx1"/>
                  </w14:solidFill>
                </w14:textFill>
              </w:rPr>
            </w:pPr>
          </w:p>
        </w:tc>
      </w:tr>
      <w:tr w14:paraId="143A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4EC592C7">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43C86FC0">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1F9EBB1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污水排放水量、电力消耗量台账完善真实，相关采购凭证完整，无水电浪费现象。</w:t>
            </w:r>
          </w:p>
        </w:tc>
        <w:tc>
          <w:tcPr>
            <w:tcW w:w="1564" w:type="pct"/>
            <w:tcBorders>
              <w:tl2br w:val="nil"/>
              <w:tr2bl w:val="nil"/>
            </w:tcBorders>
            <w:noWrap w:val="0"/>
            <w:vAlign w:val="center"/>
          </w:tcPr>
          <w:p w14:paraId="0F2067FB">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每发现一处不符合扣2分</w:t>
            </w:r>
          </w:p>
        </w:tc>
        <w:tc>
          <w:tcPr>
            <w:tcW w:w="250" w:type="pct"/>
            <w:tcBorders>
              <w:tl2br w:val="nil"/>
              <w:tr2bl w:val="nil"/>
            </w:tcBorders>
            <w:noWrap w:val="0"/>
            <w:vAlign w:val="center"/>
          </w:tcPr>
          <w:p w14:paraId="130FB64D">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14:paraId="6646DA0C">
            <w:pPr>
              <w:pStyle w:val="52"/>
              <w:bidi w:val="0"/>
              <w:jc w:val="center"/>
              <w:rPr>
                <w:rFonts w:hint="eastAsia"/>
                <w:color w:val="000000" w:themeColor="text1"/>
                <w:highlight w:val="none"/>
                <w:lang w:val="en-US" w:eastAsia="zh-CN"/>
                <w14:textFill>
                  <w14:solidFill>
                    <w14:schemeClr w14:val="tx1"/>
                  </w14:solidFill>
                </w14:textFill>
              </w:rPr>
            </w:pPr>
          </w:p>
        </w:tc>
      </w:tr>
      <w:tr w14:paraId="4D85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7420502D">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33813EE1">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0D3F54F6">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巡检人员</w:t>
            </w:r>
            <w:r>
              <w:rPr>
                <w:rFonts w:hint="default"/>
                <w:color w:val="000000" w:themeColor="text1"/>
                <w:highlight w:val="none"/>
                <w:lang w:val="en-US" w:eastAsia="zh-CN"/>
                <w14:textFill>
                  <w14:solidFill>
                    <w14:schemeClr w14:val="tx1"/>
                  </w14:solidFill>
                </w14:textFill>
              </w:rPr>
              <w:t>操作工具和劳保用品齐全，工作服、防护口罩、防护眼镜、帽子、防水围裙、防水手套、雨靴等齐全，并有消毒措施且放置规范。</w:t>
            </w:r>
          </w:p>
          <w:p w14:paraId="188857BA">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巡检人</w:t>
            </w:r>
            <w:r>
              <w:rPr>
                <w:rFonts w:hint="default"/>
                <w:color w:val="000000" w:themeColor="text1"/>
                <w:highlight w:val="none"/>
                <w:lang w:val="en-US" w:eastAsia="zh-CN"/>
                <w14:textFill>
                  <w14:solidFill>
                    <w14:schemeClr w14:val="tx1"/>
                  </w14:solidFill>
                </w14:textFill>
              </w:rPr>
              <w:t>员每年不少于一次体检合格报告。</w:t>
            </w:r>
          </w:p>
        </w:tc>
        <w:tc>
          <w:tcPr>
            <w:tcW w:w="1564" w:type="pct"/>
            <w:tcBorders>
              <w:tl2br w:val="nil"/>
              <w:tr2bl w:val="nil"/>
            </w:tcBorders>
            <w:noWrap w:val="0"/>
            <w:vAlign w:val="center"/>
          </w:tcPr>
          <w:p w14:paraId="6091E518">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每发现一处不符合扣1分</w:t>
            </w:r>
          </w:p>
        </w:tc>
        <w:tc>
          <w:tcPr>
            <w:tcW w:w="250" w:type="pct"/>
            <w:tcBorders>
              <w:tl2br w:val="nil"/>
              <w:tr2bl w:val="nil"/>
            </w:tcBorders>
            <w:noWrap w:val="0"/>
            <w:vAlign w:val="center"/>
          </w:tcPr>
          <w:p w14:paraId="1546A21A">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14:paraId="5BEE5653">
            <w:pPr>
              <w:pStyle w:val="52"/>
              <w:bidi w:val="0"/>
              <w:jc w:val="center"/>
              <w:rPr>
                <w:rFonts w:hint="eastAsia"/>
                <w:color w:val="000000" w:themeColor="text1"/>
                <w:highlight w:val="none"/>
                <w:lang w:val="en-US" w:eastAsia="zh-CN"/>
                <w14:textFill>
                  <w14:solidFill>
                    <w14:schemeClr w14:val="tx1"/>
                  </w14:solidFill>
                </w14:textFill>
              </w:rPr>
            </w:pPr>
          </w:p>
        </w:tc>
      </w:tr>
      <w:tr w14:paraId="5512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06123274">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624CEF59">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72425D47">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1.无偷排、漏排等违规排放现象。</w:t>
            </w:r>
          </w:p>
          <w:p w14:paraId="5D560A9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2.及时上报监控可疑情况和运行、排放异常情况。</w:t>
            </w:r>
          </w:p>
        </w:tc>
        <w:tc>
          <w:tcPr>
            <w:tcW w:w="1564" w:type="pct"/>
            <w:tcBorders>
              <w:tl2br w:val="nil"/>
              <w:tr2bl w:val="nil"/>
            </w:tcBorders>
            <w:noWrap w:val="0"/>
            <w:vAlign w:val="center"/>
          </w:tcPr>
          <w:p w14:paraId="1ABAA351">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每发现一处扣2分，扣罚当月托管费用，并承担相关责任</w:t>
            </w:r>
          </w:p>
        </w:tc>
        <w:tc>
          <w:tcPr>
            <w:tcW w:w="250" w:type="pct"/>
            <w:tcBorders>
              <w:tl2br w:val="nil"/>
              <w:tr2bl w:val="nil"/>
            </w:tcBorders>
            <w:noWrap w:val="0"/>
            <w:vAlign w:val="center"/>
          </w:tcPr>
          <w:p w14:paraId="0F5E6F46">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344" w:type="pct"/>
            <w:tcBorders>
              <w:tl2br w:val="nil"/>
              <w:tr2bl w:val="nil"/>
            </w:tcBorders>
            <w:noWrap w:val="0"/>
            <w:vAlign w:val="center"/>
          </w:tcPr>
          <w:p w14:paraId="2E30ECAA">
            <w:pPr>
              <w:pStyle w:val="52"/>
              <w:bidi w:val="0"/>
              <w:jc w:val="center"/>
              <w:rPr>
                <w:rFonts w:hint="eastAsia"/>
                <w:color w:val="000000" w:themeColor="text1"/>
                <w:highlight w:val="none"/>
                <w:lang w:val="en-US" w:eastAsia="zh-CN"/>
                <w14:textFill>
                  <w14:solidFill>
                    <w14:schemeClr w14:val="tx1"/>
                  </w14:solidFill>
                </w14:textFill>
              </w:rPr>
            </w:pPr>
          </w:p>
        </w:tc>
      </w:tr>
      <w:tr w14:paraId="5AE2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14:paraId="6F55B1CE">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14:paraId="06ED14D5">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14:paraId="5A680DAE">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巡检人员</w:t>
            </w:r>
            <w:r>
              <w:rPr>
                <w:rFonts w:hint="default"/>
                <w:color w:val="000000" w:themeColor="text1"/>
                <w:highlight w:val="none"/>
                <w:lang w:val="en-US" w:eastAsia="zh-CN"/>
                <w14:textFill>
                  <w14:solidFill>
                    <w14:schemeClr w14:val="tx1"/>
                  </w14:solidFill>
                </w14:textFill>
              </w:rPr>
              <w:t>熟悉工艺流程和操作规程，会判断、处理和排查污水运行中的各种故障。</w:t>
            </w:r>
          </w:p>
          <w:p w14:paraId="284DC17B">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巡检人员</w:t>
            </w:r>
            <w:r>
              <w:rPr>
                <w:rFonts w:hint="default"/>
                <w:color w:val="000000" w:themeColor="text1"/>
                <w:highlight w:val="none"/>
                <w:lang w:val="en-US" w:eastAsia="zh-CN"/>
                <w14:textFill>
                  <w14:solidFill>
                    <w14:schemeClr w14:val="tx1"/>
                  </w14:solidFill>
                </w14:textFill>
              </w:rPr>
              <w:t>严格遵守各种工作记录，无违规、违纪</w:t>
            </w:r>
            <w:r>
              <w:rPr>
                <w:rFonts w:hint="eastAsia"/>
                <w:color w:val="000000" w:themeColor="text1"/>
                <w:highlight w:val="none"/>
                <w:lang w:val="en-US" w:eastAsia="zh-CN"/>
                <w14:textFill>
                  <w14:solidFill>
                    <w14:schemeClr w14:val="tx1"/>
                  </w14:solidFill>
                </w14:textFill>
              </w:rPr>
              <w:t>事件</w:t>
            </w:r>
            <w:r>
              <w:rPr>
                <w:rFonts w:hint="default"/>
                <w:color w:val="000000" w:themeColor="text1"/>
                <w:highlight w:val="none"/>
                <w:lang w:val="en-US" w:eastAsia="zh-CN"/>
                <w14:textFill>
                  <w14:solidFill>
                    <w14:schemeClr w14:val="tx1"/>
                  </w14:solidFill>
                </w14:textFill>
              </w:rPr>
              <w:t>发生。</w:t>
            </w:r>
          </w:p>
          <w:p w14:paraId="677240AB">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3.有多种应急预案、</w:t>
            </w:r>
            <w:r>
              <w:rPr>
                <w:rFonts w:hint="eastAsia"/>
                <w:color w:val="000000" w:themeColor="text1"/>
                <w:highlight w:val="none"/>
                <w:lang w:val="en-US" w:eastAsia="zh-CN"/>
                <w14:textFill>
                  <w14:solidFill>
                    <w14:schemeClr w14:val="tx1"/>
                  </w14:solidFill>
                </w14:textFill>
              </w:rPr>
              <w:t>巡检人</w:t>
            </w:r>
            <w:r>
              <w:rPr>
                <w:rFonts w:hint="default"/>
                <w:color w:val="000000" w:themeColor="text1"/>
                <w:highlight w:val="none"/>
                <w:lang w:val="en-US" w:eastAsia="zh-CN"/>
                <w14:textFill>
                  <w14:solidFill>
                    <w14:schemeClr w14:val="tx1"/>
                  </w14:solidFill>
                </w14:textFill>
              </w:rPr>
              <w:t>员熟悉预案操作流程。</w:t>
            </w:r>
          </w:p>
          <w:p w14:paraId="0D6CB4A8">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4.每年不少于一次应急演练。</w:t>
            </w:r>
          </w:p>
        </w:tc>
        <w:tc>
          <w:tcPr>
            <w:tcW w:w="1564" w:type="pct"/>
            <w:tcBorders>
              <w:tl2br w:val="nil"/>
              <w:tr2bl w:val="nil"/>
            </w:tcBorders>
            <w:noWrap w:val="0"/>
            <w:vAlign w:val="center"/>
          </w:tcPr>
          <w:p w14:paraId="2F2B1F49">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14:paraId="7CADC02B">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344" w:type="pct"/>
            <w:tcBorders>
              <w:tl2br w:val="nil"/>
              <w:tr2bl w:val="nil"/>
            </w:tcBorders>
            <w:noWrap w:val="0"/>
            <w:vAlign w:val="center"/>
          </w:tcPr>
          <w:p w14:paraId="303FBEBE">
            <w:pPr>
              <w:pStyle w:val="52"/>
              <w:bidi w:val="0"/>
              <w:jc w:val="center"/>
              <w:rPr>
                <w:rFonts w:hint="eastAsia"/>
                <w:color w:val="000000" w:themeColor="text1"/>
                <w:highlight w:val="none"/>
                <w:lang w:val="en-US" w:eastAsia="zh-CN"/>
                <w14:textFill>
                  <w14:solidFill>
                    <w14:schemeClr w14:val="tx1"/>
                  </w14:solidFill>
                </w14:textFill>
              </w:rPr>
            </w:pPr>
          </w:p>
        </w:tc>
      </w:tr>
      <w:tr w14:paraId="55E8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4405" w:type="pct"/>
            <w:gridSpan w:val="5"/>
            <w:tcBorders>
              <w:tl2br w:val="nil"/>
              <w:tr2bl w:val="nil"/>
            </w:tcBorders>
            <w:noWrap w:val="0"/>
            <w:vAlign w:val="center"/>
          </w:tcPr>
          <w:p w14:paraId="1D95150A">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得分</w:t>
            </w:r>
          </w:p>
        </w:tc>
        <w:tc>
          <w:tcPr>
            <w:tcW w:w="250" w:type="pct"/>
            <w:tcBorders>
              <w:tl2br w:val="nil"/>
              <w:tr2bl w:val="nil"/>
            </w:tcBorders>
            <w:noWrap w:val="0"/>
            <w:vAlign w:val="center"/>
          </w:tcPr>
          <w:p w14:paraId="7BA0F3A4">
            <w:pPr>
              <w:pStyle w:val="52"/>
              <w:bidi w:val="0"/>
              <w:jc w:val="center"/>
              <w:rPr>
                <w:rFonts w:hint="eastAsia"/>
                <w:color w:val="000000" w:themeColor="text1"/>
                <w:highlight w:val="none"/>
                <w:lang w:val="en-US" w:eastAsia="zh-CN"/>
                <w14:textFill>
                  <w14:solidFill>
                    <w14:schemeClr w14:val="tx1"/>
                  </w14:solidFill>
                </w14:textFill>
              </w:rPr>
            </w:pPr>
          </w:p>
        </w:tc>
        <w:tc>
          <w:tcPr>
            <w:tcW w:w="344" w:type="pct"/>
            <w:tcBorders>
              <w:tl2br w:val="nil"/>
              <w:tr2bl w:val="nil"/>
            </w:tcBorders>
            <w:noWrap w:val="0"/>
            <w:vAlign w:val="center"/>
          </w:tcPr>
          <w:p w14:paraId="05F80970">
            <w:pPr>
              <w:pStyle w:val="52"/>
              <w:bidi w:val="0"/>
              <w:jc w:val="center"/>
              <w:rPr>
                <w:rFonts w:hint="eastAsia"/>
                <w:color w:val="000000" w:themeColor="text1"/>
                <w:highlight w:val="none"/>
                <w:lang w:val="en-US" w:eastAsia="zh-CN"/>
                <w14:textFill>
                  <w14:solidFill>
                    <w14:schemeClr w14:val="tx1"/>
                  </w14:solidFill>
                </w14:textFill>
              </w:rPr>
            </w:pPr>
          </w:p>
        </w:tc>
      </w:tr>
      <w:tr w14:paraId="26A2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78" w:type="pct"/>
            <w:gridSpan w:val="2"/>
            <w:tcBorders>
              <w:tl2br w:val="nil"/>
              <w:tr2bl w:val="nil"/>
            </w:tcBorders>
            <w:noWrap w:val="0"/>
            <w:vAlign w:val="center"/>
          </w:tcPr>
          <w:p w14:paraId="633B6A57">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维保单位签字</w:t>
            </w:r>
          </w:p>
        </w:tc>
        <w:tc>
          <w:tcPr>
            <w:tcW w:w="1029" w:type="pct"/>
            <w:tcBorders>
              <w:tl2br w:val="nil"/>
              <w:tr2bl w:val="nil"/>
            </w:tcBorders>
            <w:noWrap w:val="0"/>
            <w:vAlign w:val="center"/>
          </w:tcPr>
          <w:p w14:paraId="2DBAA36E">
            <w:pPr>
              <w:pStyle w:val="52"/>
              <w:bidi w:val="0"/>
              <w:jc w:val="center"/>
              <w:rPr>
                <w:rFonts w:hint="eastAsia"/>
                <w:color w:val="000000" w:themeColor="text1"/>
                <w:highlight w:val="none"/>
                <w:lang w:val="en-US" w:eastAsia="zh-CN"/>
                <w14:textFill>
                  <w14:solidFill>
                    <w14:schemeClr w14:val="tx1"/>
                  </w14:solidFill>
                </w14:textFill>
              </w:rPr>
            </w:pPr>
          </w:p>
        </w:tc>
        <w:tc>
          <w:tcPr>
            <w:tcW w:w="1033" w:type="pct"/>
            <w:tcBorders>
              <w:tl2br w:val="nil"/>
              <w:tr2bl w:val="nil"/>
            </w:tcBorders>
            <w:noWrap w:val="0"/>
            <w:vAlign w:val="center"/>
          </w:tcPr>
          <w:p w14:paraId="2C9FEC20">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院方签字</w:t>
            </w:r>
          </w:p>
        </w:tc>
        <w:tc>
          <w:tcPr>
            <w:tcW w:w="2158" w:type="pct"/>
            <w:gridSpan w:val="3"/>
            <w:tcBorders>
              <w:tl2br w:val="nil"/>
              <w:tr2bl w:val="nil"/>
            </w:tcBorders>
            <w:noWrap w:val="0"/>
            <w:vAlign w:val="center"/>
          </w:tcPr>
          <w:p w14:paraId="744947CC">
            <w:pPr>
              <w:pStyle w:val="52"/>
              <w:bidi w:val="0"/>
              <w:jc w:val="center"/>
              <w:rPr>
                <w:rFonts w:hint="eastAsia"/>
                <w:color w:val="000000" w:themeColor="text1"/>
                <w:highlight w:val="none"/>
                <w:lang w:val="en-US" w:eastAsia="zh-CN"/>
                <w14:textFill>
                  <w14:solidFill>
                    <w14:schemeClr w14:val="tx1"/>
                  </w14:solidFill>
                </w14:textFill>
              </w:rPr>
            </w:pPr>
          </w:p>
        </w:tc>
      </w:tr>
      <w:tr w14:paraId="69B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5000" w:type="pct"/>
            <w:gridSpan w:val="7"/>
            <w:tcBorders>
              <w:tl2br w:val="nil"/>
              <w:tr2bl w:val="nil"/>
            </w:tcBorders>
            <w:noWrap w:val="0"/>
            <w:vAlign w:val="center"/>
          </w:tcPr>
          <w:p w14:paraId="77B69F67">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备注：季度评审扣款原则</w:t>
            </w:r>
          </w:p>
          <w:p w14:paraId="5BFF2A32">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季度评审总得分为90分（含）或以上，将按照本合同约定金额支付当</w:t>
            </w:r>
            <w:r>
              <w:rPr>
                <w:rFonts w:hint="eastAsia" w:ascii="仿宋" w:hAnsi="仿宋" w:eastAsia="仿宋" w:cs="仿宋"/>
                <w:color w:val="000000" w:themeColor="text1"/>
                <w:sz w:val="21"/>
                <w:szCs w:val="21"/>
                <w:highlight w:val="none"/>
                <w:lang w:val="en-US" w:eastAsia="zh-CN"/>
                <w14:textFill>
                  <w14:solidFill>
                    <w14:schemeClr w14:val="tx1"/>
                  </w14:solidFill>
                </w14:textFill>
              </w:rPr>
              <w:t>季度</w:t>
            </w:r>
            <w:r>
              <w:rPr>
                <w:rFonts w:hint="eastAsia" w:ascii="仿宋" w:hAnsi="仿宋" w:eastAsia="仿宋" w:cs="仿宋"/>
                <w:color w:val="000000" w:themeColor="text1"/>
                <w:sz w:val="21"/>
                <w:szCs w:val="21"/>
                <w:highlight w:val="none"/>
                <w14:textFill>
                  <w14:solidFill>
                    <w14:schemeClr w14:val="tx1"/>
                  </w14:solidFill>
                </w14:textFill>
              </w:rPr>
              <w:t>维保费；</w:t>
            </w:r>
          </w:p>
          <w:p w14:paraId="0B27BF9C">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季度评审总得分低于90分（不含）且在80分（含）以上，扣减当季度电保费的</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w:t>
            </w:r>
          </w:p>
          <w:p w14:paraId="42C079DF">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季度评审总得分低于80分（不含）且在70分（含）以上，扣减当季度维保费的</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w:t>
            </w:r>
          </w:p>
          <w:p w14:paraId="1948A91E">
            <w:pPr>
              <w:pStyle w:val="52"/>
              <w:bidi w:val="0"/>
              <w:jc w:val="both"/>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季度评审总得分低于80分（不含）3次，3次不合格采购人有权终止本合同，同时造成的一切经济损失及法律责任，由投标人承担。</w:t>
            </w:r>
          </w:p>
        </w:tc>
      </w:tr>
    </w:tbl>
    <w:p w14:paraId="1197C412">
      <w:pPr>
        <w:rPr>
          <w:rFonts w:ascii="黑体" w:eastAsia="黑体"/>
          <w:color w:val="000000" w:themeColor="text1"/>
          <w:sz w:val="44"/>
          <w:szCs w:val="44"/>
          <w:highlight w:val="none"/>
          <w14:textFill>
            <w14:solidFill>
              <w14:schemeClr w14:val="tx1"/>
            </w14:solidFill>
          </w14:textFill>
        </w:rPr>
      </w:pPr>
    </w:p>
    <w:p w14:paraId="2ABE6BD3">
      <w:pPr>
        <w:pStyle w:val="2"/>
        <w:rPr>
          <w:rFonts w:ascii="黑体" w:eastAsia="黑体"/>
          <w:color w:val="000000" w:themeColor="text1"/>
          <w:sz w:val="44"/>
          <w:szCs w:val="44"/>
          <w:highlight w:val="none"/>
          <w14:textFill>
            <w14:solidFill>
              <w14:schemeClr w14:val="tx1"/>
            </w14:solidFill>
          </w14:textFill>
        </w:rPr>
      </w:pPr>
    </w:p>
    <w:p w14:paraId="46ABBA0D">
      <w:pPr>
        <w:rPr>
          <w:rFonts w:ascii="黑体" w:eastAsia="黑体"/>
          <w:color w:val="000000" w:themeColor="text1"/>
          <w:sz w:val="44"/>
          <w:szCs w:val="44"/>
          <w:highlight w:val="none"/>
          <w14:textFill>
            <w14:solidFill>
              <w14:schemeClr w14:val="tx1"/>
            </w14:solidFill>
          </w14:textFill>
        </w:rPr>
      </w:pPr>
    </w:p>
    <w:p w14:paraId="6333FB47">
      <w:pPr>
        <w:pStyle w:val="2"/>
        <w:rPr>
          <w:rFonts w:ascii="黑体" w:eastAsia="黑体"/>
          <w:color w:val="000000" w:themeColor="text1"/>
          <w:sz w:val="44"/>
          <w:szCs w:val="44"/>
          <w:highlight w:val="none"/>
          <w14:textFill>
            <w14:solidFill>
              <w14:schemeClr w14:val="tx1"/>
            </w14:solidFill>
          </w14:textFill>
        </w:rPr>
      </w:pPr>
    </w:p>
    <w:p w14:paraId="5D74E6C9">
      <w:pPr>
        <w:rPr>
          <w:rFonts w:ascii="黑体" w:eastAsia="黑体"/>
          <w:color w:val="000000" w:themeColor="text1"/>
          <w:sz w:val="44"/>
          <w:szCs w:val="44"/>
          <w:highlight w:val="none"/>
          <w14:textFill>
            <w14:solidFill>
              <w14:schemeClr w14:val="tx1"/>
            </w14:solidFill>
          </w14:textFill>
        </w:rPr>
      </w:pPr>
    </w:p>
    <w:p w14:paraId="18D731AD">
      <w:pPr>
        <w:pStyle w:val="2"/>
        <w:rPr>
          <w:rFonts w:ascii="黑体" w:eastAsia="黑体"/>
          <w:color w:val="000000" w:themeColor="text1"/>
          <w:sz w:val="44"/>
          <w:szCs w:val="44"/>
          <w:highlight w:val="none"/>
          <w14:textFill>
            <w14:solidFill>
              <w14:schemeClr w14:val="tx1"/>
            </w14:solidFill>
          </w14:textFill>
        </w:rPr>
      </w:pPr>
    </w:p>
    <w:p w14:paraId="4181C6E9">
      <w:pPr>
        <w:rPr>
          <w:rFonts w:ascii="黑体" w:eastAsia="黑体"/>
          <w:color w:val="000000" w:themeColor="text1"/>
          <w:sz w:val="44"/>
          <w:szCs w:val="44"/>
          <w:highlight w:val="none"/>
          <w14:textFill>
            <w14:solidFill>
              <w14:schemeClr w14:val="tx1"/>
            </w14:solidFill>
          </w14:textFill>
        </w:rPr>
      </w:pPr>
    </w:p>
    <w:p w14:paraId="24F22F0C">
      <w:pPr>
        <w:pStyle w:val="2"/>
        <w:rPr>
          <w:rFonts w:ascii="黑体" w:eastAsia="黑体"/>
          <w:color w:val="000000" w:themeColor="text1"/>
          <w:sz w:val="44"/>
          <w:szCs w:val="44"/>
          <w:highlight w:val="none"/>
          <w14:textFill>
            <w14:solidFill>
              <w14:schemeClr w14:val="tx1"/>
            </w14:solidFill>
          </w14:textFill>
        </w:rPr>
      </w:pPr>
    </w:p>
    <w:p w14:paraId="44E39CE5">
      <w:pPr>
        <w:rPr>
          <w:rFonts w:ascii="黑体" w:eastAsia="黑体"/>
          <w:color w:val="000000" w:themeColor="text1"/>
          <w:sz w:val="44"/>
          <w:szCs w:val="44"/>
          <w:highlight w:val="none"/>
          <w14:textFill>
            <w14:solidFill>
              <w14:schemeClr w14:val="tx1"/>
            </w14:solidFill>
          </w14:textFill>
        </w:rPr>
      </w:pPr>
    </w:p>
    <w:p w14:paraId="02F31421">
      <w:pPr>
        <w:pStyle w:val="2"/>
        <w:rPr>
          <w:color w:val="000000" w:themeColor="text1"/>
          <w:highlight w:val="none"/>
          <w14:textFill>
            <w14:solidFill>
              <w14:schemeClr w14:val="tx1"/>
            </w14:solidFill>
          </w14:textFill>
        </w:rPr>
      </w:pPr>
    </w:p>
    <w:p w14:paraId="65CFD415">
      <w:pPr>
        <w:spacing w:line="276" w:lineRule="auto"/>
        <w:rPr>
          <w:color w:val="000000" w:themeColor="text1"/>
          <w:highlight w:val="none"/>
          <w14:textFill>
            <w14:solidFill>
              <w14:schemeClr w14:val="tx1"/>
            </w14:solidFill>
          </w14:textFill>
        </w:rPr>
      </w:pPr>
    </w:p>
    <w:p w14:paraId="76EBD82B">
      <w:pPr>
        <w:spacing w:line="276" w:lineRule="auto"/>
        <w:jc w:val="center"/>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u w:val="single"/>
          <w14:textFill>
            <w14:solidFill>
              <w14:schemeClr w14:val="tx1"/>
            </w14:solidFill>
          </w14:textFill>
        </w:rPr>
        <w:t>（项目名称）</w:t>
      </w:r>
    </w:p>
    <w:p w14:paraId="2D34826A">
      <w:pPr>
        <w:spacing w:line="276" w:lineRule="auto"/>
        <w:jc w:val="center"/>
        <w:rPr>
          <w:rFonts w:ascii="宋体"/>
          <w:b/>
          <w:color w:val="000000" w:themeColor="text1"/>
          <w:sz w:val="28"/>
          <w:szCs w:val="28"/>
          <w:highlight w:val="none"/>
          <w14:textFill>
            <w14:solidFill>
              <w14:schemeClr w14:val="tx1"/>
            </w14:solidFill>
          </w14:textFill>
        </w:rPr>
      </w:pPr>
    </w:p>
    <w:p w14:paraId="6A89D790">
      <w:pPr>
        <w:spacing w:line="276" w:lineRule="auto"/>
        <w:jc w:val="center"/>
        <w:rPr>
          <w:rFonts w:ascii="宋体"/>
          <w:b/>
          <w:color w:val="000000" w:themeColor="text1"/>
          <w:sz w:val="28"/>
          <w:szCs w:val="28"/>
          <w:highlight w:val="none"/>
          <w14:textFill>
            <w14:solidFill>
              <w14:schemeClr w14:val="tx1"/>
            </w14:solidFill>
          </w14:textFill>
        </w:rPr>
      </w:pPr>
    </w:p>
    <w:p w14:paraId="1341CB9F">
      <w:pPr>
        <w:spacing w:line="276" w:lineRule="auto"/>
        <w:jc w:val="center"/>
        <w:rPr>
          <w:rFonts w:ascii="宋体"/>
          <w:b/>
          <w:color w:val="000000" w:themeColor="text1"/>
          <w:sz w:val="28"/>
          <w:szCs w:val="28"/>
          <w:highlight w:val="none"/>
          <w14:textFill>
            <w14:solidFill>
              <w14:schemeClr w14:val="tx1"/>
            </w14:solidFill>
          </w14:textFill>
        </w:rPr>
      </w:pPr>
    </w:p>
    <w:p w14:paraId="48FA1656">
      <w:pPr>
        <w:spacing w:line="276" w:lineRule="auto"/>
        <w:jc w:val="center"/>
        <w:rPr>
          <w:rFonts w:ascii="宋体"/>
          <w:b/>
          <w:color w:val="000000" w:themeColor="text1"/>
          <w:sz w:val="28"/>
          <w:szCs w:val="28"/>
          <w:highlight w:val="none"/>
          <w14:textFill>
            <w14:solidFill>
              <w14:schemeClr w14:val="tx1"/>
            </w14:solidFill>
          </w14:textFill>
        </w:rPr>
      </w:pPr>
    </w:p>
    <w:p w14:paraId="12CAD05C">
      <w:pPr>
        <w:spacing w:line="276" w:lineRule="auto"/>
        <w:jc w:val="center"/>
        <w:rPr>
          <w:rFonts w:ascii="宋体"/>
          <w:b/>
          <w:color w:val="000000" w:themeColor="text1"/>
          <w:sz w:val="20"/>
          <w:szCs w:val="20"/>
          <w:highlight w:val="none"/>
          <w14:textFill>
            <w14:solidFill>
              <w14:schemeClr w14:val="tx1"/>
            </w14:solidFill>
          </w14:textFill>
        </w:rPr>
      </w:pPr>
    </w:p>
    <w:p w14:paraId="59E8E0FE">
      <w:pPr>
        <w:spacing w:line="276" w:lineRule="auto"/>
        <w:rPr>
          <w:rFonts w:ascii="宋体"/>
          <w:b/>
          <w:color w:val="000000" w:themeColor="text1"/>
          <w:sz w:val="20"/>
          <w:szCs w:val="20"/>
          <w:highlight w:val="none"/>
          <w14:textFill>
            <w14:solidFill>
              <w14:schemeClr w14:val="tx1"/>
            </w14:solidFill>
          </w14:textFill>
        </w:rPr>
      </w:pPr>
    </w:p>
    <w:p w14:paraId="19AB8212">
      <w:pPr>
        <w:spacing w:line="276" w:lineRule="auto"/>
        <w:jc w:val="center"/>
        <w:rPr>
          <w:rFonts w:asci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竞选文件</w:t>
      </w:r>
    </w:p>
    <w:p w14:paraId="5F5E8BBF">
      <w:pPr>
        <w:spacing w:line="276" w:lineRule="auto"/>
        <w:rPr>
          <w:rFonts w:ascii="宋体"/>
          <w:color w:val="000000" w:themeColor="text1"/>
          <w:sz w:val="28"/>
          <w:szCs w:val="28"/>
          <w:highlight w:val="none"/>
          <w14:textFill>
            <w14:solidFill>
              <w14:schemeClr w14:val="tx1"/>
            </w14:solidFill>
          </w14:textFill>
        </w:rPr>
      </w:pPr>
    </w:p>
    <w:p w14:paraId="272C3955">
      <w:pPr>
        <w:spacing w:line="276" w:lineRule="auto"/>
        <w:rPr>
          <w:rFonts w:ascii="宋体"/>
          <w:color w:val="000000" w:themeColor="text1"/>
          <w:sz w:val="28"/>
          <w:szCs w:val="28"/>
          <w:highlight w:val="none"/>
          <w14:textFill>
            <w14:solidFill>
              <w14:schemeClr w14:val="tx1"/>
            </w14:solidFill>
          </w14:textFill>
        </w:rPr>
      </w:pPr>
    </w:p>
    <w:p w14:paraId="578430E0">
      <w:pPr>
        <w:spacing w:line="276" w:lineRule="auto"/>
        <w:rPr>
          <w:rFonts w:ascii="宋体"/>
          <w:color w:val="000000" w:themeColor="text1"/>
          <w:sz w:val="28"/>
          <w:szCs w:val="28"/>
          <w:highlight w:val="none"/>
          <w14:textFill>
            <w14:solidFill>
              <w14:schemeClr w14:val="tx1"/>
            </w14:solidFill>
          </w14:textFill>
        </w:rPr>
      </w:pPr>
    </w:p>
    <w:p w14:paraId="3FFA68ED">
      <w:pPr>
        <w:spacing w:line="276" w:lineRule="auto"/>
        <w:rPr>
          <w:rFonts w:ascii="宋体"/>
          <w:color w:val="000000" w:themeColor="text1"/>
          <w:sz w:val="28"/>
          <w:szCs w:val="28"/>
          <w:highlight w:val="none"/>
          <w14:textFill>
            <w14:solidFill>
              <w14:schemeClr w14:val="tx1"/>
            </w14:solidFill>
          </w14:textFill>
        </w:rPr>
      </w:pPr>
    </w:p>
    <w:p w14:paraId="70ADC7E9">
      <w:pPr>
        <w:spacing w:line="276" w:lineRule="auto"/>
        <w:rPr>
          <w:rFonts w:ascii="宋体"/>
          <w:color w:val="000000" w:themeColor="text1"/>
          <w:sz w:val="28"/>
          <w:szCs w:val="28"/>
          <w:highlight w:val="none"/>
          <w14:textFill>
            <w14:solidFill>
              <w14:schemeClr w14:val="tx1"/>
            </w14:solidFill>
          </w14:textFill>
        </w:rPr>
      </w:pPr>
    </w:p>
    <w:p w14:paraId="26C5CD26">
      <w:pPr>
        <w:spacing w:line="276" w:lineRule="auto"/>
        <w:rPr>
          <w:rFonts w:ascii="宋体"/>
          <w:color w:val="000000" w:themeColor="text1"/>
          <w:sz w:val="28"/>
          <w:szCs w:val="28"/>
          <w:highlight w:val="none"/>
          <w14:textFill>
            <w14:solidFill>
              <w14:schemeClr w14:val="tx1"/>
            </w14:solidFill>
          </w14:textFill>
        </w:rPr>
      </w:pPr>
    </w:p>
    <w:p w14:paraId="7A57113E">
      <w:pPr>
        <w:spacing w:line="276" w:lineRule="auto"/>
        <w:rPr>
          <w:rFonts w:ascii="宋体"/>
          <w:color w:val="000000" w:themeColor="text1"/>
          <w:sz w:val="28"/>
          <w:szCs w:val="28"/>
          <w:highlight w:val="none"/>
          <w14:textFill>
            <w14:solidFill>
              <w14:schemeClr w14:val="tx1"/>
            </w14:solidFill>
          </w14:textFill>
        </w:rPr>
      </w:pPr>
    </w:p>
    <w:p w14:paraId="137CD7AE">
      <w:pPr>
        <w:spacing w:line="276" w:lineRule="auto"/>
        <w:jc w:val="center"/>
        <w:rPr>
          <w:rFonts w:asci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竞选单位：</w:t>
      </w:r>
      <w:r>
        <w:rPr>
          <w:rFonts w:hint="eastAsia" w:ascii="宋体" w:hAnsi="宋体"/>
          <w:b/>
          <w:color w:val="000000" w:themeColor="text1"/>
          <w:sz w:val="28"/>
          <w:szCs w:val="28"/>
          <w:highlight w:val="none"/>
          <w:u w:val="single"/>
          <w14:textFill>
            <w14:solidFill>
              <w14:schemeClr w14:val="tx1"/>
            </w14:solidFill>
          </w14:textFill>
        </w:rPr>
        <w:t>（盖单位章）</w:t>
      </w:r>
    </w:p>
    <w:p w14:paraId="2C37C50A">
      <w:pPr>
        <w:spacing w:line="276" w:lineRule="auto"/>
        <w:jc w:val="center"/>
        <w:rPr>
          <w:rFonts w:asci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法定代表人或其委托代理人：</w:t>
      </w:r>
      <w:r>
        <w:rPr>
          <w:rFonts w:hint="eastAsia" w:ascii="宋体" w:hAnsi="宋体"/>
          <w:b/>
          <w:color w:val="000000" w:themeColor="text1"/>
          <w:sz w:val="28"/>
          <w:szCs w:val="28"/>
          <w:highlight w:val="none"/>
          <w:u w:val="single"/>
          <w14:textFill>
            <w14:solidFill>
              <w14:schemeClr w14:val="tx1"/>
            </w14:solidFill>
          </w14:textFill>
        </w:rPr>
        <w:t>（签字）</w:t>
      </w:r>
    </w:p>
    <w:p w14:paraId="3EB8048B">
      <w:pPr>
        <w:spacing w:line="276"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年  月  日</w:t>
      </w:r>
    </w:p>
    <w:p w14:paraId="251B61FD">
      <w:pPr>
        <w:pStyle w:val="2"/>
        <w:spacing w:line="276" w:lineRule="auto"/>
        <w:rPr>
          <w:color w:val="000000" w:themeColor="text1"/>
          <w:highlight w:val="none"/>
          <w14:textFill>
            <w14:solidFill>
              <w14:schemeClr w14:val="tx1"/>
            </w14:solidFill>
          </w14:textFill>
        </w:rPr>
      </w:pPr>
    </w:p>
    <w:p w14:paraId="02FA92FB">
      <w:pPr>
        <w:spacing w:line="276" w:lineRule="auto"/>
        <w:rPr>
          <w:color w:val="000000" w:themeColor="text1"/>
          <w:highlight w:val="none"/>
          <w14:textFill>
            <w14:solidFill>
              <w14:schemeClr w14:val="tx1"/>
            </w14:solidFill>
          </w14:textFill>
        </w:rPr>
      </w:pPr>
    </w:p>
    <w:p w14:paraId="2570FBB4">
      <w:pPr>
        <w:spacing w:line="276"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A57F437">
      <w:pPr>
        <w:spacing w:line="276" w:lineRule="auto"/>
        <w:jc w:val="center"/>
        <w:rPr>
          <w:rFonts w:ascii="宋体" w:hAnsi="宋体"/>
          <w:b/>
          <w:color w:val="000000" w:themeColor="text1"/>
          <w:sz w:val="24"/>
          <w:szCs w:val="28"/>
          <w:highlight w:val="none"/>
          <w14:textFill>
            <w14:solidFill>
              <w14:schemeClr w14:val="tx1"/>
            </w14:solidFill>
          </w14:textFill>
        </w:rPr>
      </w:pPr>
      <w:bookmarkStart w:id="2" w:name="_Toc152042576"/>
      <w:bookmarkStart w:id="3" w:name="_Toc238552299"/>
      <w:bookmarkStart w:id="4" w:name="_Toc6104"/>
      <w:bookmarkStart w:id="5" w:name="_Toc719"/>
      <w:bookmarkStart w:id="6" w:name="_Toc17153"/>
      <w:bookmarkStart w:id="7" w:name="_Toc426025453"/>
      <w:bookmarkStart w:id="8" w:name="_Toc405994632"/>
      <w:bookmarkStart w:id="9" w:name="_Toc144974856"/>
      <w:bookmarkStart w:id="10" w:name="_Toc18403"/>
      <w:bookmarkStart w:id="11" w:name="_Toc152045787"/>
      <w:bookmarkStart w:id="12" w:name="_Toc416769002"/>
      <w:bookmarkStart w:id="13" w:name="_Toc375734923"/>
      <w:bookmarkStart w:id="14" w:name="_Toc69073471"/>
      <w:bookmarkStart w:id="15" w:name="_Toc238797661"/>
      <w:r>
        <w:rPr>
          <w:rFonts w:hint="eastAsia" w:ascii="宋体" w:hAnsi="宋体"/>
          <w:b/>
          <w:color w:val="000000" w:themeColor="text1"/>
          <w:sz w:val="24"/>
          <w:szCs w:val="28"/>
          <w:highlight w:val="none"/>
          <w14:textFill>
            <w14:solidFill>
              <w14:schemeClr w14:val="tx1"/>
            </w14:solidFill>
          </w14:textFill>
        </w:rPr>
        <w:t>目录</w:t>
      </w:r>
      <w:bookmarkEnd w:id="2"/>
      <w:bookmarkEnd w:id="3"/>
      <w:bookmarkEnd w:id="4"/>
      <w:bookmarkEnd w:id="5"/>
      <w:bookmarkEnd w:id="6"/>
      <w:bookmarkEnd w:id="7"/>
      <w:bookmarkEnd w:id="8"/>
      <w:bookmarkEnd w:id="9"/>
      <w:bookmarkEnd w:id="10"/>
      <w:bookmarkEnd w:id="11"/>
      <w:bookmarkEnd w:id="12"/>
      <w:bookmarkEnd w:id="13"/>
      <w:bookmarkEnd w:id="14"/>
      <w:bookmarkEnd w:id="15"/>
    </w:p>
    <w:p w14:paraId="02AEB6B2">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p>
    <w:p w14:paraId="4D0B8053">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bookmarkStart w:id="16" w:name="_Toc144974857"/>
      <w:bookmarkStart w:id="17" w:name="_Toc238797662"/>
      <w:bookmarkStart w:id="18" w:name="_Toc238552300"/>
      <w:bookmarkStart w:id="19" w:name="_Toc152045788"/>
      <w:bookmarkStart w:id="20" w:name="_Toc152042577"/>
      <w:bookmarkStart w:id="21" w:name="_Toc416769003"/>
      <w:bookmarkStart w:id="22" w:name="_Toc405994633"/>
      <w:bookmarkStart w:id="23" w:name="_Toc426025454"/>
      <w:bookmarkStart w:id="24" w:name="_Toc1303"/>
      <w:bookmarkStart w:id="25" w:name="_Toc1313"/>
      <w:bookmarkStart w:id="26" w:name="_Toc375734924"/>
      <w:r>
        <w:rPr>
          <w:rFonts w:hint="eastAsia" w:asciiTheme="minorEastAsia" w:hAnsiTheme="minorEastAsia" w:eastAsiaTheme="minorEastAsia"/>
          <w:color w:val="000000" w:themeColor="text1"/>
          <w:kern w:val="0"/>
          <w:sz w:val="24"/>
          <w:highlight w:val="none"/>
          <w14:textFill>
            <w14:solidFill>
              <w14:schemeClr w14:val="tx1"/>
            </w14:solidFill>
          </w14:textFill>
        </w:rPr>
        <w:t>1.评审条款差异表（格式1）</w:t>
      </w:r>
    </w:p>
    <w:p w14:paraId="207AFD22">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2.竞选函（格式2）</w:t>
      </w:r>
    </w:p>
    <w:p w14:paraId="143E8257">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olor w:val="000000" w:themeColor="text1"/>
          <w:kern w:val="0"/>
          <w:sz w:val="24"/>
          <w:highlight w:val="none"/>
          <w14:textFill>
            <w14:solidFill>
              <w14:schemeClr w14:val="tx1"/>
            </w14:solidFill>
          </w14:textFill>
        </w:rPr>
        <w:t>.基本资格条件证明材料：</w:t>
      </w:r>
    </w:p>
    <w:p w14:paraId="36C77A8E">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①营业执照【提供复印件需加盖公章（原件备查）】</w:t>
      </w:r>
    </w:p>
    <w:p w14:paraId="323FF942">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②法定代表人身份证明【格式</w:t>
      </w:r>
      <w:r>
        <w:rPr>
          <w:rFonts w:asciiTheme="minorEastAsia" w:hAnsiTheme="minorEastAsia" w:eastAsia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olor w:val="000000" w:themeColor="text1"/>
          <w:kern w:val="0"/>
          <w:sz w:val="24"/>
          <w:highlight w:val="none"/>
          <w14:textFill>
            <w14:solidFill>
              <w14:schemeClr w14:val="tx1"/>
            </w14:solidFill>
          </w14:textFill>
        </w:rPr>
        <w:t>，自然人无需提供】</w:t>
      </w:r>
    </w:p>
    <w:p w14:paraId="2A795FE5">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③法定代表人授权委托书【格式4，自然人、法人本人到场的无需提供】</w:t>
      </w:r>
    </w:p>
    <w:p w14:paraId="5ED69FDA">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4</w:t>
      </w:r>
      <w:r>
        <w:rPr>
          <w:rFonts w:hint="eastAsia" w:asciiTheme="minorEastAsia" w:hAnsiTheme="minorEastAsia" w:eastAsiaTheme="minorEastAsia"/>
          <w:color w:val="000000" w:themeColor="text1"/>
          <w:kern w:val="0"/>
          <w:sz w:val="24"/>
          <w:highlight w:val="none"/>
          <w14:textFill>
            <w14:solidFill>
              <w14:schemeClr w14:val="tx1"/>
            </w14:solidFill>
          </w14:textFill>
        </w:rPr>
        <w:t>.特定资格条件证明材料【要求详见采购文件6竞选单位资格条件（二），格式自拟】</w:t>
      </w:r>
    </w:p>
    <w:p w14:paraId="6209E70D">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5</w:t>
      </w:r>
      <w:r>
        <w:rPr>
          <w:rFonts w:hint="eastAsia" w:asciiTheme="minorEastAsia" w:hAnsiTheme="minorEastAsia" w:eastAsiaTheme="minorEastAsia"/>
          <w:color w:val="000000" w:themeColor="text1"/>
          <w:kern w:val="0"/>
          <w:sz w:val="24"/>
          <w:highlight w:val="none"/>
          <w14:textFill>
            <w14:solidFill>
              <w14:schemeClr w14:val="tx1"/>
            </w14:solidFill>
          </w14:textFill>
        </w:rPr>
        <w:t>.承诺书（格式5）</w:t>
      </w:r>
    </w:p>
    <w:p w14:paraId="686D8224">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6</w:t>
      </w:r>
      <w:r>
        <w:rPr>
          <w:rFonts w:asciiTheme="minorEastAsia" w:hAnsiTheme="minorEastAsia" w:eastAsia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olor w:val="000000" w:themeColor="text1"/>
          <w:kern w:val="0"/>
          <w:sz w:val="24"/>
          <w:highlight w:val="none"/>
          <w14:textFill>
            <w14:solidFill>
              <w14:schemeClr w14:val="tx1"/>
            </w14:solidFill>
          </w14:textFill>
        </w:rPr>
        <w:t>货物、产品或设备要求响应资料【要求详见采购文件3货物、产品或设备要求，格式自拟】</w:t>
      </w:r>
    </w:p>
    <w:p w14:paraId="611D3F1A">
      <w:pPr>
        <w:spacing w:line="276" w:lineRule="auto"/>
        <w:rPr>
          <w:rFonts w:ascii="宋体" w:hAnsi="宋体"/>
          <w:b/>
          <w:color w:val="000000" w:themeColor="text1"/>
          <w:sz w:val="28"/>
          <w:szCs w:val="40"/>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7</w:t>
      </w:r>
      <w:r>
        <w:rPr>
          <w:rFonts w:hint="eastAsia" w:asciiTheme="minorEastAsia" w:hAnsiTheme="minorEastAsia" w:eastAsiaTheme="minorEastAsia"/>
          <w:color w:val="000000" w:themeColor="text1"/>
          <w:kern w:val="0"/>
          <w:sz w:val="24"/>
          <w:highlight w:val="none"/>
          <w14:textFill>
            <w14:solidFill>
              <w14:schemeClr w14:val="tx1"/>
            </w14:solidFill>
          </w14:textFill>
        </w:rPr>
        <w:t>.其他商务、技术等证明材料【根据评分办法自行编制，格式自拟】</w:t>
      </w:r>
    </w:p>
    <w:p w14:paraId="7A614F1C">
      <w:pPr>
        <w:spacing w:line="276" w:lineRule="auto"/>
        <w:rPr>
          <w:rFonts w:ascii="宋体" w:hAnsi="宋体"/>
          <w:b/>
          <w:color w:val="000000" w:themeColor="text1"/>
          <w:sz w:val="28"/>
          <w:szCs w:val="40"/>
          <w:highlight w:val="none"/>
          <w14:textFill>
            <w14:solidFill>
              <w14:schemeClr w14:val="tx1"/>
            </w14:solidFill>
          </w14:textFill>
        </w:rPr>
      </w:pPr>
    </w:p>
    <w:p w14:paraId="3AF8725E">
      <w:pPr>
        <w:spacing w:line="276" w:lineRule="auto"/>
        <w:rPr>
          <w:rFonts w:ascii="宋体" w:hAnsi="宋体"/>
          <w:b/>
          <w:color w:val="000000" w:themeColor="text1"/>
          <w:sz w:val="28"/>
          <w:szCs w:val="40"/>
          <w:highlight w:val="none"/>
          <w14:textFill>
            <w14:solidFill>
              <w14:schemeClr w14:val="tx1"/>
            </w14:solidFill>
          </w14:textFill>
        </w:rPr>
      </w:pPr>
    </w:p>
    <w:p w14:paraId="10F9C341">
      <w:pPr>
        <w:spacing w:line="276" w:lineRule="auto"/>
        <w:rPr>
          <w:rFonts w:ascii="宋体" w:hAnsi="宋体"/>
          <w:b/>
          <w:color w:val="000000" w:themeColor="text1"/>
          <w:sz w:val="28"/>
          <w:szCs w:val="40"/>
          <w:highlight w:val="none"/>
          <w14:textFill>
            <w14:solidFill>
              <w14:schemeClr w14:val="tx1"/>
            </w14:solidFill>
          </w14:textFill>
        </w:rPr>
      </w:pPr>
    </w:p>
    <w:p w14:paraId="7E5B6626">
      <w:pPr>
        <w:spacing w:line="276" w:lineRule="auto"/>
        <w:rPr>
          <w:rFonts w:ascii="宋体" w:hAnsi="宋体"/>
          <w:b/>
          <w:color w:val="000000" w:themeColor="text1"/>
          <w:sz w:val="28"/>
          <w:szCs w:val="40"/>
          <w:highlight w:val="none"/>
          <w14:textFill>
            <w14:solidFill>
              <w14:schemeClr w14:val="tx1"/>
            </w14:solidFill>
          </w14:textFill>
        </w:rPr>
      </w:pPr>
    </w:p>
    <w:p w14:paraId="35DB94AD">
      <w:pPr>
        <w:spacing w:line="276" w:lineRule="auto"/>
        <w:rPr>
          <w:rFonts w:ascii="宋体" w:hAnsi="宋体"/>
          <w:b/>
          <w:color w:val="000000" w:themeColor="text1"/>
          <w:sz w:val="28"/>
          <w:szCs w:val="40"/>
          <w:highlight w:val="none"/>
          <w14:textFill>
            <w14:solidFill>
              <w14:schemeClr w14:val="tx1"/>
            </w14:solidFill>
          </w14:textFill>
        </w:rPr>
      </w:pPr>
    </w:p>
    <w:p w14:paraId="7813826F">
      <w:pPr>
        <w:spacing w:line="276" w:lineRule="auto"/>
        <w:rPr>
          <w:rFonts w:ascii="宋体" w:hAnsi="宋体"/>
          <w:b/>
          <w:color w:val="000000" w:themeColor="text1"/>
          <w:sz w:val="28"/>
          <w:szCs w:val="40"/>
          <w:highlight w:val="none"/>
          <w14:textFill>
            <w14:solidFill>
              <w14:schemeClr w14:val="tx1"/>
            </w14:solidFill>
          </w14:textFill>
        </w:rPr>
      </w:pPr>
    </w:p>
    <w:p w14:paraId="6E5CEE55">
      <w:pPr>
        <w:spacing w:line="276" w:lineRule="auto"/>
        <w:rPr>
          <w:rFonts w:ascii="宋体" w:hAnsi="宋体"/>
          <w:b/>
          <w:color w:val="000000" w:themeColor="text1"/>
          <w:sz w:val="28"/>
          <w:szCs w:val="40"/>
          <w:highlight w:val="none"/>
          <w14:textFill>
            <w14:solidFill>
              <w14:schemeClr w14:val="tx1"/>
            </w14:solidFill>
          </w14:textFill>
        </w:rPr>
      </w:pPr>
    </w:p>
    <w:p w14:paraId="69306D25">
      <w:pPr>
        <w:spacing w:line="276" w:lineRule="auto"/>
        <w:rPr>
          <w:rFonts w:ascii="宋体" w:hAnsi="宋体"/>
          <w:b/>
          <w:color w:val="000000" w:themeColor="text1"/>
          <w:sz w:val="28"/>
          <w:szCs w:val="40"/>
          <w:highlight w:val="none"/>
          <w14:textFill>
            <w14:solidFill>
              <w14:schemeClr w14:val="tx1"/>
            </w14:solidFill>
          </w14:textFill>
        </w:rPr>
      </w:pPr>
    </w:p>
    <w:p w14:paraId="73BCD04C">
      <w:pPr>
        <w:spacing w:line="276" w:lineRule="auto"/>
        <w:rPr>
          <w:rFonts w:ascii="宋体" w:hAnsi="宋体"/>
          <w:b/>
          <w:color w:val="000000" w:themeColor="text1"/>
          <w:sz w:val="28"/>
          <w:szCs w:val="40"/>
          <w:highlight w:val="none"/>
          <w14:textFill>
            <w14:solidFill>
              <w14:schemeClr w14:val="tx1"/>
            </w14:solidFill>
          </w14:textFill>
        </w:rPr>
      </w:pPr>
    </w:p>
    <w:p w14:paraId="689A1C22">
      <w:pPr>
        <w:spacing w:line="276" w:lineRule="auto"/>
        <w:rPr>
          <w:rFonts w:ascii="宋体" w:hAnsi="宋体"/>
          <w:b/>
          <w:color w:val="000000" w:themeColor="text1"/>
          <w:sz w:val="28"/>
          <w:szCs w:val="40"/>
          <w:highlight w:val="none"/>
          <w14:textFill>
            <w14:solidFill>
              <w14:schemeClr w14:val="tx1"/>
            </w14:solidFill>
          </w14:textFill>
        </w:rPr>
      </w:pPr>
    </w:p>
    <w:p w14:paraId="552CA8DD">
      <w:pPr>
        <w:spacing w:line="276" w:lineRule="auto"/>
        <w:rPr>
          <w:rFonts w:ascii="宋体" w:hAnsi="宋体"/>
          <w:b/>
          <w:color w:val="000000" w:themeColor="text1"/>
          <w:sz w:val="28"/>
          <w:szCs w:val="40"/>
          <w:highlight w:val="none"/>
          <w14:textFill>
            <w14:solidFill>
              <w14:schemeClr w14:val="tx1"/>
            </w14:solidFill>
          </w14:textFill>
        </w:rPr>
      </w:pPr>
    </w:p>
    <w:p w14:paraId="07EB0C74">
      <w:pPr>
        <w:spacing w:line="276" w:lineRule="auto"/>
        <w:rPr>
          <w:rFonts w:ascii="宋体" w:hAnsi="宋体"/>
          <w:b/>
          <w:color w:val="000000" w:themeColor="text1"/>
          <w:sz w:val="28"/>
          <w:szCs w:val="40"/>
          <w:highlight w:val="none"/>
          <w14:textFill>
            <w14:solidFill>
              <w14:schemeClr w14:val="tx1"/>
            </w14:solidFill>
          </w14:textFill>
        </w:rPr>
      </w:pPr>
    </w:p>
    <w:p w14:paraId="5F32AA85">
      <w:pPr>
        <w:spacing w:line="276" w:lineRule="auto"/>
        <w:rPr>
          <w:rFonts w:ascii="宋体" w:hAnsi="宋体"/>
          <w:b/>
          <w:color w:val="000000" w:themeColor="text1"/>
          <w:sz w:val="28"/>
          <w:szCs w:val="40"/>
          <w:highlight w:val="none"/>
          <w14:textFill>
            <w14:solidFill>
              <w14:schemeClr w14:val="tx1"/>
            </w14:solidFill>
          </w14:textFill>
        </w:rPr>
      </w:pPr>
    </w:p>
    <w:p w14:paraId="420F1C64">
      <w:pPr>
        <w:pStyle w:val="2"/>
        <w:spacing w:line="276" w:lineRule="auto"/>
        <w:rPr>
          <w:color w:val="000000" w:themeColor="text1"/>
          <w:highlight w:val="none"/>
          <w14:textFill>
            <w14:solidFill>
              <w14:schemeClr w14:val="tx1"/>
            </w14:solidFill>
          </w14:textFill>
        </w:rPr>
      </w:pPr>
    </w:p>
    <w:p w14:paraId="6A6BDC26">
      <w:pPr>
        <w:rPr>
          <w:color w:val="000000" w:themeColor="text1"/>
          <w:highlight w:val="none"/>
          <w14:textFill>
            <w14:solidFill>
              <w14:schemeClr w14:val="tx1"/>
            </w14:solidFill>
          </w14:textFill>
        </w:rPr>
      </w:pPr>
    </w:p>
    <w:p w14:paraId="65EC3222">
      <w:pPr>
        <w:pStyle w:val="2"/>
        <w:spacing w:line="276" w:lineRule="auto"/>
        <w:rPr>
          <w:color w:val="000000" w:themeColor="text1"/>
          <w:highlight w:val="none"/>
          <w14:textFill>
            <w14:solidFill>
              <w14:schemeClr w14:val="tx1"/>
            </w14:solidFill>
          </w14:textFill>
        </w:rPr>
      </w:pPr>
    </w:p>
    <w:p w14:paraId="15B6E316">
      <w:pPr>
        <w:rPr>
          <w:color w:val="000000" w:themeColor="text1"/>
          <w:highlight w:val="none"/>
          <w14:textFill>
            <w14:solidFill>
              <w14:schemeClr w14:val="tx1"/>
            </w14:solidFill>
          </w14:textFill>
        </w:rPr>
      </w:pPr>
    </w:p>
    <w:p w14:paraId="4EEE2613">
      <w:pPr>
        <w:spacing w:line="276"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（格式1）</w:t>
      </w:r>
    </w:p>
    <w:p w14:paraId="77802D87">
      <w:pPr>
        <w:snapToGrid w:val="0"/>
        <w:spacing w:line="276" w:lineRule="auto"/>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评审条款差异表</w:t>
      </w:r>
    </w:p>
    <w:p w14:paraId="137A6CEC">
      <w:pPr>
        <w:snapToGrid w:val="0"/>
        <w:spacing w:line="276" w:lineRule="auto"/>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采购项目名称：</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0C9A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02A7D153">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372" w:type="dxa"/>
            <w:vAlign w:val="center"/>
          </w:tcPr>
          <w:p w14:paraId="384725B1">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评审要求</w:t>
            </w:r>
          </w:p>
        </w:tc>
        <w:tc>
          <w:tcPr>
            <w:tcW w:w="3038" w:type="dxa"/>
            <w:vAlign w:val="center"/>
          </w:tcPr>
          <w:p w14:paraId="7FC021D0">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竞选应答</w:t>
            </w:r>
          </w:p>
        </w:tc>
        <w:tc>
          <w:tcPr>
            <w:tcW w:w="1467" w:type="dxa"/>
            <w:vAlign w:val="center"/>
          </w:tcPr>
          <w:p w14:paraId="4C3A37CE">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偏离情况</w:t>
            </w:r>
          </w:p>
        </w:tc>
        <w:tc>
          <w:tcPr>
            <w:tcW w:w="1646" w:type="dxa"/>
            <w:vAlign w:val="center"/>
          </w:tcPr>
          <w:p w14:paraId="1E5A60FE">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lang w:val="zh-TW" w:eastAsia="zh-TW"/>
                <w14:textFill>
                  <w14:solidFill>
                    <w14:schemeClr w14:val="tx1"/>
                  </w14:solidFill>
                </w14:textFill>
              </w:rPr>
              <w:t>佐证材料对应文件页码</w:t>
            </w:r>
          </w:p>
        </w:tc>
      </w:tr>
      <w:tr w14:paraId="1DCE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1232CD6">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1</w:t>
            </w:r>
          </w:p>
        </w:tc>
        <w:tc>
          <w:tcPr>
            <w:tcW w:w="2372" w:type="dxa"/>
            <w:vAlign w:val="center"/>
          </w:tcPr>
          <w:p w14:paraId="441C3B8B">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示例：货物、产品或设备要求</w:t>
            </w:r>
          </w:p>
        </w:tc>
        <w:tc>
          <w:tcPr>
            <w:tcW w:w="3038" w:type="dxa"/>
            <w:vAlign w:val="center"/>
          </w:tcPr>
          <w:p w14:paraId="50DC0CB9">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产品满足</w:t>
            </w:r>
            <w:r>
              <w:rPr>
                <w:rFonts w:ascii="宋体" w:hAnsi="宋体" w:cs="宋体"/>
                <w:i/>
                <w:color w:val="000000" w:themeColor="text1"/>
                <w:szCs w:val="21"/>
                <w:highlight w:val="none"/>
                <w14:textFill>
                  <w14:solidFill>
                    <w14:schemeClr w14:val="tx1"/>
                  </w14:solidFill>
                </w14:textFill>
              </w:rPr>
              <w:t>…</w:t>
            </w:r>
            <w:r>
              <w:rPr>
                <w:rFonts w:hint="eastAsia" w:ascii="宋体" w:hAnsi="宋体" w:cs="宋体"/>
                <w:i/>
                <w:color w:val="000000" w:themeColor="text1"/>
                <w:szCs w:val="21"/>
                <w:highlight w:val="none"/>
                <w14:textFill>
                  <w14:solidFill>
                    <w14:schemeClr w14:val="tx1"/>
                  </w14:solidFill>
                </w14:textFill>
              </w:rPr>
              <w:t>要求，供货（安装）时间</w:t>
            </w:r>
            <w:r>
              <w:rPr>
                <w:rFonts w:ascii="宋体" w:hAnsi="宋体" w:cs="宋体"/>
                <w:i/>
                <w:color w:val="000000" w:themeColor="text1"/>
                <w:szCs w:val="21"/>
                <w:highlight w:val="none"/>
                <w14:textFill>
                  <w14:solidFill>
                    <w14:schemeClr w14:val="tx1"/>
                  </w14:solidFill>
                </w14:textFill>
              </w:rPr>
              <w:t>…</w:t>
            </w:r>
            <w:r>
              <w:rPr>
                <w:rFonts w:hint="eastAsia" w:ascii="宋体" w:hAnsi="宋体" w:cs="宋体"/>
                <w:i/>
                <w:color w:val="000000" w:themeColor="text1"/>
                <w:szCs w:val="21"/>
                <w:highlight w:val="none"/>
                <w14:textFill>
                  <w14:solidFill>
                    <w14:schemeClr w14:val="tx1"/>
                  </w14:solidFill>
                </w14:textFill>
              </w:rPr>
              <w:t>日历天</w:t>
            </w:r>
            <w:r>
              <w:rPr>
                <w:rFonts w:ascii="宋体" w:hAnsi="宋体" w:cs="宋体"/>
                <w:i/>
                <w:color w:val="000000" w:themeColor="text1"/>
                <w:szCs w:val="21"/>
                <w:highlight w:val="none"/>
                <w14:textFill>
                  <w14:solidFill>
                    <w14:schemeClr w14:val="tx1"/>
                  </w14:solidFill>
                </w14:textFill>
              </w:rPr>
              <w:t>…</w:t>
            </w:r>
          </w:p>
        </w:tc>
        <w:tc>
          <w:tcPr>
            <w:tcW w:w="1467" w:type="dxa"/>
            <w:vAlign w:val="center"/>
          </w:tcPr>
          <w:p w14:paraId="162EEC2E">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无偏离</w:t>
            </w:r>
          </w:p>
        </w:tc>
        <w:tc>
          <w:tcPr>
            <w:tcW w:w="1646" w:type="dxa"/>
            <w:vAlign w:val="center"/>
          </w:tcPr>
          <w:p w14:paraId="7D7D2DB4">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2-3页</w:t>
            </w:r>
          </w:p>
        </w:tc>
      </w:tr>
      <w:tr w14:paraId="212D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7262283">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2</w:t>
            </w:r>
          </w:p>
        </w:tc>
        <w:tc>
          <w:tcPr>
            <w:tcW w:w="2372" w:type="dxa"/>
          </w:tcPr>
          <w:p w14:paraId="2BE20C25">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基本资格条件1、营业执照</w:t>
            </w:r>
          </w:p>
        </w:tc>
        <w:tc>
          <w:tcPr>
            <w:tcW w:w="3038" w:type="dxa"/>
          </w:tcPr>
          <w:p w14:paraId="1A245643">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满足采购文件要求</w:t>
            </w:r>
          </w:p>
        </w:tc>
        <w:tc>
          <w:tcPr>
            <w:tcW w:w="1467" w:type="dxa"/>
          </w:tcPr>
          <w:p w14:paraId="67233AD4">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无偏离</w:t>
            </w:r>
          </w:p>
        </w:tc>
        <w:tc>
          <w:tcPr>
            <w:tcW w:w="1646" w:type="dxa"/>
          </w:tcPr>
          <w:p w14:paraId="5EC7F450">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7页</w:t>
            </w:r>
          </w:p>
        </w:tc>
      </w:tr>
      <w:tr w14:paraId="2E8C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4F81671">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3</w:t>
            </w:r>
          </w:p>
        </w:tc>
        <w:tc>
          <w:tcPr>
            <w:tcW w:w="2372" w:type="dxa"/>
          </w:tcPr>
          <w:p w14:paraId="03A50A7D">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基本资格条件2、法定代表人授权委托书</w:t>
            </w:r>
          </w:p>
        </w:tc>
        <w:tc>
          <w:tcPr>
            <w:tcW w:w="3038" w:type="dxa"/>
          </w:tcPr>
          <w:p w14:paraId="240EE795">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满足采购文件要求</w:t>
            </w:r>
          </w:p>
        </w:tc>
        <w:tc>
          <w:tcPr>
            <w:tcW w:w="1467" w:type="dxa"/>
          </w:tcPr>
          <w:p w14:paraId="0723C89B">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无偏离</w:t>
            </w:r>
          </w:p>
        </w:tc>
        <w:tc>
          <w:tcPr>
            <w:tcW w:w="1646" w:type="dxa"/>
          </w:tcPr>
          <w:p w14:paraId="1828ADBF">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8页</w:t>
            </w:r>
          </w:p>
        </w:tc>
      </w:tr>
      <w:tr w14:paraId="44C8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F4535EC">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4</w:t>
            </w:r>
          </w:p>
        </w:tc>
        <w:tc>
          <w:tcPr>
            <w:tcW w:w="2372" w:type="dxa"/>
          </w:tcPr>
          <w:p w14:paraId="6305AEE0">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特定资格条件1、具有..资质</w:t>
            </w:r>
          </w:p>
        </w:tc>
        <w:tc>
          <w:tcPr>
            <w:tcW w:w="3038" w:type="dxa"/>
          </w:tcPr>
          <w:p w14:paraId="19627B6A">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满足采购文件要求</w:t>
            </w:r>
          </w:p>
        </w:tc>
        <w:tc>
          <w:tcPr>
            <w:tcW w:w="1467" w:type="dxa"/>
          </w:tcPr>
          <w:p w14:paraId="19DFE5E2">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无偏离</w:t>
            </w:r>
          </w:p>
        </w:tc>
        <w:tc>
          <w:tcPr>
            <w:tcW w:w="1646" w:type="dxa"/>
          </w:tcPr>
          <w:p w14:paraId="343A8B1A">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10-11页</w:t>
            </w:r>
          </w:p>
        </w:tc>
      </w:tr>
      <w:tr w14:paraId="5106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73938AB6">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5</w:t>
            </w:r>
          </w:p>
        </w:tc>
        <w:tc>
          <w:tcPr>
            <w:tcW w:w="2372" w:type="dxa"/>
          </w:tcPr>
          <w:p w14:paraId="5F62A0D3">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费用报价方式</w:t>
            </w:r>
          </w:p>
        </w:tc>
        <w:tc>
          <w:tcPr>
            <w:tcW w:w="3038" w:type="dxa"/>
          </w:tcPr>
          <w:p w14:paraId="3B15D46B">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满足采购文件要求</w:t>
            </w:r>
          </w:p>
        </w:tc>
        <w:tc>
          <w:tcPr>
            <w:tcW w:w="1467" w:type="dxa"/>
          </w:tcPr>
          <w:p w14:paraId="417963A4">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无偏离</w:t>
            </w:r>
          </w:p>
        </w:tc>
        <w:tc>
          <w:tcPr>
            <w:tcW w:w="1646" w:type="dxa"/>
          </w:tcPr>
          <w:p w14:paraId="38F383D2">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6页</w:t>
            </w:r>
          </w:p>
        </w:tc>
      </w:tr>
      <w:tr w14:paraId="7310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A71DB8E">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6</w:t>
            </w:r>
          </w:p>
        </w:tc>
        <w:tc>
          <w:tcPr>
            <w:tcW w:w="2372" w:type="dxa"/>
            <w:vAlign w:val="center"/>
          </w:tcPr>
          <w:p w14:paraId="0829FBBD">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c>
          <w:tcPr>
            <w:tcW w:w="3038" w:type="dxa"/>
            <w:vAlign w:val="center"/>
          </w:tcPr>
          <w:p w14:paraId="3048CF7A">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c>
          <w:tcPr>
            <w:tcW w:w="1467" w:type="dxa"/>
            <w:vAlign w:val="center"/>
          </w:tcPr>
          <w:p w14:paraId="21075820">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c>
          <w:tcPr>
            <w:tcW w:w="1646" w:type="dxa"/>
            <w:vAlign w:val="center"/>
          </w:tcPr>
          <w:p w14:paraId="049510D0">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r>
      <w:tr w14:paraId="286F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A46CBCC">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23FABE8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65CEA087">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26E2A937">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33F5E94C">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14:paraId="351B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5150D2C">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26DE710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6261A98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5F7E73A5">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7F27B6A1">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14:paraId="0161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75C4F85">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0892D244">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590A4F6A">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2D6DBDE3">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65019FA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14:paraId="6AFC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93A6439">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2AA92E71">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30568F81">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1F5D114D">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13DB50BA">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14:paraId="6534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4ED5906A">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14:paraId="4A3B8A8D">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14:paraId="34BD8E66">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14:paraId="5E48B83B">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14:paraId="75980243">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bl>
    <w:p w14:paraId="2F6AB467">
      <w:pPr>
        <w:tabs>
          <w:tab w:val="left" w:pos="6300"/>
        </w:tabs>
        <w:snapToGrid w:val="0"/>
        <w:spacing w:line="276" w:lineRule="auto"/>
        <w:ind w:firstLine="57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w:t>
      </w:r>
    </w:p>
    <w:p w14:paraId="0EE02682">
      <w:pPr>
        <w:tabs>
          <w:tab w:val="left" w:pos="6300"/>
        </w:tabs>
        <w:snapToGrid w:val="0"/>
        <w:spacing w:line="276" w:lineRule="auto"/>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 xml:space="preserve"> 本表即为对本项目“第12条评分办法”中所列条款进行比较和响应。（请按照评分办法依次罗列，将影响到各竞选单位得分，请尽量详尽）</w:t>
      </w:r>
    </w:p>
    <w:p w14:paraId="12DEEC41">
      <w:pPr>
        <w:tabs>
          <w:tab w:val="left" w:pos="6300"/>
        </w:tabs>
        <w:snapToGrid w:val="0"/>
        <w:spacing w:line="276" w:lineRule="auto"/>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2.本表可扩展。相关条款支撑材料应附本表后。（无特殊要求的部分格式自定）</w:t>
      </w:r>
    </w:p>
    <w:p w14:paraId="65B8437C">
      <w:pPr>
        <w:tabs>
          <w:tab w:val="left" w:pos="6300"/>
        </w:tabs>
        <w:snapToGrid w:val="0"/>
        <w:spacing w:line="276" w:lineRule="auto"/>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3.竞选应答栏中应当注明响应具体内容。表中必须标注具体内容在竞选文件中的位置（页码）。</w:t>
      </w:r>
    </w:p>
    <w:p w14:paraId="4F1A3044">
      <w:pPr>
        <w:keepNext/>
        <w:keepLines/>
        <w:adjustRightInd w:val="0"/>
        <w:snapToGrid w:val="0"/>
        <w:spacing w:line="276"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4.偏离情况请填写“无偏离”、“正偏离”或“负偏离”。</w:t>
      </w:r>
    </w:p>
    <w:p w14:paraId="54B13DA9">
      <w:pPr>
        <w:tabs>
          <w:tab w:val="left" w:pos="6300"/>
        </w:tabs>
        <w:snapToGrid w:val="0"/>
        <w:spacing w:line="276" w:lineRule="auto"/>
        <w:ind w:firstLine="570"/>
        <w:jc w:val="left"/>
        <w:rPr>
          <w:rFonts w:ascii="宋体" w:hAnsi="宋体" w:cs="宋体"/>
          <w:color w:val="000000" w:themeColor="text1"/>
          <w:sz w:val="24"/>
          <w:szCs w:val="20"/>
          <w:highlight w:val="none"/>
          <w14:textFill>
            <w14:solidFill>
              <w14:schemeClr w14:val="tx1"/>
            </w14:solidFill>
          </w14:textFill>
        </w:rPr>
      </w:pPr>
    </w:p>
    <w:p w14:paraId="1DCB42B1">
      <w:pPr>
        <w:spacing w:line="276" w:lineRule="auto"/>
        <w:rPr>
          <w:rFonts w:ascii="黑体" w:eastAsia="黑体"/>
          <w:color w:val="000000" w:themeColor="text1"/>
          <w:sz w:val="24"/>
          <w:highlight w:val="none"/>
          <w14:textFill>
            <w14:solidFill>
              <w14:schemeClr w14:val="tx1"/>
            </w14:solidFill>
          </w14:textFill>
        </w:rPr>
      </w:pPr>
    </w:p>
    <w:p w14:paraId="4B29EBE1">
      <w:pPr>
        <w:spacing w:line="276" w:lineRule="auto"/>
        <w:rPr>
          <w:rFonts w:ascii="黑体" w:eastAsia="黑体"/>
          <w:color w:val="000000" w:themeColor="text1"/>
          <w:sz w:val="24"/>
          <w:highlight w:val="none"/>
          <w14:textFill>
            <w14:solidFill>
              <w14:schemeClr w14:val="tx1"/>
            </w14:solidFill>
          </w14:textFill>
        </w:rPr>
      </w:pPr>
    </w:p>
    <w:p w14:paraId="73F86B41">
      <w:pPr>
        <w:pStyle w:val="2"/>
        <w:spacing w:line="276" w:lineRule="auto"/>
        <w:rPr>
          <w:color w:val="000000" w:themeColor="text1"/>
          <w:highlight w:val="none"/>
          <w14:textFill>
            <w14:solidFill>
              <w14:schemeClr w14:val="tx1"/>
            </w14:solidFill>
          </w14:textFill>
        </w:rPr>
      </w:pPr>
    </w:p>
    <w:p w14:paraId="54B49DD3">
      <w:pPr>
        <w:pStyle w:val="2"/>
        <w:spacing w:line="276"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DD0C5C2">
      <w:pPr>
        <w:pStyle w:val="2"/>
        <w:spacing w:line="276" w:lineRule="auto"/>
        <w:rPr>
          <w:color w:val="000000" w:themeColor="text1"/>
          <w:highlight w:val="none"/>
          <w14:textFill>
            <w14:solidFill>
              <w14:schemeClr w14:val="tx1"/>
            </w14:solidFill>
          </w14:textFill>
        </w:rPr>
      </w:pPr>
    </w:p>
    <w:p w14:paraId="290A1476">
      <w:pPr>
        <w:spacing w:line="276"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（格式</w:t>
      </w:r>
      <w:r>
        <w:rPr>
          <w:rFonts w:hint="eastAsia"/>
          <w:b/>
          <w:color w:val="000000" w:themeColor="text1"/>
          <w:sz w:val="24"/>
          <w:highlight w:val="none"/>
          <w14:textFill>
            <w14:solidFill>
              <w14:schemeClr w14:val="tx1"/>
            </w14:solidFill>
          </w14:textFill>
        </w:rPr>
        <w:t>2</w:t>
      </w:r>
      <w:r>
        <w:rPr>
          <w:b/>
          <w:color w:val="000000" w:themeColor="text1"/>
          <w:sz w:val="24"/>
          <w:highlight w:val="none"/>
          <w14:textFill>
            <w14:solidFill>
              <w14:schemeClr w14:val="tx1"/>
            </w14:solidFill>
          </w14:textFill>
        </w:rPr>
        <w:t>）</w:t>
      </w:r>
    </w:p>
    <w:p w14:paraId="01A2FEC3">
      <w:pPr>
        <w:spacing w:line="276" w:lineRule="auto"/>
        <w:rPr>
          <w:rFonts w:ascii="黑体" w:eastAsia="黑体"/>
          <w:color w:val="000000" w:themeColor="text1"/>
          <w:sz w:val="24"/>
          <w:highlight w:val="none"/>
          <w14:textFill>
            <w14:solidFill>
              <w14:schemeClr w14:val="tx1"/>
            </w14:solidFill>
          </w14:textFill>
        </w:rPr>
      </w:pPr>
    </w:p>
    <w:p w14:paraId="0C5D563B">
      <w:pPr>
        <w:spacing w:line="276" w:lineRule="auto"/>
        <w:jc w:val="center"/>
        <w:rPr>
          <w:rFonts w:ascii="黑体" w:hAnsi="黑体" w:eastAsia="黑体" w:cs="黑体"/>
          <w:color w:val="000000" w:themeColor="text1"/>
          <w:sz w:val="44"/>
          <w:szCs w:val="44"/>
          <w:highlight w:val="none"/>
          <w14:textFill>
            <w14:solidFill>
              <w14:schemeClr w14:val="tx1"/>
            </w14:solidFill>
          </w14:textFill>
        </w:rPr>
      </w:pPr>
    </w:p>
    <w:p w14:paraId="57263D71">
      <w:pPr>
        <w:spacing w:line="276" w:lineRule="auto"/>
        <w:jc w:val="center"/>
        <w:rPr>
          <w:rFonts w:ascii="黑体" w:hAnsi="黑体" w:eastAsia="黑体" w:cs="黑体"/>
          <w:color w:val="000000" w:themeColor="text1"/>
          <w:sz w:val="44"/>
          <w:szCs w:val="44"/>
          <w:highlight w:val="none"/>
          <w14:textFill>
            <w14:solidFill>
              <w14:schemeClr w14:val="tx1"/>
            </w14:solidFill>
          </w14:textFill>
        </w:rPr>
      </w:pPr>
      <w:r>
        <w:rPr>
          <w:rFonts w:hint="eastAsia" w:ascii="黑体" w:hAnsi="黑体" w:eastAsia="黑体" w:cs="黑体"/>
          <w:color w:val="000000" w:themeColor="text1"/>
          <w:sz w:val="44"/>
          <w:szCs w:val="44"/>
          <w:highlight w:val="none"/>
          <w14:textFill>
            <w14:solidFill>
              <w14:schemeClr w14:val="tx1"/>
            </w14:solidFill>
          </w14:textFill>
        </w:rPr>
        <w:t>竞选函（格式）</w:t>
      </w:r>
    </w:p>
    <w:p w14:paraId="49C056B4">
      <w:pPr>
        <w:spacing w:line="276" w:lineRule="auto"/>
        <w:rPr>
          <w:rFonts w:ascii="宋体" w:hAnsi="宋体"/>
          <w:color w:val="000000" w:themeColor="text1"/>
          <w:sz w:val="28"/>
          <w:highlight w:val="none"/>
          <w14:textFill>
            <w14:solidFill>
              <w14:schemeClr w14:val="tx1"/>
            </w14:solidFill>
          </w14:textFill>
        </w:rPr>
      </w:pPr>
    </w:p>
    <w:p w14:paraId="168457D8">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致：重庆医科大学附属第二医院</w:t>
      </w:r>
    </w:p>
    <w:p w14:paraId="1EB95B84">
      <w:pPr>
        <w:spacing w:line="276"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我们已经仔细地研究了                  项目采购文件的全部内容。我们已完全理解了采购文件规定的合同范围</w:t>
      </w:r>
      <w:r>
        <w:rPr>
          <w:rFonts w:hint="eastAsia" w:ascii="宋体" w:hAnsi="宋体"/>
          <w:color w:val="000000" w:themeColor="text1"/>
          <w:sz w:val="28"/>
          <w:highlight w:val="none"/>
          <w:lang w:val="en-US" w:eastAsia="zh-CN"/>
          <w14:textFill>
            <w14:solidFill>
              <w14:schemeClr w14:val="tx1"/>
            </w14:solidFill>
          </w14:textFill>
        </w:rPr>
        <w:t>与</w:t>
      </w:r>
      <w:r>
        <w:rPr>
          <w:rFonts w:hint="eastAsia" w:ascii="宋体" w:hAnsi="宋体"/>
          <w:color w:val="000000" w:themeColor="text1"/>
          <w:sz w:val="28"/>
          <w:highlight w:val="none"/>
          <w14:textFill>
            <w14:solidFill>
              <w14:schemeClr w14:val="tx1"/>
            </w14:solidFill>
          </w14:textFill>
        </w:rPr>
        <w:t>要求，并考虑到了潜在所有风险。据此，我们承诺结合本项目特点及我方实际情况，按以下标准报价。</w:t>
      </w:r>
    </w:p>
    <w:p w14:paraId="1F9E54D1">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重庆医科大学附属第二医院          项目竞选报价为：             元；</w:t>
      </w:r>
    </w:p>
    <w:p w14:paraId="0B4E0FE6">
      <w:pPr>
        <w:spacing w:line="276"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我方同意</w:t>
      </w:r>
      <w:r>
        <w:rPr>
          <w:rFonts w:hint="eastAsia" w:ascii="宋体" w:hAnsi="宋体"/>
          <w:color w:val="000000" w:themeColor="text1"/>
          <w:sz w:val="28"/>
          <w:highlight w:val="none"/>
          <w:lang w:eastAsia="zh-CN"/>
          <w14:textFill>
            <w14:solidFill>
              <w14:schemeClr w14:val="tx1"/>
            </w14:solidFill>
          </w14:textFill>
        </w:rPr>
        <w:t>在</w:t>
      </w:r>
      <w:r>
        <w:rPr>
          <w:rFonts w:hint="eastAsia" w:ascii="宋体" w:hAnsi="宋体"/>
          <w:color w:val="000000" w:themeColor="text1"/>
          <w:sz w:val="28"/>
          <w:highlight w:val="none"/>
          <w14:textFill>
            <w14:solidFill>
              <w14:schemeClr w14:val="tx1"/>
            </w14:solidFill>
          </w14:textFill>
        </w:rPr>
        <w:t>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09931A72">
      <w:pPr>
        <w:spacing w:line="276" w:lineRule="auto"/>
        <w:rPr>
          <w:rFonts w:ascii="宋体" w:hAnsi="宋体"/>
          <w:color w:val="000000" w:themeColor="text1"/>
          <w:sz w:val="28"/>
          <w:highlight w:val="none"/>
          <w14:textFill>
            <w14:solidFill>
              <w14:schemeClr w14:val="tx1"/>
            </w14:solidFill>
          </w14:textFill>
        </w:rPr>
      </w:pPr>
    </w:p>
    <w:p w14:paraId="4BE4745C">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竞选单位（盖章）：</w:t>
      </w:r>
    </w:p>
    <w:p w14:paraId="32DC4BD8">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法定代表人或法人授权代表（签字）：</w:t>
      </w:r>
    </w:p>
    <w:p w14:paraId="6A85584D">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时间：</w:t>
      </w:r>
    </w:p>
    <w:p w14:paraId="2FA092DE">
      <w:pPr>
        <w:spacing w:line="276" w:lineRule="auto"/>
        <w:rPr>
          <w:rFonts w:ascii="宋体" w:hAnsi="宋体"/>
          <w:color w:val="000000" w:themeColor="text1"/>
          <w:sz w:val="28"/>
          <w:highlight w:val="none"/>
          <w14:textFill>
            <w14:solidFill>
              <w14:schemeClr w14:val="tx1"/>
            </w14:solidFill>
          </w14:textFill>
        </w:rPr>
      </w:pPr>
    </w:p>
    <w:bookmarkEnd w:id="16"/>
    <w:bookmarkEnd w:id="17"/>
    <w:bookmarkEnd w:id="18"/>
    <w:bookmarkEnd w:id="19"/>
    <w:bookmarkEnd w:id="20"/>
    <w:bookmarkEnd w:id="21"/>
    <w:bookmarkEnd w:id="22"/>
    <w:bookmarkEnd w:id="23"/>
    <w:bookmarkEnd w:id="24"/>
    <w:bookmarkEnd w:id="25"/>
    <w:bookmarkEnd w:id="26"/>
    <w:p w14:paraId="72E28FD1">
      <w:pPr>
        <w:spacing w:line="276" w:lineRule="auto"/>
        <w:rPr>
          <w:rFonts w:ascii="黑体" w:hAnsi="黑体" w:eastAsia="黑体" w:cs="黑体"/>
          <w:color w:val="000000" w:themeColor="text1"/>
          <w:sz w:val="24"/>
          <w:highlight w:val="none"/>
          <w14:textFill>
            <w14:solidFill>
              <w14:schemeClr w14:val="tx1"/>
            </w14:solidFill>
          </w14:textFill>
        </w:rPr>
      </w:pPr>
    </w:p>
    <w:p w14:paraId="018CD197">
      <w:pPr>
        <w:spacing w:line="276"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（格式</w:t>
      </w:r>
      <w:r>
        <w:rPr>
          <w:rFonts w:ascii="黑体" w:hAnsi="黑体" w:eastAsia="黑体" w:cs="黑体"/>
          <w:color w:val="000000" w:themeColor="text1"/>
          <w:sz w:val="24"/>
          <w:highlight w:val="none"/>
          <w14:textFill>
            <w14:solidFill>
              <w14:schemeClr w14:val="tx1"/>
            </w14:solidFill>
          </w14:textFill>
        </w:rPr>
        <w:t>3</w:t>
      </w:r>
      <w:r>
        <w:rPr>
          <w:rFonts w:hint="eastAsia" w:ascii="黑体" w:hAnsi="黑体" w:eastAsia="黑体" w:cs="黑体"/>
          <w:color w:val="000000" w:themeColor="text1"/>
          <w:sz w:val="24"/>
          <w:highlight w:val="none"/>
          <w14:textFill>
            <w14:solidFill>
              <w14:schemeClr w14:val="tx1"/>
            </w14:solidFill>
          </w14:textFill>
        </w:rPr>
        <w:t>）</w:t>
      </w:r>
    </w:p>
    <w:p w14:paraId="79A860E7">
      <w:pPr>
        <w:spacing w:line="276" w:lineRule="auto"/>
        <w:ind w:firstLine="211" w:firstLineChars="100"/>
        <w:jc w:val="center"/>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法定代表人身份证明</w:t>
      </w:r>
    </w:p>
    <w:p w14:paraId="21DA111A">
      <w:pPr>
        <w:tabs>
          <w:tab w:val="left" w:pos="556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49E1A7E2">
      <w:pPr>
        <w:tabs>
          <w:tab w:val="left" w:pos="556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单位名称：</w:t>
      </w:r>
      <w:r>
        <w:rPr>
          <w:rFonts w:ascii="宋体" w:cs="Arial"/>
          <w:color w:val="000000" w:themeColor="text1"/>
          <w:kern w:val="0"/>
          <w:szCs w:val="21"/>
          <w:highlight w:val="none"/>
          <w:u w:val="single"/>
          <w14:textFill>
            <w14:solidFill>
              <w14:schemeClr w14:val="tx1"/>
            </w14:solidFill>
          </w14:textFill>
        </w:rPr>
        <w:tab/>
      </w:r>
    </w:p>
    <w:p w14:paraId="70881093">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08CB0DC6">
      <w:pPr>
        <w:tabs>
          <w:tab w:val="left" w:pos="547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单位性质：</w:t>
      </w:r>
      <w:r>
        <w:rPr>
          <w:rFonts w:ascii="宋体" w:cs="Arial"/>
          <w:color w:val="000000" w:themeColor="text1"/>
          <w:kern w:val="0"/>
          <w:szCs w:val="21"/>
          <w:highlight w:val="none"/>
          <w:u w:val="single"/>
          <w14:textFill>
            <w14:solidFill>
              <w14:schemeClr w14:val="tx1"/>
            </w14:solidFill>
          </w14:textFill>
        </w:rPr>
        <w:tab/>
      </w:r>
    </w:p>
    <w:p w14:paraId="1472676A">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12C153F6">
      <w:pPr>
        <w:tabs>
          <w:tab w:val="left" w:pos="547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地址：</w:t>
      </w:r>
      <w:r>
        <w:rPr>
          <w:rFonts w:ascii="宋体" w:cs="Arial"/>
          <w:color w:val="000000" w:themeColor="text1"/>
          <w:kern w:val="0"/>
          <w:szCs w:val="21"/>
          <w:highlight w:val="none"/>
          <w:u w:val="single"/>
          <w14:textFill>
            <w14:solidFill>
              <w14:schemeClr w14:val="tx1"/>
            </w14:solidFill>
          </w14:textFill>
        </w:rPr>
        <w:tab/>
      </w:r>
    </w:p>
    <w:p w14:paraId="3DEA75B8">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68D42F6E">
      <w:pPr>
        <w:tabs>
          <w:tab w:val="left" w:pos="2520"/>
          <w:tab w:val="left" w:pos="3836"/>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成立时间：</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年</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月</w:t>
      </w:r>
      <w:r>
        <w:rPr>
          <w:rFonts w:hint="eastAsia" w:ascii="宋体" w:hAnsi="宋体" w:cs="Arial"/>
          <w:color w:val="000000" w:themeColor="text1"/>
          <w:spacing w:val="-1"/>
          <w:kern w:val="0"/>
          <w:szCs w:val="21"/>
          <w:highlight w:val="none"/>
          <w:u w:val="single"/>
          <w14:textFill>
            <w14:solidFill>
              <w14:schemeClr w14:val="tx1"/>
            </w14:solidFill>
          </w14:textFill>
        </w:rPr>
        <w:t xml:space="preserve">      </w:t>
      </w:r>
      <w:r>
        <w:rPr>
          <w:rFonts w:hint="eastAsia" w:ascii="宋体" w:hAnsi="宋体" w:cs="Arial"/>
          <w:color w:val="000000" w:themeColor="text1"/>
          <w:kern w:val="0"/>
          <w:szCs w:val="21"/>
          <w:highlight w:val="none"/>
          <w14:textFill>
            <w14:solidFill>
              <w14:schemeClr w14:val="tx1"/>
            </w14:solidFill>
          </w14:textFill>
        </w:rPr>
        <w:t>日</w:t>
      </w:r>
    </w:p>
    <w:p w14:paraId="4C05163C">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5DE1AFB1">
      <w:pPr>
        <w:tabs>
          <w:tab w:val="left" w:pos="547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经营期限：</w:t>
      </w:r>
      <w:r>
        <w:rPr>
          <w:rFonts w:ascii="宋体" w:cs="Arial"/>
          <w:color w:val="000000" w:themeColor="text1"/>
          <w:kern w:val="0"/>
          <w:szCs w:val="21"/>
          <w:highlight w:val="none"/>
          <w:u w:val="single"/>
          <w14:textFill>
            <w14:solidFill>
              <w14:schemeClr w14:val="tx1"/>
            </w14:solidFill>
          </w14:textFill>
        </w:rPr>
        <w:tab/>
      </w:r>
    </w:p>
    <w:p w14:paraId="1311876B">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50F6455C">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姓名：</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kern w:val="0"/>
          <w:szCs w:val="21"/>
          <w:highlight w:val="none"/>
          <w14:textFill>
            <w14:solidFill>
              <w14:schemeClr w14:val="tx1"/>
            </w14:solidFill>
          </w14:textFill>
        </w:rPr>
        <w:t>性别</w:t>
      </w:r>
      <w:r>
        <w:rPr>
          <w:rFonts w:hint="eastAsia" w:ascii="宋体" w:hAnsi="宋体" w:cs="Arial"/>
          <w:color w:val="000000" w:themeColor="text1"/>
          <w:spacing w:val="-1"/>
          <w:kern w:val="0"/>
          <w:szCs w:val="21"/>
          <w:highlight w:val="none"/>
          <w14:textFill>
            <w14:solidFill>
              <w14:schemeClr w14:val="tx1"/>
            </w14:solidFill>
          </w14:textFill>
        </w:rPr>
        <w:t>：</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年</w:t>
      </w:r>
      <w:r>
        <w:rPr>
          <w:rFonts w:hint="eastAsia" w:ascii="宋体" w:hAnsi="宋体" w:cs="Arial"/>
          <w:color w:val="000000" w:themeColor="text1"/>
          <w:kern w:val="0"/>
          <w:szCs w:val="21"/>
          <w:highlight w:val="none"/>
          <w14:textFill>
            <w14:solidFill>
              <w14:schemeClr w14:val="tx1"/>
            </w14:solidFill>
          </w14:textFill>
        </w:rPr>
        <w:t>龄：</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kern w:val="0"/>
          <w:szCs w:val="21"/>
          <w:highlight w:val="none"/>
          <w14:textFill>
            <w14:solidFill>
              <w14:schemeClr w14:val="tx1"/>
            </w14:solidFill>
          </w14:textFill>
        </w:rPr>
        <w:t>职务：</w:t>
      </w:r>
      <w:r>
        <w:rPr>
          <w:rFonts w:ascii="宋体" w:cs="Arial"/>
          <w:color w:val="000000" w:themeColor="text1"/>
          <w:kern w:val="0"/>
          <w:szCs w:val="21"/>
          <w:highlight w:val="none"/>
          <w:u w:val="single"/>
          <w14:textFill>
            <w14:solidFill>
              <w14:schemeClr w14:val="tx1"/>
            </w14:solidFill>
          </w14:textFill>
        </w:rPr>
        <w:tab/>
      </w:r>
    </w:p>
    <w:p w14:paraId="72E81441">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5D1FDB0F">
      <w:pPr>
        <w:tabs>
          <w:tab w:val="left" w:pos="3360"/>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系</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kern w:val="0"/>
          <w:szCs w:val="21"/>
          <w:highlight w:val="none"/>
          <w14:textFill>
            <w14:solidFill>
              <w14:schemeClr w14:val="tx1"/>
            </w14:solidFill>
          </w14:textFill>
        </w:rPr>
        <w:t>（单位名称）的法定代表人。</w:t>
      </w:r>
    </w:p>
    <w:p w14:paraId="6E308EBD">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14:paraId="30C41DCB">
      <w:pPr>
        <w:autoSpaceDE w:val="0"/>
        <w:autoSpaceDN w:val="0"/>
        <w:adjustRightInd w:val="0"/>
        <w:snapToGrid w:val="0"/>
        <w:spacing w:line="276" w:lineRule="auto"/>
        <w:ind w:firstLine="810" w:firstLineChars="3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特此证明。</w:t>
      </w:r>
    </w:p>
    <w:p w14:paraId="048C0628">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14:paraId="0D760C05">
      <w:pPr>
        <w:tabs>
          <w:tab w:val="left" w:pos="5460"/>
        </w:tabs>
        <w:autoSpaceDE w:val="0"/>
        <w:autoSpaceDN w:val="0"/>
        <w:adjustRightInd w:val="0"/>
        <w:snapToGrid w:val="0"/>
        <w:spacing w:line="276" w:lineRule="auto"/>
        <w:ind w:firstLine="2100"/>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单位：</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w:t>
      </w:r>
      <w:r>
        <w:rPr>
          <w:rFonts w:hint="eastAsia" w:ascii="宋体" w:hAnsi="宋体" w:cs="Arial"/>
          <w:color w:val="000000" w:themeColor="text1"/>
          <w:kern w:val="0"/>
          <w:szCs w:val="21"/>
          <w:highlight w:val="none"/>
          <w14:textFill>
            <w14:solidFill>
              <w14:schemeClr w14:val="tx1"/>
            </w14:solidFill>
          </w14:textFill>
        </w:rPr>
        <w:t>盖单位鲜章）</w:t>
      </w:r>
    </w:p>
    <w:p w14:paraId="4DF0C3B8">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14:paraId="3AD4B6BB">
      <w:pPr>
        <w:tabs>
          <w:tab w:val="left" w:pos="4935"/>
          <w:tab w:val="left" w:pos="5460"/>
          <w:tab w:val="left" w:pos="6400"/>
        </w:tabs>
        <w:autoSpaceDE w:val="0"/>
        <w:autoSpaceDN w:val="0"/>
        <w:adjustRightInd w:val="0"/>
        <w:snapToGrid w:val="0"/>
        <w:spacing w:line="276" w:lineRule="auto"/>
        <w:ind w:firstLine="3780"/>
        <w:jc w:val="left"/>
        <w:rPr>
          <w:rFonts w:ascii="宋体" w:cs="Arial"/>
          <w:color w:val="000000" w:themeColor="text1"/>
          <w:kern w:val="0"/>
          <w:szCs w:val="21"/>
          <w:highlight w:val="none"/>
          <w14:textFill>
            <w14:solidFill>
              <w14:schemeClr w14:val="tx1"/>
            </w14:solidFill>
          </w14:textFill>
        </w:rPr>
      </w:pP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 xml:space="preserve">年  </w:t>
      </w:r>
      <w:r>
        <w:rPr>
          <w:rFonts w:hint="eastAsia" w:ascii="宋体" w:hAnsi="宋体" w:cs="Arial"/>
          <w:color w:val="000000" w:themeColor="text1"/>
          <w:kern w:val="0"/>
          <w:szCs w:val="21"/>
          <w:highlight w:val="none"/>
          <w14:textFill>
            <w14:solidFill>
              <w14:schemeClr w14:val="tx1"/>
            </w14:solidFill>
          </w14:textFill>
        </w:rPr>
        <w:t>月  日</w:t>
      </w:r>
    </w:p>
    <w:p w14:paraId="1BB34DA2">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14:paraId="7439E4F6">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14:paraId="22633D04">
      <w:pPr>
        <w:adjustRightInd w:val="0"/>
        <w:snapToGrid w:val="0"/>
        <w:spacing w:line="276" w:lineRule="auto"/>
        <w:ind w:firstLine="210" w:firstLineChars="100"/>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此处粘贴法定代表人身份证复印件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99FFCD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7EC1FFF">
            <w:pPr>
              <w:spacing w:line="276" w:lineRule="auto"/>
              <w:rPr>
                <w:rFonts w:ascii="宋体"/>
                <w:b/>
                <w:color w:val="000000" w:themeColor="text1"/>
                <w:szCs w:val="21"/>
                <w:highlight w:val="none"/>
                <w14:textFill>
                  <w14:solidFill>
                    <w14:schemeClr w14:val="tx1"/>
                  </w14:solidFill>
                </w14:textFill>
              </w:rPr>
            </w:pPr>
          </w:p>
          <w:p w14:paraId="40C2253D">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法定代表人身份证正面复印件</w:t>
            </w:r>
          </w:p>
          <w:p w14:paraId="7F2267B8">
            <w:pPr>
              <w:spacing w:line="276" w:lineRule="auto"/>
              <w:rPr>
                <w:rFonts w:ascii="宋体"/>
                <w:b/>
                <w:color w:val="000000" w:themeColor="text1"/>
                <w:szCs w:val="21"/>
                <w:highlight w:val="none"/>
                <w14:textFill>
                  <w14:solidFill>
                    <w14:schemeClr w14:val="tx1"/>
                  </w14:solidFill>
                </w14:textFill>
              </w:rPr>
            </w:pPr>
          </w:p>
        </w:tc>
      </w:tr>
    </w:tbl>
    <w:p w14:paraId="2BE787B2">
      <w:pPr>
        <w:spacing w:line="276" w:lineRule="auto"/>
        <w:rPr>
          <w:rFonts w:ascii="宋体" w:cs="Calibri"/>
          <w:smallCaps/>
          <w:vanish/>
          <w:color w:val="000000" w:themeColor="text1"/>
          <w:szCs w:val="21"/>
          <w:highlight w:val="none"/>
          <w14:textFill>
            <w14:solidFill>
              <w14:schemeClr w14:val="tx1"/>
            </w14:solidFill>
          </w14:textFill>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F3FC5C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3248C93">
            <w:pPr>
              <w:spacing w:line="276" w:lineRule="auto"/>
              <w:rPr>
                <w:rFonts w:ascii="宋体"/>
                <w:b/>
                <w:color w:val="000000" w:themeColor="text1"/>
                <w:szCs w:val="21"/>
                <w:highlight w:val="none"/>
                <w14:textFill>
                  <w14:solidFill>
                    <w14:schemeClr w14:val="tx1"/>
                  </w14:solidFill>
                </w14:textFill>
              </w:rPr>
            </w:pPr>
          </w:p>
          <w:p w14:paraId="6C3CA0DE">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法定代表人身份证反面复印件</w:t>
            </w:r>
          </w:p>
        </w:tc>
      </w:tr>
    </w:tbl>
    <w:p w14:paraId="7D27BA87">
      <w:pPr>
        <w:spacing w:line="276" w:lineRule="auto"/>
        <w:rPr>
          <w:rFonts w:ascii="宋体" w:cs="Calibri"/>
          <w:smallCaps/>
          <w:vanish/>
          <w:color w:val="000000" w:themeColor="text1"/>
          <w:szCs w:val="21"/>
          <w:highlight w:val="none"/>
          <w14:textFill>
            <w14:solidFill>
              <w14:schemeClr w14:val="tx1"/>
            </w14:solidFill>
          </w14:textFill>
        </w:rPr>
      </w:pPr>
    </w:p>
    <w:p w14:paraId="05EB3F25">
      <w:pPr>
        <w:spacing w:line="276" w:lineRule="auto"/>
        <w:rPr>
          <w:rFonts w:ascii="宋体" w:cs="Calibri"/>
          <w:smallCaps/>
          <w:vanish/>
          <w:color w:val="000000" w:themeColor="text1"/>
          <w:szCs w:val="21"/>
          <w:highlight w:val="none"/>
          <w14:textFill>
            <w14:solidFill>
              <w14:schemeClr w14:val="tx1"/>
            </w14:solidFill>
          </w14:textFill>
        </w:rPr>
      </w:pPr>
    </w:p>
    <w:p w14:paraId="69437321">
      <w:pPr>
        <w:spacing w:line="276" w:lineRule="auto"/>
        <w:rPr>
          <w:rFonts w:ascii="宋体" w:cs="Arial"/>
          <w:color w:val="000000" w:themeColor="text1"/>
          <w:szCs w:val="21"/>
          <w:highlight w:val="none"/>
          <w14:textFill>
            <w14:solidFill>
              <w14:schemeClr w14:val="tx1"/>
            </w14:solidFill>
          </w14:textFill>
        </w:rPr>
      </w:pPr>
    </w:p>
    <w:p w14:paraId="0BFF65C7">
      <w:pPr>
        <w:spacing w:line="276" w:lineRule="auto"/>
        <w:ind w:left="720"/>
        <w:rPr>
          <w:rFonts w:ascii="宋体" w:cs="Arial"/>
          <w:color w:val="000000" w:themeColor="text1"/>
          <w:szCs w:val="21"/>
          <w:highlight w:val="none"/>
          <w14:textFill>
            <w14:solidFill>
              <w14:schemeClr w14:val="tx1"/>
            </w14:solidFill>
          </w14:textFill>
        </w:rPr>
      </w:pPr>
    </w:p>
    <w:p w14:paraId="1B6072FC">
      <w:pPr>
        <w:spacing w:line="276" w:lineRule="auto"/>
        <w:ind w:left="720"/>
        <w:rPr>
          <w:rFonts w:ascii="宋体" w:cs="Arial"/>
          <w:color w:val="000000" w:themeColor="text1"/>
          <w:szCs w:val="21"/>
          <w:highlight w:val="none"/>
          <w14:textFill>
            <w14:solidFill>
              <w14:schemeClr w14:val="tx1"/>
            </w14:solidFill>
          </w14:textFill>
        </w:rPr>
      </w:pPr>
    </w:p>
    <w:p w14:paraId="57611BBF">
      <w:pPr>
        <w:spacing w:line="276" w:lineRule="auto"/>
        <w:ind w:left="720"/>
        <w:rPr>
          <w:rFonts w:ascii="宋体" w:cs="Arial"/>
          <w:color w:val="000000" w:themeColor="text1"/>
          <w:szCs w:val="21"/>
          <w:highlight w:val="none"/>
          <w14:textFill>
            <w14:solidFill>
              <w14:schemeClr w14:val="tx1"/>
            </w14:solidFill>
          </w14:textFill>
        </w:rPr>
      </w:pPr>
    </w:p>
    <w:p w14:paraId="20E2D4FA">
      <w:pPr>
        <w:spacing w:line="276" w:lineRule="auto"/>
        <w:ind w:left="720"/>
        <w:rPr>
          <w:rFonts w:ascii="宋体" w:cs="Arial"/>
          <w:color w:val="000000" w:themeColor="text1"/>
          <w:szCs w:val="21"/>
          <w:highlight w:val="none"/>
          <w14:textFill>
            <w14:solidFill>
              <w14:schemeClr w14:val="tx1"/>
            </w14:solidFill>
          </w14:textFill>
        </w:rPr>
      </w:pPr>
    </w:p>
    <w:p w14:paraId="794F643B">
      <w:pPr>
        <w:pStyle w:val="2"/>
        <w:spacing w:line="276" w:lineRule="auto"/>
        <w:rPr>
          <w:color w:val="000000" w:themeColor="text1"/>
          <w:highlight w:val="none"/>
          <w14:textFill>
            <w14:solidFill>
              <w14:schemeClr w14:val="tx1"/>
            </w14:solidFill>
          </w14:textFill>
        </w:rPr>
      </w:pPr>
    </w:p>
    <w:p w14:paraId="1FF98E68">
      <w:pPr>
        <w:spacing w:line="276" w:lineRule="auto"/>
        <w:rPr>
          <w:color w:val="000000" w:themeColor="text1"/>
          <w:highlight w:val="none"/>
          <w14:textFill>
            <w14:solidFill>
              <w14:schemeClr w14:val="tx1"/>
            </w14:solidFill>
          </w14:textFill>
        </w:rPr>
      </w:pPr>
    </w:p>
    <w:p w14:paraId="3B82D189">
      <w:pPr>
        <w:spacing w:line="276" w:lineRule="auto"/>
        <w:rPr>
          <w:rFonts w:ascii="黑体" w:eastAsia="黑体"/>
          <w:color w:val="000000" w:themeColor="text1"/>
          <w:sz w:val="24"/>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黑体" w:eastAsia="黑体"/>
          <w:color w:val="000000" w:themeColor="text1"/>
          <w:sz w:val="24"/>
          <w:highlight w:val="none"/>
          <w14:textFill>
            <w14:solidFill>
              <w14:schemeClr w14:val="tx1"/>
            </w14:solidFill>
          </w14:textFill>
        </w:rPr>
        <w:t>（格式</w:t>
      </w:r>
      <w:r>
        <w:rPr>
          <w:rFonts w:ascii="黑体" w:eastAsia="黑体"/>
          <w:color w:val="000000" w:themeColor="text1"/>
          <w:sz w:val="24"/>
          <w:highlight w:val="none"/>
          <w14:textFill>
            <w14:solidFill>
              <w14:schemeClr w14:val="tx1"/>
            </w14:solidFill>
          </w14:textFill>
        </w:rPr>
        <w:t>4</w:t>
      </w:r>
      <w:r>
        <w:rPr>
          <w:rFonts w:hint="eastAsia" w:ascii="黑体" w:eastAsia="黑体"/>
          <w:color w:val="000000" w:themeColor="text1"/>
          <w:sz w:val="24"/>
          <w:highlight w:val="none"/>
          <w14:textFill>
            <w14:solidFill>
              <w14:schemeClr w14:val="tx1"/>
            </w14:solidFill>
          </w14:textFill>
        </w:rPr>
        <w:t>）</w:t>
      </w:r>
    </w:p>
    <w:p w14:paraId="1382A06D">
      <w:pPr>
        <w:spacing w:line="276" w:lineRule="auto"/>
        <w:jc w:val="center"/>
        <w:rPr>
          <w:rFonts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t>法定代表人授权委托书</w:t>
      </w:r>
    </w:p>
    <w:p w14:paraId="4CA3ACBB">
      <w:pPr>
        <w:spacing w:line="276" w:lineRule="auto"/>
        <w:jc w:val="center"/>
        <w:rPr>
          <w:rFonts w:ascii="黑体" w:eastAsia="黑体"/>
          <w:color w:val="000000" w:themeColor="text1"/>
          <w:sz w:val="44"/>
          <w:szCs w:val="44"/>
          <w:highlight w:val="none"/>
          <w14:textFill>
            <w14:solidFill>
              <w14:schemeClr w14:val="tx1"/>
            </w14:solidFill>
          </w14:textFill>
        </w:rPr>
      </w:pPr>
    </w:p>
    <w:p w14:paraId="1DA89BEA">
      <w:pPr>
        <w:pStyle w:val="14"/>
        <w:shd w:val="clear" w:color="FFFFFF" w:fill="FFFFFF"/>
        <w:spacing w:line="276" w:lineRule="auto"/>
        <w:rPr>
          <w:color w:val="000000" w:themeColor="text1"/>
          <w:sz w:val="28"/>
          <w:szCs w:val="28"/>
          <w:highlight w:val="none"/>
          <w14:textFill>
            <w14:solidFill>
              <w14:schemeClr w14:val="tx1"/>
            </w14:solidFill>
          </w14:textFill>
        </w:rPr>
      </w:pPr>
    </w:p>
    <w:p w14:paraId="238F701F">
      <w:pPr>
        <w:autoSpaceDE w:val="0"/>
        <w:autoSpaceDN w:val="0"/>
        <w:adjustRightInd w:val="0"/>
        <w:spacing w:line="276"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本授权书声明：本人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系</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的法定代表人，现授权本单位的</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为本公司代理人，以本公司的名义参加</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项目，代理人在竞选</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合同谈判过程中所签署的一切文件和处理与之有关的一切事务，本人均予以承认。</w:t>
      </w:r>
    </w:p>
    <w:p w14:paraId="07CED88A">
      <w:pPr>
        <w:pStyle w:val="14"/>
        <w:shd w:val="clear" w:color="FFFFFF" w:fill="FFFFFF"/>
        <w:spacing w:line="276" w:lineRule="auto"/>
        <w:jc w:val="both"/>
        <w:rPr>
          <w:color w:val="000000" w:themeColor="text1"/>
          <w:sz w:val="28"/>
          <w:szCs w:val="28"/>
          <w:highlight w:val="none"/>
          <w14:textFill>
            <w14:solidFill>
              <w14:schemeClr w14:val="tx1"/>
            </w14:solidFill>
          </w14:textFill>
        </w:rPr>
      </w:pPr>
    </w:p>
    <w:p w14:paraId="59B0ED17">
      <w:pPr>
        <w:pStyle w:val="16"/>
        <w:spacing w:after="0" w:line="276" w:lineRule="auto"/>
        <w:ind w:left="430" w:leftChars="205" w:firstLine="140" w:firstLineChars="5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特此授权。</w:t>
      </w:r>
    </w:p>
    <w:p w14:paraId="0693F532">
      <w:pPr>
        <w:pStyle w:val="2"/>
        <w:spacing w:after="0" w:line="276" w:lineRule="auto"/>
        <w:rPr>
          <w:rFonts w:ascii="宋体" w:hAnsi="宋体"/>
          <w:color w:val="000000" w:themeColor="text1"/>
          <w:szCs w:val="28"/>
          <w:highlight w:val="none"/>
          <w14:textFill>
            <w14:solidFill>
              <w14:schemeClr w14:val="tx1"/>
            </w14:solidFill>
          </w14:textFill>
        </w:rPr>
      </w:pPr>
    </w:p>
    <w:p w14:paraId="59FF5917">
      <w:pPr>
        <w:pStyle w:val="2"/>
        <w:spacing w:after="0" w:line="276" w:lineRule="auto"/>
        <w:ind w:left="135"/>
        <w:rPr>
          <w:rFonts w:ascii="宋体" w:hAnsi="宋体"/>
          <w:color w:val="000000" w:themeColor="text1"/>
          <w:szCs w:val="28"/>
          <w:highlight w:val="none"/>
          <w14:textFill>
            <w14:solidFill>
              <w14:schemeClr w14:val="tx1"/>
            </w14:solidFill>
          </w14:textFill>
        </w:rPr>
      </w:pPr>
    </w:p>
    <w:p w14:paraId="53EF3E2C">
      <w:pPr>
        <w:pStyle w:val="2"/>
        <w:spacing w:after="0" w:line="276" w:lineRule="auto"/>
        <w:ind w:left="135"/>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被授权人：                   性别：                 年龄：</w:t>
      </w:r>
    </w:p>
    <w:p w14:paraId="3E71E83B">
      <w:pPr>
        <w:pStyle w:val="2"/>
        <w:spacing w:after="0" w:line="276" w:lineRule="auto"/>
        <w:ind w:left="135"/>
        <w:rPr>
          <w:rFonts w:ascii="宋体" w:hAnsi="宋体"/>
          <w:color w:val="000000" w:themeColor="text1"/>
          <w:kern w:val="0"/>
          <w:sz w:val="28"/>
          <w:szCs w:val="28"/>
          <w:highlight w:val="none"/>
          <w14:textFill>
            <w14:solidFill>
              <w14:schemeClr w14:val="tx1"/>
            </w14:solidFill>
          </w14:textFill>
        </w:rPr>
      </w:pPr>
    </w:p>
    <w:p w14:paraId="3DB692F3">
      <w:pPr>
        <w:pStyle w:val="2"/>
        <w:spacing w:after="0" w:line="276" w:lineRule="auto"/>
        <w:ind w:left="135"/>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单位（盖章）                 部门：                 职务：</w:t>
      </w:r>
    </w:p>
    <w:p w14:paraId="51915D08">
      <w:pPr>
        <w:pStyle w:val="2"/>
        <w:spacing w:after="0" w:line="276" w:lineRule="auto"/>
        <w:rPr>
          <w:rFonts w:ascii="宋体" w:hAnsi="宋体"/>
          <w:color w:val="000000" w:themeColor="text1"/>
          <w:kern w:val="0"/>
          <w:sz w:val="28"/>
          <w:szCs w:val="28"/>
          <w:highlight w:val="none"/>
          <w14:textFill>
            <w14:solidFill>
              <w14:schemeClr w14:val="tx1"/>
            </w14:solidFill>
          </w14:textFill>
        </w:rPr>
      </w:pPr>
    </w:p>
    <w:p w14:paraId="05078DC6">
      <w:pPr>
        <w:pStyle w:val="2"/>
        <w:spacing w:after="0" w:line="276" w:lineRule="auto"/>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法定代表人：（签字）</w:t>
      </w:r>
    </w:p>
    <w:p w14:paraId="320E0C75">
      <w:pPr>
        <w:adjustRightInd w:val="0"/>
        <w:snapToGrid w:val="0"/>
        <w:spacing w:line="276" w:lineRule="auto"/>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此处粘贴法定公司代理人身份证复印件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7719A7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D137F6E">
            <w:pPr>
              <w:spacing w:line="276" w:lineRule="auto"/>
              <w:rPr>
                <w:rFonts w:ascii="宋体"/>
                <w:b/>
                <w:color w:val="000000" w:themeColor="text1"/>
                <w:szCs w:val="21"/>
                <w:highlight w:val="none"/>
                <w14:textFill>
                  <w14:solidFill>
                    <w14:schemeClr w14:val="tx1"/>
                  </w14:solidFill>
                </w14:textFill>
              </w:rPr>
            </w:pPr>
          </w:p>
          <w:p w14:paraId="16DBC153">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公司代理人身份证正面复印件</w:t>
            </w:r>
          </w:p>
          <w:p w14:paraId="42EE21B5">
            <w:pPr>
              <w:spacing w:line="276" w:lineRule="auto"/>
              <w:rPr>
                <w:rFonts w:ascii="宋体"/>
                <w:b/>
                <w:color w:val="000000" w:themeColor="text1"/>
                <w:szCs w:val="21"/>
                <w:highlight w:val="none"/>
                <w14:textFill>
                  <w14:solidFill>
                    <w14:schemeClr w14:val="tx1"/>
                  </w14:solidFill>
                </w14:textFill>
              </w:rPr>
            </w:pPr>
          </w:p>
        </w:tc>
      </w:tr>
    </w:tbl>
    <w:p w14:paraId="33D742F6">
      <w:pPr>
        <w:spacing w:line="276" w:lineRule="auto"/>
        <w:rPr>
          <w:rFonts w:ascii="宋体" w:cs="Calibri"/>
          <w:smallCaps/>
          <w:vanish/>
          <w:color w:val="000000" w:themeColor="text1"/>
          <w:szCs w:val="21"/>
          <w:highlight w:val="none"/>
          <w14:textFill>
            <w14:solidFill>
              <w14:schemeClr w14:val="tx1"/>
            </w14:solidFill>
          </w14:textFill>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BF3171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3240515">
            <w:pPr>
              <w:spacing w:line="276" w:lineRule="auto"/>
              <w:rPr>
                <w:rFonts w:ascii="宋体"/>
                <w:b/>
                <w:color w:val="000000" w:themeColor="text1"/>
                <w:szCs w:val="21"/>
                <w:highlight w:val="none"/>
                <w14:textFill>
                  <w14:solidFill>
                    <w14:schemeClr w14:val="tx1"/>
                  </w14:solidFill>
                </w14:textFill>
              </w:rPr>
            </w:pPr>
          </w:p>
          <w:p w14:paraId="3E2441F0">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公司代理人身份证反面复印件</w:t>
            </w:r>
          </w:p>
        </w:tc>
      </w:tr>
    </w:tbl>
    <w:p w14:paraId="2354AE4E">
      <w:pPr>
        <w:spacing w:line="276" w:lineRule="auto"/>
        <w:rPr>
          <w:rFonts w:ascii="宋体" w:cs="Calibri"/>
          <w:smallCaps/>
          <w:vanish/>
          <w:color w:val="000000" w:themeColor="text1"/>
          <w:szCs w:val="21"/>
          <w:highlight w:val="none"/>
          <w14:textFill>
            <w14:solidFill>
              <w14:schemeClr w14:val="tx1"/>
            </w14:solidFill>
          </w14:textFill>
        </w:rPr>
      </w:pPr>
    </w:p>
    <w:p w14:paraId="4B622F69">
      <w:pPr>
        <w:spacing w:line="276" w:lineRule="auto"/>
        <w:rPr>
          <w:rFonts w:ascii="宋体" w:cs="Calibri"/>
          <w:smallCaps/>
          <w:vanish/>
          <w:color w:val="000000" w:themeColor="text1"/>
          <w:szCs w:val="21"/>
          <w:highlight w:val="none"/>
          <w14:textFill>
            <w14:solidFill>
              <w14:schemeClr w14:val="tx1"/>
            </w14:solidFill>
          </w14:textFill>
        </w:rPr>
      </w:pPr>
    </w:p>
    <w:p w14:paraId="595A641C">
      <w:pPr>
        <w:spacing w:line="276" w:lineRule="auto"/>
        <w:rPr>
          <w:rFonts w:ascii="宋体" w:cs="Arial"/>
          <w:color w:val="000000" w:themeColor="text1"/>
          <w:szCs w:val="21"/>
          <w:highlight w:val="none"/>
          <w14:textFill>
            <w14:solidFill>
              <w14:schemeClr w14:val="tx1"/>
            </w14:solidFill>
          </w14:textFill>
        </w:rPr>
      </w:pPr>
    </w:p>
    <w:p w14:paraId="4CC3CEA4">
      <w:pPr>
        <w:spacing w:line="276" w:lineRule="auto"/>
        <w:ind w:left="720"/>
        <w:rPr>
          <w:rFonts w:ascii="宋体" w:cs="Arial"/>
          <w:color w:val="000000" w:themeColor="text1"/>
          <w:szCs w:val="21"/>
          <w:highlight w:val="none"/>
          <w14:textFill>
            <w14:solidFill>
              <w14:schemeClr w14:val="tx1"/>
            </w14:solidFill>
          </w14:textFill>
        </w:rPr>
      </w:pPr>
    </w:p>
    <w:p w14:paraId="58A7A70D">
      <w:pPr>
        <w:spacing w:line="276" w:lineRule="auto"/>
        <w:ind w:left="720"/>
        <w:rPr>
          <w:rFonts w:ascii="宋体" w:cs="Arial"/>
          <w:color w:val="000000" w:themeColor="text1"/>
          <w:szCs w:val="21"/>
          <w:highlight w:val="none"/>
          <w14:textFill>
            <w14:solidFill>
              <w14:schemeClr w14:val="tx1"/>
            </w14:solidFill>
          </w14:textFill>
        </w:rPr>
      </w:pPr>
    </w:p>
    <w:p w14:paraId="5B5A7D78">
      <w:pPr>
        <w:spacing w:line="276" w:lineRule="auto"/>
        <w:ind w:left="720"/>
        <w:rPr>
          <w:rFonts w:ascii="宋体" w:cs="Arial"/>
          <w:color w:val="000000" w:themeColor="text1"/>
          <w:szCs w:val="21"/>
          <w:highlight w:val="none"/>
          <w14:textFill>
            <w14:solidFill>
              <w14:schemeClr w14:val="tx1"/>
            </w14:solidFill>
          </w14:textFill>
        </w:rPr>
      </w:pPr>
    </w:p>
    <w:p w14:paraId="66645D40">
      <w:pPr>
        <w:spacing w:line="276" w:lineRule="auto"/>
        <w:ind w:left="720"/>
        <w:rPr>
          <w:rFonts w:ascii="宋体" w:cs="Arial"/>
          <w:color w:val="000000" w:themeColor="text1"/>
          <w:szCs w:val="21"/>
          <w:highlight w:val="none"/>
          <w14:textFill>
            <w14:solidFill>
              <w14:schemeClr w14:val="tx1"/>
            </w14:solidFill>
          </w14:textFill>
        </w:rPr>
      </w:pPr>
    </w:p>
    <w:p w14:paraId="20B2459F">
      <w:pPr>
        <w:spacing w:line="276" w:lineRule="auto"/>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                             </w:t>
      </w:r>
    </w:p>
    <w:p w14:paraId="4BFA0389">
      <w:pPr>
        <w:spacing w:line="276" w:lineRule="auto"/>
        <w:ind w:right="560"/>
        <w:jc w:val="right"/>
        <w:rPr>
          <w:rFonts w:ascii="宋体" w:hAnsi="宋体"/>
          <w:color w:val="000000" w:themeColor="text1"/>
          <w:sz w:val="28"/>
          <w:highlight w:val="none"/>
          <w14:textFill>
            <w14:solidFill>
              <w14:schemeClr w14:val="tx1"/>
            </w14:solidFill>
          </w14:textFill>
        </w:rPr>
      </w:pPr>
    </w:p>
    <w:p w14:paraId="67F8F73B">
      <w:pPr>
        <w:spacing w:line="276" w:lineRule="auto"/>
        <w:jc w:val="righ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日期：    年    月   日</w:t>
      </w:r>
    </w:p>
    <w:p w14:paraId="55570028">
      <w:pPr>
        <w:pStyle w:val="2"/>
        <w:rPr>
          <w:color w:val="000000" w:themeColor="text1"/>
          <w:highlight w:val="none"/>
          <w14:textFill>
            <w14:solidFill>
              <w14:schemeClr w14:val="tx1"/>
            </w14:solidFill>
          </w14:textFill>
        </w:rPr>
      </w:pPr>
    </w:p>
    <w:p w14:paraId="490F5D92">
      <w:pPr>
        <w:rPr>
          <w:color w:val="000000" w:themeColor="text1"/>
          <w:highlight w:val="none"/>
          <w14:textFill>
            <w14:solidFill>
              <w14:schemeClr w14:val="tx1"/>
            </w14:solidFill>
          </w14:textFill>
        </w:rPr>
      </w:pPr>
    </w:p>
    <w:p w14:paraId="65F719FE">
      <w:pPr>
        <w:ind w:right="560"/>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（格式5）</w:t>
      </w:r>
    </w:p>
    <w:p w14:paraId="4311EC66">
      <w:pPr>
        <w:jc w:val="center"/>
        <w:rPr>
          <w:rFonts w:ascii="黑体" w:hAnsi="宋体" w:eastAsia="黑体"/>
          <w:color w:val="000000" w:themeColor="text1"/>
          <w:sz w:val="44"/>
          <w:szCs w:val="44"/>
          <w:highlight w:val="none"/>
          <w14:textFill>
            <w14:solidFill>
              <w14:schemeClr w14:val="tx1"/>
            </w14:solidFill>
          </w14:textFill>
        </w:rPr>
      </w:pPr>
      <w:r>
        <w:rPr>
          <w:rFonts w:hint="eastAsia" w:ascii="黑体" w:hAnsi="宋体" w:eastAsia="黑体"/>
          <w:color w:val="000000" w:themeColor="text1"/>
          <w:sz w:val="44"/>
          <w:szCs w:val="44"/>
          <w:highlight w:val="none"/>
          <w14:textFill>
            <w14:solidFill>
              <w14:schemeClr w14:val="tx1"/>
            </w14:solidFill>
          </w14:textFill>
        </w:rPr>
        <w:t>承诺书</w:t>
      </w:r>
    </w:p>
    <w:p w14:paraId="0F8B4CD8">
      <w:pPr>
        <w:spacing w:line="360" w:lineRule="auto"/>
        <w:rPr>
          <w:rFonts w:ascii="宋体" w:hAnsi="宋体"/>
          <w:b/>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致</w:t>
      </w:r>
      <w:r>
        <w:rPr>
          <w:rFonts w:hint="eastAsia" w:ascii="宋体" w:hAnsi="宋体"/>
          <w:b/>
          <w:color w:val="000000" w:themeColor="text1"/>
          <w:sz w:val="28"/>
          <w:highlight w:val="none"/>
          <w14:textFill>
            <w14:solidFill>
              <w14:schemeClr w14:val="tx1"/>
            </w14:solidFill>
          </w14:textFill>
        </w:rPr>
        <w:t>：</w:t>
      </w:r>
      <w:r>
        <w:rPr>
          <w:rFonts w:hint="eastAsia" w:ascii="宋体" w:hAnsi="宋体"/>
          <w:color w:val="000000" w:themeColor="text1"/>
          <w:sz w:val="28"/>
          <w:highlight w:val="none"/>
          <w:u w:val="single"/>
          <w14:textFill>
            <w14:solidFill>
              <w14:schemeClr w14:val="tx1"/>
            </w14:solidFill>
          </w14:textFill>
        </w:rPr>
        <w:t>重庆医科大学附属第二医院</w:t>
      </w:r>
      <w:r>
        <w:rPr>
          <w:rFonts w:hint="eastAsia" w:ascii="宋体" w:hAnsi="宋体"/>
          <w:b/>
          <w:color w:val="000000" w:themeColor="text1"/>
          <w:sz w:val="28"/>
          <w:highlight w:val="none"/>
          <w14:textFill>
            <w14:solidFill>
              <w14:schemeClr w14:val="tx1"/>
            </w14:solidFill>
          </w14:textFill>
        </w:rPr>
        <w:t xml:space="preserve">  </w:t>
      </w:r>
    </w:p>
    <w:p w14:paraId="77D52EA9">
      <w:pPr>
        <w:spacing w:line="360" w:lineRule="auto"/>
        <w:ind w:firstLine="422" w:firstLineChars="150"/>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______________________</w:t>
      </w:r>
      <w:r>
        <w:rPr>
          <w:rFonts w:hint="eastAsia" w:ascii="宋体" w:hAnsi="宋体"/>
          <w:color w:val="000000" w:themeColor="text1"/>
          <w:sz w:val="28"/>
          <w:highlight w:val="none"/>
          <w14:textFill>
            <w14:solidFill>
              <w14:schemeClr w14:val="tx1"/>
            </w14:solidFill>
          </w14:textFill>
        </w:rPr>
        <w:t>的采购工作，对贵单位发出的该项目采购文书等全部内容，在认真阅读和充分理解后予以确认，完全同意其所有条款，并按其要求提交竞选文件，保证按中选的金额签订合同，并对下列事宜做出承诺：</w:t>
      </w:r>
    </w:p>
    <w:p w14:paraId="2DC90F5A">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1. 我司与其他竞选人之间不存在负责人为同一人或任何控股、管理及其他形式的关联关系。</w:t>
      </w:r>
    </w:p>
    <w:p w14:paraId="4ECEE2C2">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2.</w:t>
      </w:r>
      <w:r>
        <w:rPr>
          <w:color w:val="000000" w:themeColor="text1"/>
          <w:highlight w:val="none"/>
          <w14:textFill>
            <w14:solidFill>
              <w14:schemeClr w14:val="tx1"/>
            </w14:solidFill>
          </w14:textFill>
        </w:rPr>
        <w:t xml:space="preserve"> </w:t>
      </w:r>
      <w:r>
        <w:rPr>
          <w:rFonts w:hint="eastAsia" w:ascii="宋体" w:hAnsi="宋体"/>
          <w:color w:val="000000" w:themeColor="text1"/>
          <w:sz w:val="28"/>
          <w:highlight w:val="none"/>
          <w14:textFill>
            <w14:solidFill>
              <w14:schemeClr w14:val="tx1"/>
            </w14:solidFill>
          </w14:textFill>
        </w:rPr>
        <w:t>我司将严格按照采购文件的规定进行响应。同时，我司愿意接受采购人的监督和核查。</w:t>
      </w:r>
    </w:p>
    <w:p w14:paraId="4F2AEA4E">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3.我司在本次采购中所提供的所有资料和信息均真实、准确、完整，不存在任何虚假陈述或者隐瞒情况。</w:t>
      </w:r>
    </w:p>
    <w:p w14:paraId="7A01AFE0">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4.在中选后，保证在规定时间内根据国家相关规范条例</w:t>
      </w:r>
      <w:r>
        <w:rPr>
          <w:rFonts w:hint="eastAsia" w:ascii="宋体" w:hAnsi="宋体"/>
          <w:color w:val="000000" w:themeColor="text1"/>
          <w:sz w:val="28"/>
          <w:highlight w:val="none"/>
          <w:lang w:eastAsia="zh-CN"/>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行业标准</w:t>
      </w:r>
      <w:r>
        <w:rPr>
          <w:rFonts w:hint="eastAsia" w:ascii="宋体" w:hAnsi="宋体"/>
          <w:color w:val="000000" w:themeColor="text1"/>
          <w:sz w:val="28"/>
          <w:highlight w:val="none"/>
          <w:lang w:eastAsia="zh-CN"/>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设计要求</w:t>
      </w:r>
      <w:r>
        <w:rPr>
          <w:rFonts w:hint="eastAsia" w:ascii="宋体" w:hAnsi="宋体"/>
          <w:color w:val="000000" w:themeColor="text1"/>
          <w:sz w:val="28"/>
          <w:highlight w:val="none"/>
          <w:lang w:eastAsia="zh-CN"/>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采购人及合同要求等按质按量完成工作，保证本项目中选后绝不转包给挂靠公司。</w:t>
      </w:r>
    </w:p>
    <w:p w14:paraId="712C0AA4">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5．在供货过程中产生的安全责任问题由我司自行承担。</w:t>
      </w:r>
    </w:p>
    <w:p w14:paraId="319329E7">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若我司未按此承诺执行，就视为我司放弃中选权利，自愿承担因放弃中</w:t>
      </w:r>
      <w:r>
        <w:rPr>
          <w:rFonts w:hint="eastAsia" w:ascii="宋体" w:hAnsi="宋体"/>
          <w:color w:val="000000" w:themeColor="text1"/>
          <w:sz w:val="28"/>
          <w:highlight w:val="none"/>
          <w:lang w:val="en-US" w:eastAsia="zh-CN"/>
          <w14:textFill>
            <w14:solidFill>
              <w14:schemeClr w14:val="tx1"/>
            </w14:solidFill>
          </w14:textFill>
        </w:rPr>
        <w:t>选</w:t>
      </w:r>
      <w:r>
        <w:rPr>
          <w:rFonts w:hint="eastAsia" w:ascii="宋体" w:hAnsi="宋体"/>
          <w:color w:val="000000" w:themeColor="text1"/>
          <w:sz w:val="28"/>
          <w:highlight w:val="none"/>
          <w14:textFill>
            <w14:solidFill>
              <w14:schemeClr w14:val="tx1"/>
            </w14:solidFill>
          </w14:textFill>
        </w:rPr>
        <w:t>的一切后果，以及没有严格履行合同所</w:t>
      </w:r>
      <w:r>
        <w:rPr>
          <w:rFonts w:hint="eastAsia" w:ascii="宋体" w:hAnsi="宋体"/>
          <w:color w:val="000000" w:themeColor="text1"/>
          <w:sz w:val="28"/>
          <w:highlight w:val="none"/>
          <w:lang w:eastAsia="zh-CN"/>
          <w14:textFill>
            <w14:solidFill>
              <w14:schemeClr w14:val="tx1"/>
            </w14:solidFill>
          </w14:textFill>
        </w:rPr>
        <w:t>应承</w:t>
      </w:r>
      <w:r>
        <w:rPr>
          <w:rFonts w:hint="eastAsia" w:ascii="宋体" w:hAnsi="宋体"/>
          <w:color w:val="000000" w:themeColor="text1"/>
          <w:sz w:val="28"/>
          <w:highlight w:val="none"/>
          <w14:textFill>
            <w14:solidFill>
              <w14:schemeClr w14:val="tx1"/>
            </w14:solidFill>
          </w14:textFill>
        </w:rPr>
        <w:t>担的所有违约责任和违约处罚。</w:t>
      </w:r>
    </w:p>
    <w:p w14:paraId="60E4D8C4">
      <w:pPr>
        <w:pStyle w:val="2"/>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竞选单位（盖章）：</w:t>
      </w:r>
    </w:p>
    <w:p w14:paraId="2CD9B906">
      <w:pPr>
        <w:pStyle w:val="2"/>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法定代表人或法人授权代表（签字）：</w:t>
      </w:r>
    </w:p>
    <w:p w14:paraId="172607D2">
      <w:pPr>
        <w:pStyle w:val="2"/>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时间：</w:t>
      </w:r>
    </w:p>
    <w:p w14:paraId="76AC1652">
      <w:pPr>
        <w:rPr>
          <w:color w:val="000000" w:themeColor="text1"/>
          <w:highlight w:val="none"/>
          <w14:textFill>
            <w14:solidFill>
              <w14:schemeClr w14:val="tx1"/>
            </w14:solidFill>
          </w14:textFill>
        </w:rPr>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B2042">
    <w:pPr>
      <w:pStyle w:val="18"/>
      <w:ind w:right="360"/>
      <w:jc w:val="center"/>
    </w:pPr>
    <w:r>
      <w:rPr>
        <w:rStyle w:val="26"/>
      </w:rPr>
      <w:fldChar w:fldCharType="begin"/>
    </w:r>
    <w:r>
      <w:rPr>
        <w:rStyle w:val="26"/>
      </w:rPr>
      <w:instrText xml:space="preserve"> PAGE </w:instrText>
    </w:r>
    <w:r>
      <w:rPr>
        <w:rStyle w:val="26"/>
      </w:rPr>
      <w:fldChar w:fldCharType="separate"/>
    </w:r>
    <w:r>
      <w:rPr>
        <w:rStyle w:val="26"/>
      </w:rPr>
      <w:t>- 2 -</w:t>
    </w:r>
    <w:r>
      <w:rPr>
        <w:rStyle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23A7A">
    <w:pPr>
      <w:pStyle w:val="18"/>
      <w:framePr w:wrap="around" w:vAnchor="text" w:hAnchor="margin" w:xAlign="center" w:y="1"/>
      <w:rPr>
        <w:rStyle w:val="26"/>
      </w:rPr>
    </w:pPr>
    <w:r>
      <w:fldChar w:fldCharType="begin"/>
    </w:r>
    <w:r>
      <w:rPr>
        <w:rStyle w:val="26"/>
      </w:rPr>
      <w:instrText xml:space="preserve">PAGE  </w:instrText>
    </w:r>
    <w:r>
      <w:fldChar w:fldCharType="end"/>
    </w:r>
  </w:p>
  <w:p w14:paraId="53801F4A">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5ADE">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0835">
    <w:pPr>
      <w:pStyle w:val="18"/>
      <w:jc w:val="center"/>
    </w:pPr>
    <w:r>
      <w:rPr>
        <w:rStyle w:val="26"/>
      </w:rPr>
      <w:fldChar w:fldCharType="begin"/>
    </w:r>
    <w:r>
      <w:rPr>
        <w:rStyle w:val="26"/>
      </w:rPr>
      <w:instrText xml:space="preserve"> PAGE </w:instrText>
    </w:r>
    <w:r>
      <w:rPr>
        <w:rStyle w:val="26"/>
      </w:rPr>
      <w:fldChar w:fldCharType="separate"/>
    </w:r>
    <w:r>
      <w:rPr>
        <w:rStyle w:val="26"/>
      </w:rPr>
      <w:t>6</w:t>
    </w:r>
    <w:r>
      <w:rPr>
        <w:rStyle w:val="2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6C3D">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7618">
    <w:pPr>
      <w:pStyle w:val="19"/>
      <w:framePr w:wrap="around" w:vAnchor="text" w:hAnchor="margin" w:xAlign="right" w:y="1"/>
      <w:rPr>
        <w:rStyle w:val="26"/>
      </w:rPr>
    </w:pPr>
    <w:r>
      <w:fldChar w:fldCharType="begin"/>
    </w:r>
    <w:r>
      <w:rPr>
        <w:rStyle w:val="26"/>
      </w:rPr>
      <w:instrText xml:space="preserve">PAGE  </w:instrText>
    </w:r>
    <w:r>
      <w:fldChar w:fldCharType="end"/>
    </w:r>
  </w:p>
  <w:p w14:paraId="4EF006B3">
    <w:pPr>
      <w:pStyle w:val="1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A6C7D"/>
    <w:multiLevelType w:val="singleLevel"/>
    <w:tmpl w:val="805A6C7D"/>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30"/>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04D87"/>
    <w:rsid w:val="003166D4"/>
    <w:rsid w:val="00324431"/>
    <w:rsid w:val="00340FEC"/>
    <w:rsid w:val="003422EF"/>
    <w:rsid w:val="003428F4"/>
    <w:rsid w:val="00354475"/>
    <w:rsid w:val="00362B28"/>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2782"/>
    <w:rsid w:val="008407C0"/>
    <w:rsid w:val="00867FFD"/>
    <w:rsid w:val="00880A80"/>
    <w:rsid w:val="008817CD"/>
    <w:rsid w:val="00882D9F"/>
    <w:rsid w:val="00883720"/>
    <w:rsid w:val="008914FC"/>
    <w:rsid w:val="00897C11"/>
    <w:rsid w:val="008A3E4A"/>
    <w:rsid w:val="008A6178"/>
    <w:rsid w:val="008B4928"/>
    <w:rsid w:val="008B507D"/>
    <w:rsid w:val="008C4577"/>
    <w:rsid w:val="008D1C6B"/>
    <w:rsid w:val="008D20F9"/>
    <w:rsid w:val="008F39BF"/>
    <w:rsid w:val="008F7766"/>
    <w:rsid w:val="00906864"/>
    <w:rsid w:val="009078A7"/>
    <w:rsid w:val="0091569C"/>
    <w:rsid w:val="00940129"/>
    <w:rsid w:val="00957183"/>
    <w:rsid w:val="00961B86"/>
    <w:rsid w:val="00963817"/>
    <w:rsid w:val="00966CAC"/>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6DBC"/>
    <w:rsid w:val="00A967FB"/>
    <w:rsid w:val="00AA148C"/>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7E81"/>
    <w:rsid w:val="00C03B70"/>
    <w:rsid w:val="00C05C63"/>
    <w:rsid w:val="00C0643E"/>
    <w:rsid w:val="00C275C9"/>
    <w:rsid w:val="00C502FE"/>
    <w:rsid w:val="00C53C69"/>
    <w:rsid w:val="00C92B58"/>
    <w:rsid w:val="00CA3479"/>
    <w:rsid w:val="00CA4FD1"/>
    <w:rsid w:val="00CB6B99"/>
    <w:rsid w:val="00CE5FE4"/>
    <w:rsid w:val="00D16C87"/>
    <w:rsid w:val="00D278C6"/>
    <w:rsid w:val="00D34C8F"/>
    <w:rsid w:val="00D42618"/>
    <w:rsid w:val="00D51080"/>
    <w:rsid w:val="00D6042F"/>
    <w:rsid w:val="00D624EB"/>
    <w:rsid w:val="00D64BFA"/>
    <w:rsid w:val="00D6779E"/>
    <w:rsid w:val="00D9076E"/>
    <w:rsid w:val="00DA1BEF"/>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3EA7"/>
    <w:rsid w:val="00F6693E"/>
    <w:rsid w:val="00F7137A"/>
    <w:rsid w:val="00F945EC"/>
    <w:rsid w:val="00F97391"/>
    <w:rsid w:val="00FA34A0"/>
    <w:rsid w:val="00FD2D18"/>
    <w:rsid w:val="00FE245A"/>
    <w:rsid w:val="02041281"/>
    <w:rsid w:val="02160A2E"/>
    <w:rsid w:val="021F3B95"/>
    <w:rsid w:val="023870D5"/>
    <w:rsid w:val="02B26E88"/>
    <w:rsid w:val="0448314E"/>
    <w:rsid w:val="04946A5C"/>
    <w:rsid w:val="05432019"/>
    <w:rsid w:val="06276523"/>
    <w:rsid w:val="06E740EA"/>
    <w:rsid w:val="071C511F"/>
    <w:rsid w:val="07504251"/>
    <w:rsid w:val="077B1844"/>
    <w:rsid w:val="079E79DA"/>
    <w:rsid w:val="09CE1F4F"/>
    <w:rsid w:val="09F23697"/>
    <w:rsid w:val="0AEE5AD9"/>
    <w:rsid w:val="0BFA53FB"/>
    <w:rsid w:val="0D335F3C"/>
    <w:rsid w:val="0DBA7538"/>
    <w:rsid w:val="0E522BAB"/>
    <w:rsid w:val="0E5C414B"/>
    <w:rsid w:val="0EDE4BF3"/>
    <w:rsid w:val="0EEE7499"/>
    <w:rsid w:val="0F0D5446"/>
    <w:rsid w:val="0F196283"/>
    <w:rsid w:val="0F7D25CB"/>
    <w:rsid w:val="0FC62228"/>
    <w:rsid w:val="136E06B8"/>
    <w:rsid w:val="146E48BB"/>
    <w:rsid w:val="151C4634"/>
    <w:rsid w:val="16D2144F"/>
    <w:rsid w:val="17B648CC"/>
    <w:rsid w:val="18034613"/>
    <w:rsid w:val="188B7B07"/>
    <w:rsid w:val="1A1104E0"/>
    <w:rsid w:val="1AF35E37"/>
    <w:rsid w:val="1BAB226E"/>
    <w:rsid w:val="1C60574F"/>
    <w:rsid w:val="1D1D10FD"/>
    <w:rsid w:val="1D42474B"/>
    <w:rsid w:val="1F844DA3"/>
    <w:rsid w:val="20340A84"/>
    <w:rsid w:val="205A2112"/>
    <w:rsid w:val="210678E1"/>
    <w:rsid w:val="230B3FD4"/>
    <w:rsid w:val="2365041A"/>
    <w:rsid w:val="23CE11F0"/>
    <w:rsid w:val="24AF192B"/>
    <w:rsid w:val="25120A61"/>
    <w:rsid w:val="26174BB3"/>
    <w:rsid w:val="2683543F"/>
    <w:rsid w:val="269C41EC"/>
    <w:rsid w:val="27337CE7"/>
    <w:rsid w:val="274C6082"/>
    <w:rsid w:val="274D0B6A"/>
    <w:rsid w:val="27710810"/>
    <w:rsid w:val="27FC457D"/>
    <w:rsid w:val="280B61C0"/>
    <w:rsid w:val="2AFF25C5"/>
    <w:rsid w:val="2B4C581C"/>
    <w:rsid w:val="2BB857FE"/>
    <w:rsid w:val="2BC22534"/>
    <w:rsid w:val="2C5211B7"/>
    <w:rsid w:val="2C622E39"/>
    <w:rsid w:val="2CB44B32"/>
    <w:rsid w:val="2DAC07F4"/>
    <w:rsid w:val="2DF53F49"/>
    <w:rsid w:val="2E81758A"/>
    <w:rsid w:val="2F845214"/>
    <w:rsid w:val="2FC755A3"/>
    <w:rsid w:val="2FD83D34"/>
    <w:rsid w:val="2FEA63B8"/>
    <w:rsid w:val="30DD7587"/>
    <w:rsid w:val="3168143D"/>
    <w:rsid w:val="31CD0D39"/>
    <w:rsid w:val="32A25D21"/>
    <w:rsid w:val="32E65F81"/>
    <w:rsid w:val="33152997"/>
    <w:rsid w:val="3427396E"/>
    <w:rsid w:val="347C1AA4"/>
    <w:rsid w:val="349F69BC"/>
    <w:rsid w:val="356E6AD8"/>
    <w:rsid w:val="35BC534C"/>
    <w:rsid w:val="37607F59"/>
    <w:rsid w:val="37FA18E4"/>
    <w:rsid w:val="38DC0680"/>
    <w:rsid w:val="38E946AA"/>
    <w:rsid w:val="39D26CA1"/>
    <w:rsid w:val="3AD84E86"/>
    <w:rsid w:val="3B3F4A55"/>
    <w:rsid w:val="3BF770DE"/>
    <w:rsid w:val="3C0D2479"/>
    <w:rsid w:val="3E0A6C59"/>
    <w:rsid w:val="3E2F3F92"/>
    <w:rsid w:val="3FC64030"/>
    <w:rsid w:val="40A6587C"/>
    <w:rsid w:val="40A86BF9"/>
    <w:rsid w:val="410D2F00"/>
    <w:rsid w:val="412A3006"/>
    <w:rsid w:val="41C660F7"/>
    <w:rsid w:val="424E37D0"/>
    <w:rsid w:val="42BF3AD1"/>
    <w:rsid w:val="43573689"/>
    <w:rsid w:val="44821834"/>
    <w:rsid w:val="44986F84"/>
    <w:rsid w:val="47794E4B"/>
    <w:rsid w:val="47C852E9"/>
    <w:rsid w:val="48854618"/>
    <w:rsid w:val="48B56357"/>
    <w:rsid w:val="494F4DEB"/>
    <w:rsid w:val="49D20498"/>
    <w:rsid w:val="4A4A2ACF"/>
    <w:rsid w:val="4AD14F9E"/>
    <w:rsid w:val="4AEB42B2"/>
    <w:rsid w:val="4AF018C8"/>
    <w:rsid w:val="4AF30DD3"/>
    <w:rsid w:val="4AF64A04"/>
    <w:rsid w:val="4B7F49FA"/>
    <w:rsid w:val="4BBA1ED6"/>
    <w:rsid w:val="4C9D5A7F"/>
    <w:rsid w:val="4E8E3411"/>
    <w:rsid w:val="51196D93"/>
    <w:rsid w:val="516B49F3"/>
    <w:rsid w:val="51D35A9F"/>
    <w:rsid w:val="52252A23"/>
    <w:rsid w:val="524D5A10"/>
    <w:rsid w:val="52B94C95"/>
    <w:rsid w:val="53210E40"/>
    <w:rsid w:val="533E3763"/>
    <w:rsid w:val="534A7FE3"/>
    <w:rsid w:val="53D63625"/>
    <w:rsid w:val="54A5557B"/>
    <w:rsid w:val="54C31DFB"/>
    <w:rsid w:val="557F21C6"/>
    <w:rsid w:val="55964425"/>
    <w:rsid w:val="55ED6942"/>
    <w:rsid w:val="55F61D5C"/>
    <w:rsid w:val="55F67FAE"/>
    <w:rsid w:val="56493019"/>
    <w:rsid w:val="56A94F4E"/>
    <w:rsid w:val="56A96DCF"/>
    <w:rsid w:val="57824522"/>
    <w:rsid w:val="581D5CC6"/>
    <w:rsid w:val="59576FB6"/>
    <w:rsid w:val="59B166C6"/>
    <w:rsid w:val="59C575D2"/>
    <w:rsid w:val="5ADA59D9"/>
    <w:rsid w:val="5B3F7D02"/>
    <w:rsid w:val="5C0733F5"/>
    <w:rsid w:val="5C9D2F32"/>
    <w:rsid w:val="5CBF10FA"/>
    <w:rsid w:val="5CCB5CF1"/>
    <w:rsid w:val="5CDA3F26"/>
    <w:rsid w:val="5D066D29"/>
    <w:rsid w:val="5D8B366E"/>
    <w:rsid w:val="5E337FF2"/>
    <w:rsid w:val="5E443FAD"/>
    <w:rsid w:val="5E6737F7"/>
    <w:rsid w:val="5FF42C38"/>
    <w:rsid w:val="617D1584"/>
    <w:rsid w:val="61882403"/>
    <w:rsid w:val="61BB6BB9"/>
    <w:rsid w:val="64731903"/>
    <w:rsid w:val="64E04304"/>
    <w:rsid w:val="65252E18"/>
    <w:rsid w:val="659C2241"/>
    <w:rsid w:val="66214BD4"/>
    <w:rsid w:val="663C506C"/>
    <w:rsid w:val="667F18FA"/>
    <w:rsid w:val="66E3632D"/>
    <w:rsid w:val="67FF0F45"/>
    <w:rsid w:val="692C5596"/>
    <w:rsid w:val="697F058F"/>
    <w:rsid w:val="6AE85CC0"/>
    <w:rsid w:val="6B39476E"/>
    <w:rsid w:val="6BFA3EFD"/>
    <w:rsid w:val="6CEB2CEF"/>
    <w:rsid w:val="6D6C4C1F"/>
    <w:rsid w:val="6EFA2466"/>
    <w:rsid w:val="6F857F81"/>
    <w:rsid w:val="6FF00E32"/>
    <w:rsid w:val="724807AD"/>
    <w:rsid w:val="725974A3"/>
    <w:rsid w:val="732B58B4"/>
    <w:rsid w:val="739509AF"/>
    <w:rsid w:val="757E794D"/>
    <w:rsid w:val="76515D34"/>
    <w:rsid w:val="782347DB"/>
    <w:rsid w:val="78734B20"/>
    <w:rsid w:val="78E4578C"/>
    <w:rsid w:val="79656B83"/>
    <w:rsid w:val="79775222"/>
    <w:rsid w:val="799D1FE8"/>
    <w:rsid w:val="7A4003FA"/>
    <w:rsid w:val="7B413C96"/>
    <w:rsid w:val="7BA34A0E"/>
    <w:rsid w:val="7BF73FB5"/>
    <w:rsid w:val="7CA23628"/>
    <w:rsid w:val="7CAE31D8"/>
    <w:rsid w:val="7CF745A3"/>
    <w:rsid w:val="7D9F66B2"/>
    <w:rsid w:val="7DD10836"/>
    <w:rsid w:val="7E394D59"/>
    <w:rsid w:val="7E6873EC"/>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5">
    <w:name w:val="heading 2"/>
    <w:basedOn w:val="1"/>
    <w:next w:val="1"/>
    <w:link w:val="39"/>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6">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7">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8"/>
    <w:qFormat/>
    <w:uiPriority w:val="99"/>
    <w:pPr>
      <w:spacing w:after="120"/>
    </w:pPr>
  </w:style>
  <w:style w:type="paragraph" w:customStyle="1" w:styleId="3">
    <w:name w:val="引用1"/>
    <w:basedOn w:val="1"/>
    <w:next w:val="1"/>
    <w:qFormat/>
    <w:uiPriority w:val="0"/>
    <w:pPr>
      <w:wordWrap w:val="0"/>
      <w:spacing w:before="200" w:after="160"/>
      <w:ind w:left="864" w:right="864"/>
      <w:jc w:val="center"/>
    </w:pPr>
    <w:rPr>
      <w:rFonts w:ascii="Times New Roman" w:hAnsi="Times New Roman" w:cs="Times New Roman"/>
      <w:i/>
    </w:r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Document Map"/>
    <w:basedOn w:val="1"/>
    <w:qFormat/>
    <w:uiPriority w:val="0"/>
    <w:pPr>
      <w:shd w:val="clear" w:color="auto" w:fill="000080"/>
    </w:pPr>
  </w:style>
  <w:style w:type="paragraph" w:styleId="10">
    <w:name w:val="Salutation"/>
    <w:basedOn w:val="1"/>
    <w:next w:val="1"/>
    <w:qFormat/>
    <w:uiPriority w:val="0"/>
    <w:rPr>
      <w:rFonts w:ascii="宋体" w:eastAsia="仿宋_GB2312"/>
      <w:szCs w:val="20"/>
    </w:rPr>
  </w:style>
  <w:style w:type="paragraph" w:styleId="11">
    <w:name w:val="Body Text 3"/>
    <w:basedOn w:val="1"/>
    <w:qFormat/>
    <w:uiPriority w:val="0"/>
    <w:pPr>
      <w:spacing w:after="120"/>
    </w:pPr>
    <w:rPr>
      <w:sz w:val="16"/>
      <w:szCs w:val="16"/>
    </w:rPr>
  </w:style>
  <w:style w:type="paragraph" w:styleId="12">
    <w:name w:val="Body Text Indent"/>
    <w:basedOn w:val="1"/>
    <w:qFormat/>
    <w:uiPriority w:val="0"/>
    <w:pPr>
      <w:autoSpaceDE w:val="0"/>
      <w:autoSpaceDN w:val="0"/>
      <w:adjustRightInd w:val="0"/>
      <w:spacing w:line="396" w:lineRule="atLeast"/>
      <w:ind w:firstLine="480"/>
      <w:textAlignment w:val="baseline"/>
    </w:pPr>
    <w:rPr>
      <w:rFonts w:ascii="宋体" w:eastAsia="宋体" w:cs="Times New Roman"/>
      <w:kern w:val="0"/>
      <w:szCs w:val="20"/>
    </w:r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49"/>
    <w:qFormat/>
    <w:uiPriority w:val="0"/>
    <w:pPr>
      <w:shd w:val="solid" w:color="FFFFFF" w:fill="FFFFFF"/>
      <w:jc w:val="center"/>
    </w:pPr>
    <w:rPr>
      <w:rFonts w:ascii="宋体" w:hAnsi="宋体"/>
      <w:kern w:val="0"/>
      <w:sz w:val="84"/>
      <w:szCs w:val="72"/>
    </w:rPr>
  </w:style>
  <w:style w:type="paragraph" w:styleId="15">
    <w:name w:val="Date"/>
    <w:basedOn w:val="1"/>
    <w:next w:val="1"/>
    <w:link w:val="44"/>
    <w:qFormat/>
    <w:uiPriority w:val="0"/>
    <w:rPr>
      <w:sz w:val="24"/>
      <w:szCs w:val="20"/>
    </w:rPr>
  </w:style>
  <w:style w:type="paragraph" w:styleId="16">
    <w:name w:val="Body Text Indent 2"/>
    <w:basedOn w:val="1"/>
    <w:link w:val="50"/>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1"/>
    <w:qFormat/>
    <w:uiPriority w:val="0"/>
    <w:pPr>
      <w:tabs>
        <w:tab w:val="center" w:pos="4153"/>
        <w:tab w:val="right" w:pos="8306"/>
      </w:tabs>
      <w:snapToGrid w:val="0"/>
      <w:jc w:val="left"/>
    </w:pPr>
    <w:rPr>
      <w:sz w:val="18"/>
      <w:szCs w:val="18"/>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qFormat/>
    <w:uiPriority w:val="0"/>
    <w:rPr>
      <w:color w:val="0000FF"/>
      <w:u w:val="single"/>
    </w:rPr>
  </w:style>
  <w:style w:type="paragraph" w:customStyle="1" w:styleId="2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9">
    <w:name w:val="Char"/>
    <w:basedOn w:val="1"/>
    <w:qFormat/>
    <w:uiPriority w:val="0"/>
    <w:rPr>
      <w:rFonts w:ascii="Tahoma" w:hAnsi="Tahoma"/>
      <w:sz w:val="24"/>
      <w:szCs w:val="20"/>
    </w:rPr>
  </w:style>
  <w:style w:type="paragraph" w:customStyle="1" w:styleId="30">
    <w:name w:val="正文2"/>
    <w:basedOn w:val="1"/>
    <w:qFormat/>
    <w:uiPriority w:val="0"/>
    <w:pPr>
      <w:numPr>
        <w:ilvl w:val="0"/>
        <w:numId w:val="2"/>
      </w:numPr>
      <w:spacing w:before="60" w:after="60" w:line="360" w:lineRule="auto"/>
    </w:pPr>
    <w:rPr>
      <w:spacing w:val="6"/>
      <w:sz w:val="24"/>
      <w:szCs w:val="20"/>
    </w:rPr>
  </w:style>
  <w:style w:type="paragraph" w:customStyle="1" w:styleId="31">
    <w:name w:val="5号正文"/>
    <w:link w:val="42"/>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Char Char Char Char Char Char Char Char Char Char Char Char Char Char Char Char"/>
    <w:basedOn w:val="9"/>
    <w:qFormat/>
    <w:uiPriority w:val="0"/>
    <w:pPr>
      <w:spacing w:line="360" w:lineRule="auto"/>
      <w:ind w:firstLine="200" w:firstLineChars="200"/>
    </w:pPr>
  </w:style>
  <w:style w:type="paragraph" w:customStyle="1" w:styleId="34">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5">
    <w:name w:val="附件标题-1"/>
    <w:basedOn w:val="1"/>
    <w:qFormat/>
    <w:uiPriority w:val="0"/>
    <w:pPr>
      <w:spacing w:beforeLines="50" w:afterLines="50"/>
      <w:jc w:val="center"/>
    </w:pPr>
    <w:rPr>
      <w:rFonts w:eastAsia="黑体"/>
      <w:sz w:val="32"/>
      <w:szCs w:val="20"/>
    </w:rPr>
  </w:style>
  <w:style w:type="paragraph" w:customStyle="1" w:styleId="36">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7">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8">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9">
    <w:name w:val="标题 2 Char"/>
    <w:basedOn w:val="25"/>
    <w:link w:val="5"/>
    <w:qFormat/>
    <w:uiPriority w:val="0"/>
    <w:rPr>
      <w:rFonts w:ascii="Helvetica" w:hAnsi="Helvetica" w:eastAsia="宋体"/>
      <w:b/>
      <w:color w:val="000000"/>
      <w:sz w:val="24"/>
      <w:lang w:val="en-US" w:eastAsia="zh-CN" w:bidi="ar-SA"/>
    </w:rPr>
  </w:style>
  <w:style w:type="character" w:customStyle="1" w:styleId="40">
    <w:name w:val="页眉 Char"/>
    <w:basedOn w:val="25"/>
    <w:link w:val="19"/>
    <w:qFormat/>
    <w:uiPriority w:val="0"/>
    <w:rPr>
      <w:rFonts w:eastAsia="宋体"/>
      <w:kern w:val="2"/>
      <w:sz w:val="18"/>
      <w:szCs w:val="18"/>
      <w:lang w:val="en-US" w:eastAsia="zh-CN" w:bidi="ar-SA"/>
    </w:rPr>
  </w:style>
  <w:style w:type="character" w:customStyle="1" w:styleId="41">
    <w:name w:val="页脚 Char"/>
    <w:basedOn w:val="25"/>
    <w:link w:val="18"/>
    <w:qFormat/>
    <w:uiPriority w:val="0"/>
    <w:rPr>
      <w:rFonts w:eastAsia="宋体"/>
      <w:kern w:val="2"/>
      <w:sz w:val="18"/>
      <w:szCs w:val="18"/>
      <w:lang w:val="en-US" w:eastAsia="zh-CN" w:bidi="ar-SA"/>
    </w:rPr>
  </w:style>
  <w:style w:type="character" w:customStyle="1" w:styleId="42">
    <w:name w:val="5号正文 Char"/>
    <w:basedOn w:val="25"/>
    <w:link w:val="31"/>
    <w:qFormat/>
    <w:uiPriority w:val="0"/>
    <w:rPr>
      <w:rFonts w:ascii="楷体_GB2312" w:hAnsi="宋体" w:eastAsia="楷体_GB2312"/>
      <w:snapToGrid w:val="0"/>
      <w:sz w:val="24"/>
      <w:lang w:val="en-US" w:eastAsia="zh-CN" w:bidi="ar-SA"/>
    </w:rPr>
  </w:style>
  <w:style w:type="character" w:customStyle="1" w:styleId="43">
    <w:name w:val="Char Char4"/>
    <w:basedOn w:val="25"/>
    <w:qFormat/>
    <w:uiPriority w:val="0"/>
    <w:rPr>
      <w:rFonts w:eastAsia="宋体"/>
      <w:kern w:val="2"/>
      <w:sz w:val="18"/>
      <w:lang w:val="en-US" w:eastAsia="zh-CN"/>
    </w:rPr>
  </w:style>
  <w:style w:type="character" w:customStyle="1" w:styleId="44">
    <w:name w:val="日期 Char"/>
    <w:link w:val="15"/>
    <w:qFormat/>
    <w:uiPriority w:val="0"/>
    <w:rPr>
      <w:rFonts w:eastAsia="宋体"/>
      <w:kern w:val="2"/>
      <w:sz w:val="24"/>
      <w:lang w:val="en-US" w:eastAsia="zh-CN" w:bidi="ar-SA"/>
    </w:rPr>
  </w:style>
  <w:style w:type="character" w:customStyle="1" w:styleId="45">
    <w:name w:val="小 Char"/>
    <w:qFormat/>
    <w:uiPriority w:val="0"/>
    <w:rPr>
      <w:rFonts w:ascii="宋体" w:hAnsi="Courier New" w:eastAsia="宋体" w:cs="Times New Roman"/>
      <w:kern w:val="2"/>
      <w:sz w:val="21"/>
      <w:lang w:val="en-US" w:eastAsia="zh-CN" w:bidi="ar-SA"/>
    </w:rPr>
  </w:style>
  <w:style w:type="character" w:styleId="46">
    <w:name w:val="Placeholder Text"/>
    <w:basedOn w:val="25"/>
    <w:semiHidden/>
    <w:qFormat/>
    <w:uiPriority w:val="99"/>
    <w:rPr>
      <w:color w:val="808080"/>
    </w:rPr>
  </w:style>
  <w:style w:type="paragraph" w:customStyle="1" w:styleId="47">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8">
    <w:name w:val="正文文本 Char"/>
    <w:basedOn w:val="25"/>
    <w:link w:val="2"/>
    <w:qFormat/>
    <w:uiPriority w:val="99"/>
    <w:rPr>
      <w:kern w:val="2"/>
      <w:sz w:val="21"/>
      <w:szCs w:val="24"/>
    </w:rPr>
  </w:style>
  <w:style w:type="character" w:customStyle="1" w:styleId="49">
    <w:name w:val="纯文本 Char"/>
    <w:basedOn w:val="25"/>
    <w:link w:val="14"/>
    <w:qFormat/>
    <w:uiPriority w:val="0"/>
    <w:rPr>
      <w:rFonts w:ascii="宋体" w:hAnsi="宋体"/>
      <w:sz w:val="84"/>
      <w:szCs w:val="72"/>
      <w:shd w:val="solid" w:color="FFFFFF" w:fill="FFFFFF"/>
    </w:rPr>
  </w:style>
  <w:style w:type="character" w:customStyle="1" w:styleId="50">
    <w:name w:val="正文文本缩进 2 Char"/>
    <w:basedOn w:val="25"/>
    <w:link w:val="16"/>
    <w:qFormat/>
    <w:uiPriority w:val="0"/>
    <w:rPr>
      <w:kern w:val="2"/>
      <w:sz w:val="21"/>
    </w:rPr>
  </w:style>
  <w:style w:type="paragraph" w:styleId="51">
    <w:name w:val="List Paragraph"/>
    <w:basedOn w:val="1"/>
    <w:qFormat/>
    <w:uiPriority w:val="34"/>
    <w:pPr>
      <w:ind w:firstLine="420" w:firstLineChars="200"/>
    </w:pPr>
  </w:style>
  <w:style w:type="paragraph" w:customStyle="1" w:styleId="52">
    <w:name w:val="表格居中"/>
    <w:basedOn w:val="1"/>
    <w:qFormat/>
    <w:uiPriority w:val="0"/>
    <w:pPr>
      <w:spacing w:line="240" w:lineRule="auto"/>
      <w:ind w:firstLine="0" w:firstLineChars="0"/>
      <w:jc w:val="center"/>
    </w:pPr>
    <w:rPr>
      <w:rFonts w:ascii="Times New Roman" w:hAnsi="Times New Roman" w:eastAsia="仿宋" w:cs="Times New Roman"/>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22</Pages>
  <Words>2514</Words>
  <Characters>2578</Characters>
  <Lines>44</Lines>
  <Paragraphs>12</Paragraphs>
  <TotalTime>0</TotalTime>
  <ScaleCrop>false</ScaleCrop>
  <LinksUpToDate>false</LinksUpToDate>
  <CharactersWithSpaces>2588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HellO</cp:lastModifiedBy>
  <cp:lastPrinted>2020-12-11T01:31:00Z</cp:lastPrinted>
  <dcterms:modified xsi:type="dcterms:W3CDTF">2025-12-09T01:30:03Z</dcterms:modified>
  <dc:title>重庆医科大学第二附属医院江南医院工程</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4A0E8B814392491C98E902A54D1E83B5_13</vt:lpwstr>
  </property>
  <property fmtid="{D5CDD505-2E9C-101B-9397-08002B2CF9AE}" pid="4" name="KSOTemplateDocerSaveRecord">
    <vt:lpwstr>eyJoZGlkIjoiMWI5YzY5ZThmYTYzZDM3MzM5NmY5OTY0ZTc3NjA2ZGUiLCJ1c2VySWQiOiI5NTYxMjI2MzkifQ==</vt:lpwstr>
  </property>
</Properties>
</file>