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0059"/>
      <w:bookmarkStart w:id="2" w:name="_Toc31066"/>
      <w:bookmarkStart w:id="3" w:name="_Toc13868"/>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15376"/>
      <w:bookmarkStart w:id="9" w:name="_Toc22435"/>
      <w:bookmarkStart w:id="10" w:name="_Toc28264"/>
      <w:bookmarkStart w:id="11" w:name="_Toc5909"/>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rPr>
        <w:t>项目名称：</w:t>
      </w:r>
      <w:r>
        <w:rPr>
          <w:rFonts w:hint="eastAsia" w:cs="Times New Roman"/>
          <w:i w:val="0"/>
          <w:iCs w:val="0"/>
          <w:color w:val="000000"/>
          <w:kern w:val="2"/>
          <w:sz w:val="24"/>
          <w:szCs w:val="24"/>
          <w:u w:val="none"/>
          <w:lang w:val="en-US" w:eastAsia="zh-CN" w:bidi="ar-SA"/>
        </w:rPr>
        <w:t>神经外科微血管减压垫片、颅内覆膜支架系统、自膨式动脉瘤瘤内栓塞系统、一次性使用钻头</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76373865"/>
            <w:bookmarkStart w:id="16" w:name="_Toc22129"/>
            <w:bookmarkStart w:id="17" w:name="_Toc18060"/>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神经外科微血管减压垫片</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神经外科</w:t>
            </w:r>
          </w:p>
        </w:tc>
      </w:tr>
      <w:tr w14:paraId="75AF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3F33CF9">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10B77AE8">
            <w:pPr>
              <w:keepNext w:val="0"/>
              <w:keepLines w:val="0"/>
              <w:widowControl/>
              <w:suppressLineNumbers w:val="0"/>
              <w:jc w:val="center"/>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颅内覆膜支架系统</w:t>
            </w:r>
          </w:p>
        </w:tc>
        <w:tc>
          <w:tcPr>
            <w:tcW w:w="1327" w:type="dxa"/>
            <w:noWrap w:val="0"/>
            <w:vAlign w:val="center"/>
          </w:tcPr>
          <w:p w14:paraId="6EFB3DDA">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1F9F8C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597CCD81">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神经外科</w:t>
            </w:r>
          </w:p>
        </w:tc>
      </w:tr>
      <w:tr w14:paraId="52CC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21EC231D">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0CF43394">
            <w:pPr>
              <w:keepNext w:val="0"/>
              <w:keepLines w:val="0"/>
              <w:widowControl/>
              <w:suppressLineNumbers w:val="0"/>
              <w:jc w:val="center"/>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自膨式动脉瘤瘤内栓塞系统</w:t>
            </w:r>
          </w:p>
        </w:tc>
        <w:tc>
          <w:tcPr>
            <w:tcW w:w="1327" w:type="dxa"/>
            <w:noWrap w:val="0"/>
            <w:vAlign w:val="center"/>
          </w:tcPr>
          <w:p w14:paraId="3EDED0BF">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4FC9DDFA">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7621434A">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神经外科</w:t>
            </w:r>
          </w:p>
        </w:tc>
      </w:tr>
      <w:tr w14:paraId="7F75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2B4916D">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2E37FF9C">
            <w:pPr>
              <w:keepNext w:val="0"/>
              <w:keepLines w:val="0"/>
              <w:widowControl/>
              <w:suppressLineNumbers w:val="0"/>
              <w:jc w:val="center"/>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一次性使用钻头</w:t>
            </w:r>
          </w:p>
        </w:tc>
        <w:tc>
          <w:tcPr>
            <w:tcW w:w="1327" w:type="dxa"/>
            <w:noWrap w:val="0"/>
            <w:vAlign w:val="center"/>
          </w:tcPr>
          <w:p w14:paraId="28D1DD60">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A6968F4">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740438DE">
            <w:pPr>
              <w:spacing w:before="120" w:beforeLines="50" w:beforeAutospacing="0" w:after="0" w:afterAutospacing="0" w:line="400" w:lineRule="exact"/>
              <w:jc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神经外科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76373866"/>
      <w:bookmarkStart w:id="20" w:name="_Toc26504"/>
      <w:bookmarkStart w:id="21" w:name="_Toc30358"/>
      <w:bookmarkStart w:id="22" w:name="_Toc10137"/>
      <w:bookmarkStart w:id="23" w:name="_Toc25496"/>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654"/>
      <w:bookmarkStart w:id="31" w:name="_Toc7527"/>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神经外科包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为神经</w:t>
      </w:r>
      <w:r>
        <w:rPr>
          <w:rFonts w:hint="eastAsia" w:ascii="宋体" w:hAnsi="宋体" w:cs="宋体"/>
          <w:color w:val="000000"/>
          <w:sz w:val="24"/>
          <w:szCs w:val="24"/>
          <w:lang w:val="en-US" w:eastAsia="zh-CN"/>
        </w:rPr>
        <w:t>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神经外科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神经外科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25272"/>
      <w:bookmarkStart w:id="45" w:name="_Toc4033"/>
      <w:bookmarkStart w:id="46" w:name="_Toc76373872"/>
      <w:bookmarkStart w:id="47" w:name="_Toc1422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76373874"/>
      <w:bookmarkStart w:id="53" w:name="_Toc13391"/>
      <w:bookmarkStart w:id="54" w:name="_Toc2599"/>
      <w:bookmarkStart w:id="55" w:name="_Toc114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517B8CCA">
      <w:pPr>
        <w:spacing w:line="320" w:lineRule="exact"/>
        <w:ind w:left="479" w:leftChars="85" w:hanging="241" w:hangingChars="100"/>
        <w:rPr>
          <w:rFonts w:hint="eastAsia" w:ascii="Times New Roman" w:hAnsi="Times New Roman" w:eastAsia="宋体" w:cs="Times New Roman"/>
          <w:kern w:val="2"/>
          <w:sz w:val="24"/>
          <w:szCs w:val="24"/>
          <w:lang w:val="en-US" w:eastAsia="zh-CN" w:bidi="ar-SA"/>
        </w:rPr>
      </w:pPr>
      <w:bookmarkStart w:id="58" w:name="_Toc76373876"/>
      <w:bookmarkStart w:id="59" w:name="_Toc6355"/>
      <w:bookmarkStart w:id="60" w:name="_Toc29225"/>
      <w:bookmarkStart w:id="61" w:name="_Toc29620"/>
      <w:bookmarkStart w:id="62" w:name="_Toc3046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BB5D10B">
      <w:pPr>
        <w:numPr>
          <w:ilvl w:val="0"/>
          <w:numId w:val="0"/>
        </w:num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用途（功能需求）：用于神经外科显微血管减压术，隔垫在颅神经和责任血管之间进行减压，以治疗因颅神经被颅内血管压迫所致的颅神经疾患。</w:t>
      </w:r>
    </w:p>
    <w:p w14:paraId="3EECB995">
      <w:pPr>
        <w:numPr>
          <w:ilvl w:val="0"/>
          <w:numId w:val="0"/>
        </w:num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技术参数（性状、材质、物理尺寸等，物理尺寸是范围）：</w:t>
      </w:r>
    </w:p>
    <w:p w14:paraId="3D6BDA6D">
      <w:pPr>
        <w:numPr>
          <w:ilvl w:val="0"/>
          <w:numId w:val="0"/>
        </w:num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多种规格；可裁剪；原厂灭菌包装，以便产品溯源的管理和质量管控</w:t>
      </w:r>
      <w:r>
        <w:rPr>
          <w:rFonts w:hint="eastAsia" w:cs="Times New Roman"/>
          <w:kern w:val="2"/>
          <w:sz w:val="24"/>
          <w:szCs w:val="24"/>
          <w:lang w:val="en-US" w:eastAsia="zh-CN" w:bidi="ar-SA"/>
        </w:rPr>
        <w:t>。</w:t>
      </w:r>
    </w:p>
    <w:p w14:paraId="50D0C15F">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3</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耗材组成或成分：聚四氟乙烯片状垫棉结构</w:t>
      </w:r>
      <w:r>
        <w:rPr>
          <w:rFonts w:hint="eastAsia" w:ascii="Times New Roman" w:hAnsi="Times New Roman" w:eastAsia="宋体" w:cs="Times New Roman"/>
          <w:sz w:val="24"/>
          <w:szCs w:val="24"/>
          <w:lang w:val="en-US" w:eastAsia="zh-CN"/>
        </w:rPr>
        <w:t>。</w:t>
      </w:r>
    </w:p>
    <w:p w14:paraId="774E0A1A">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p>
    <w:p w14:paraId="2CFC9E2F">
      <w:pPr>
        <w:spacing w:line="320" w:lineRule="exact"/>
        <w:ind w:left="479" w:leftChars="85" w:hanging="241" w:hangingChars="1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02EC620A">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1.该产品用于颅段颈动脉、椎动脉的外伤性、假性动脉瘤；用于部分其他方法难治的颅段颈动脉、椎动脉瘤；选着性应用于颈动脉海绵窦段以下动脉瘤；使用的病变段血管直径为3.5-4.5mm。</w:t>
      </w:r>
    </w:p>
    <w:p w14:paraId="25F5114C">
      <w:pPr>
        <w:numPr>
          <w:ilvl w:val="0"/>
          <w:numId w:val="0"/>
        </w:numPr>
        <w:spacing w:line="320" w:lineRule="exact"/>
        <w:ind w:left="478" w:leftChars="85" w:hanging="240" w:hangingChars="100"/>
        <w:rPr>
          <w:rFonts w:hint="eastAsia" w:cs="Times New Roman"/>
          <w:sz w:val="24"/>
          <w:szCs w:val="24"/>
          <w:lang w:val="en-US" w:eastAsia="zh-CN"/>
        </w:rPr>
      </w:pPr>
      <w:r>
        <w:rPr>
          <w:rFonts w:hint="eastAsia" w:ascii="Times New Roman" w:hAnsi="Times New Roman" w:eastAsia="宋体" w:cs="Times New Roman"/>
          <w:sz w:val="24"/>
          <w:szCs w:val="24"/>
          <w:lang w:val="en-US" w:eastAsia="zh-CN"/>
        </w:rPr>
        <w:t>2.该产品由预装覆膜支架和输送系统组成。支架由L605钴铬合金制成，覆有膨体聚四氟乙烯膜，缝线的材料为尼龙6和尼龙66。支架结构分为W-S型和W-M型。输送系统为RX型球囊扩张导管，涂有亲水涂层，球囊的材料为Pebax7033</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支架直径为3.5-4.5mm，长度为7-16mm。且有半码等多个规格提供临床选择</w:t>
      </w:r>
      <w:r>
        <w:rPr>
          <w:rFonts w:hint="eastAsia" w:cs="Times New Roman"/>
          <w:sz w:val="24"/>
          <w:szCs w:val="24"/>
          <w:lang w:val="en-US" w:eastAsia="zh-CN"/>
        </w:rPr>
        <w:t>。</w:t>
      </w:r>
    </w:p>
    <w:p w14:paraId="00AA0553">
      <w:pPr>
        <w:numPr>
          <w:ilvl w:val="0"/>
          <w:numId w:val="0"/>
        </w:numPr>
        <w:spacing w:line="320" w:lineRule="exact"/>
        <w:ind w:left="478" w:leftChars="85" w:hanging="240" w:hangingChars="100"/>
        <w:rPr>
          <w:rFonts w:hint="eastAsia" w:cs="Times New Roman"/>
          <w:sz w:val="24"/>
          <w:szCs w:val="24"/>
          <w:lang w:val="en-US" w:eastAsia="zh-CN"/>
        </w:rPr>
      </w:pPr>
    </w:p>
    <w:p w14:paraId="0DD1014C">
      <w:pPr>
        <w:spacing w:line="320" w:lineRule="exact"/>
        <w:ind w:left="479" w:leftChars="85" w:hanging="241" w:hangingChars="100"/>
        <w:rPr>
          <w:rFonts w:hint="eastAsia" w:cs="Times New Roman"/>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378997C9">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自膨式动脉瘤瘤内栓塞系统：</w:t>
      </w:r>
    </w:p>
    <w:p w14:paraId="25472624">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用途：适用于在大脑中动脉分叉部，颈内动脉末端，前交通动脉复合体或基底动脉顶端使用，对动脉瘤直径为3mm至10mm，且瘤颈尺寸≥4mm或者瘤颈比＞1且＜2的囊状宽颈颅内分叉部动脉瘤成年患者进行血管内治疗。</w:t>
      </w:r>
    </w:p>
    <w:p w14:paraId="6DB961FA">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2.技术参数：宽度：4.0-11.00mm各型号、高度：2.0-9.6mm各型号。</w:t>
      </w:r>
    </w:p>
    <w:p w14:paraId="248BCB11">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3.耗材组成部件：自膨式动脉瘤瘤内栓塞系统由植入物和输送导丝组成。植入物为由镍钛合金丝、铂丝/镍钛合金复合丝编织而成的自膨式网状结构，两端含有铂铱合金不透射线标记，通过连接件和输送导丝连接。输送导丝由芯丝、导线、热缩管、聚酰亚胺管、线圈、加热丝、连接器、连接件等组成。</w:t>
      </w:r>
    </w:p>
    <w:p w14:paraId="4CDA5905">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4、产品经辐照灭菌，一次性使用。</w:t>
      </w:r>
    </w:p>
    <w:p w14:paraId="45F83A73">
      <w:pPr>
        <w:pStyle w:val="2"/>
        <w:rPr>
          <w:rFonts w:hint="eastAsia"/>
          <w:lang w:val="en-US" w:eastAsia="zh-CN"/>
        </w:rPr>
      </w:pPr>
    </w:p>
    <w:p w14:paraId="49EF32A3">
      <w:pPr>
        <w:spacing w:line="320" w:lineRule="exact"/>
        <w:ind w:left="479" w:leftChars="85" w:hanging="241" w:hangingChars="100"/>
        <w:rPr>
          <w:rFonts w:hint="eastAsia" w:cs="Times New Roman"/>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03819CEC">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1.功能简介：产品用于打开不同部位颅骨、椎板或行局部颅骨病灶切除。</w:t>
      </w:r>
    </w:p>
    <w:p w14:paraId="638A33AB">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2.材质：具高硬度性，耐磨损性，便于切割骨质的金属。</w:t>
      </w:r>
    </w:p>
    <w:p w14:paraId="0EBE0FF7">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3.参数：具有多种规格型号，包括以下钻头种类及规格：</w:t>
      </w:r>
    </w:p>
    <w:p w14:paraId="181A102E">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①球形钻头：钻头直径3mm-5mm，用于开颅时磨开不同部位颅骨及去除骨瓣后对骨窗进行修整；可用于后颅窝、幕上开颅的规格；</w:t>
      </w:r>
    </w:p>
    <w:p w14:paraId="6E483A8F">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②橡字头钻头：5mm，用于额顶部开颅，适用于厚颅骨的开颅时磨开骨孔，前端安全，用于窦旁及窦上钻孔；</w:t>
      </w:r>
    </w:p>
    <w:p w14:paraId="1ECA2B69">
      <w:pPr>
        <w:numPr>
          <w:ilvl w:val="0"/>
          <w:numId w:val="0"/>
        </w:numPr>
        <w:spacing w:line="320" w:lineRule="exact"/>
        <w:ind w:left="478" w:leftChars="85" w:hanging="240" w:hangingChars="100"/>
        <w:rPr>
          <w:rFonts w:hint="default" w:cs="Times New Roman"/>
          <w:sz w:val="24"/>
          <w:szCs w:val="24"/>
          <w:lang w:val="en-US" w:eastAsia="zh-CN"/>
        </w:rPr>
      </w:pPr>
      <w:r>
        <w:rPr>
          <w:rFonts w:hint="eastAsia" w:cs="Times New Roman"/>
          <w:sz w:val="24"/>
          <w:szCs w:val="24"/>
          <w:lang w:val="en-US" w:eastAsia="zh-CN"/>
        </w:rPr>
        <w:t>③锥形铣刀钻头：钻头直径2.3mm，用于铣开颅骨；</w:t>
      </w:r>
      <w:bookmarkStart w:id="190" w:name="_GoBack"/>
      <w:bookmarkEnd w:id="190"/>
    </w:p>
    <w:p w14:paraId="7C1B2D23">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④球形钻石面钻头：钻头直径1mm-5mm，用于颅骨病变磨除、颅内骨质磨除及经鼻鞍区骨质磨除，具可用于后颅窝、幕上的规格；</w:t>
      </w:r>
    </w:p>
    <w:p w14:paraId="485726AE">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⑤经鼻一体式钻头：产品由磨头和附件组成，一体化设计，钻头长度为13cm，直径3mm-4mm,用于行经鼻鞍区骨质磨除以及内听道处颅骨、岩骨、前床突等深部颅内骨质磨除；</w:t>
      </w:r>
    </w:p>
    <w:p w14:paraId="07B39720">
      <w:pPr>
        <w:numPr>
          <w:ilvl w:val="0"/>
          <w:numId w:val="0"/>
        </w:numPr>
        <w:spacing w:line="320" w:lineRule="exact"/>
        <w:ind w:left="478" w:leftChars="85" w:hanging="240" w:hangingChars="100"/>
        <w:rPr>
          <w:rFonts w:hint="default"/>
          <w:color w:val="auto"/>
          <w:lang w:val="en-US" w:eastAsia="zh-CN"/>
        </w:rPr>
      </w:pPr>
      <w:r>
        <w:rPr>
          <w:rFonts w:hint="eastAsia" w:cs="Times New Roman"/>
          <w:sz w:val="24"/>
          <w:szCs w:val="24"/>
          <w:lang w:val="en-US" w:eastAsia="zh-CN"/>
        </w:rPr>
        <w:t>⑥火柴头形钻头：3mm，用于开颅时骨窗缘钻孔，悬吊硬膜。</w:t>
      </w: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17524"/>
      <w:bookmarkStart w:id="68" w:name="_Toc76373878"/>
      <w:bookmarkStart w:id="69" w:name="_Toc2072"/>
      <w:bookmarkStart w:id="70" w:name="_Toc15650"/>
      <w:bookmarkStart w:id="71" w:name="_Toc17944"/>
      <w:bookmarkStart w:id="72" w:name="_Toc1768"/>
      <w:bookmarkStart w:id="73" w:name="_Toc4791"/>
      <w:bookmarkStart w:id="74" w:name="_Toc7794"/>
      <w:bookmarkStart w:id="75" w:name="_Toc31843"/>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22561"/>
      <w:bookmarkStart w:id="79" w:name="_Toc29836"/>
      <w:bookmarkStart w:id="80" w:name="_Toc30551"/>
      <w:bookmarkStart w:id="81" w:name="_Toc9339"/>
      <w:bookmarkStart w:id="82" w:name="_Toc5959"/>
      <w:bookmarkStart w:id="83" w:name="_Toc76373879"/>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7737"/>
      <w:bookmarkStart w:id="89" w:name="_Toc20772"/>
      <w:bookmarkStart w:id="90" w:name="_Toc12384"/>
      <w:bookmarkStart w:id="91" w:name="_Toc76373885"/>
      <w:bookmarkStart w:id="92" w:name="_Toc2258"/>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11052"/>
      <w:bookmarkStart w:id="96" w:name="_Toc76373886"/>
      <w:bookmarkStart w:id="97" w:name="_Toc12712"/>
      <w:bookmarkStart w:id="98" w:name="_Toc7115"/>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30068"/>
      <w:bookmarkStart w:id="102" w:name="_Toc76373889"/>
      <w:bookmarkStart w:id="103" w:name="_Toc5251"/>
      <w:bookmarkStart w:id="104" w:name="_Toc8546"/>
      <w:bookmarkStart w:id="105" w:name="_Toc2900"/>
      <w:bookmarkStart w:id="106" w:name="_Toc16925"/>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27443"/>
      <w:bookmarkStart w:id="111" w:name="_Toc76373890"/>
      <w:bookmarkStart w:id="112" w:name="_Toc26071"/>
      <w:bookmarkStart w:id="113" w:name="_Toc20034"/>
      <w:bookmarkStart w:id="114" w:name="_Toc1165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76373891"/>
      <w:bookmarkStart w:id="117" w:name="_Toc10864"/>
      <w:bookmarkStart w:id="118" w:name="_Toc27646"/>
      <w:bookmarkStart w:id="119" w:name="_Toc20391"/>
      <w:bookmarkStart w:id="120" w:name="_Toc25199"/>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0152"/>
      <w:bookmarkStart w:id="129" w:name="_Toc24088"/>
      <w:bookmarkStart w:id="130" w:name="_Toc19409"/>
      <w:bookmarkStart w:id="131" w:name="_Toc2975"/>
      <w:bookmarkStart w:id="132" w:name="_Toc76373904"/>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2863"/>
      <w:bookmarkStart w:id="135" w:name="_Toc11892"/>
      <w:bookmarkStart w:id="136" w:name="_Toc7750"/>
      <w:bookmarkStart w:id="137" w:name="_Toc76373907"/>
      <w:bookmarkStart w:id="138" w:name="_Toc16112"/>
      <w:bookmarkStart w:id="139" w:name="_Toc25920"/>
      <w:bookmarkStart w:id="140" w:name="_Toc11763"/>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10063"/>
      <w:bookmarkStart w:id="149" w:name="_Toc3094"/>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493178790"/>
      <w:bookmarkStart w:id="163" w:name="_Toc76373909"/>
      <w:bookmarkStart w:id="164" w:name="_Toc27306"/>
      <w:bookmarkStart w:id="165" w:name="_Toc21830"/>
      <w:bookmarkStart w:id="166" w:name="_Toc21431"/>
      <w:bookmarkStart w:id="167" w:name="_Toc9795"/>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20258"/>
      <w:bookmarkStart w:id="172" w:name="_Toc76373910"/>
      <w:bookmarkStart w:id="173" w:name="_Toc12647"/>
      <w:bookmarkStart w:id="174" w:name="_Toc492721039"/>
      <w:bookmarkStart w:id="175" w:name="_Toc16487"/>
      <w:bookmarkStart w:id="176" w:name="_Toc493178791"/>
      <w:bookmarkStart w:id="177" w:name="_Toc411"/>
      <w:bookmarkStart w:id="178" w:name="_Toc20875"/>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93178793"/>
      <w:bookmarkStart w:id="181" w:name="_Toc19291"/>
      <w:bookmarkStart w:id="182" w:name="_Toc8925"/>
      <w:bookmarkStart w:id="183" w:name="_Toc492721038"/>
      <w:bookmarkStart w:id="184" w:name="_Toc6217"/>
      <w:bookmarkStart w:id="185" w:name="_Toc16151"/>
      <w:bookmarkStart w:id="186" w:name="_Toc76373912"/>
      <w:bookmarkStart w:id="187" w:name="_Toc20605"/>
      <w:bookmarkStart w:id="188" w:name="_Toc4250"/>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F68C61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2B9DA7-501F-4122-831F-8F5F27F87240}"/>
  </w:font>
  <w:font w:name="黑体">
    <w:panose1 w:val="02010609060101010101"/>
    <w:charset w:val="86"/>
    <w:family w:val="auto"/>
    <w:pitch w:val="default"/>
    <w:sig w:usb0="800002BF" w:usb1="38CF7CFA" w:usb2="00000016" w:usb3="00000000" w:csb0="00040001" w:csb1="00000000"/>
    <w:embedRegular r:id="rId2" w:fontKey="{C93044F4-0E8F-436C-AAA9-71A7C98FA7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A3EE2A7-4628-418D-BB5C-CA5065FA6E0E}"/>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5B49A599-8F99-4242-9A05-D86704E1BAE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19B17D8D-6BA3-4946-9CCC-0DEC6C268F97}"/>
  </w:font>
  <w:font w:name="方正黑体_GBK">
    <w:panose1 w:val="03000509000000000000"/>
    <w:charset w:val="86"/>
    <w:family w:val="script"/>
    <w:pitch w:val="default"/>
    <w:sig w:usb0="00000001" w:usb1="080E0000" w:usb2="00000000" w:usb3="00000000" w:csb0="00040000" w:csb1="00000000"/>
    <w:embedRegular r:id="rId6" w:fontKey="{C20D80A0-9EEB-4FC9-940D-68D1D4C27112}"/>
  </w:font>
  <w:font w:name="方正小标宋_GBK">
    <w:panose1 w:val="03000509000000000000"/>
    <w:charset w:val="86"/>
    <w:family w:val="script"/>
    <w:pitch w:val="default"/>
    <w:sig w:usb0="00000001" w:usb1="080E0000" w:usb2="00000000" w:usb3="00000000" w:csb0="00040000" w:csb1="00000000"/>
    <w:embedRegular r:id="rId7" w:fontKey="{F3A78BE2-5D76-4FA5-8AAF-3DB06B4FF935}"/>
  </w:font>
  <w:font w:name="微软雅黑">
    <w:panose1 w:val="020B0503020204020204"/>
    <w:charset w:val="86"/>
    <w:family w:val="swiss"/>
    <w:pitch w:val="default"/>
    <w:sig w:usb0="80000287" w:usb1="2ACF3C50" w:usb2="00000016" w:usb3="00000000" w:csb0="0004001F" w:csb1="00000000"/>
    <w:embedRegular r:id="rId8" w:fontKey="{3C42B02A-B478-421C-BA10-9750AF8B7108}"/>
  </w:font>
  <w:font w:name="仿宋">
    <w:panose1 w:val="02010609060101010101"/>
    <w:charset w:val="86"/>
    <w:family w:val="modern"/>
    <w:pitch w:val="default"/>
    <w:sig w:usb0="800002BF" w:usb1="38CF7CFA" w:usb2="00000016" w:usb3="00000000" w:csb0="00040001" w:csb1="00000000"/>
    <w:embedRegular r:id="rId9" w:fontKey="{C8591FDA-90EB-4440-B4E1-9F0ADEDD6979}"/>
  </w:font>
  <w:font w:name="楷体">
    <w:panose1 w:val="02010609060101010101"/>
    <w:charset w:val="86"/>
    <w:family w:val="modern"/>
    <w:pitch w:val="default"/>
    <w:sig w:usb0="800002BF" w:usb1="38CF7CFA" w:usb2="00000016" w:usb3="00000000" w:csb0="00040001" w:csb1="00000000"/>
    <w:embedRegular r:id="rId10" w:fontKey="{B23B21B7-BC81-42BC-8AF9-32511181B0B3}"/>
  </w:font>
  <w:font w:name="WPSEMBED53">
    <w:panose1 w:val="03000509000000000000"/>
    <w:charset w:val="86"/>
    <w:family w:val="auto"/>
    <w:pitch w:val="default"/>
    <w:sig w:usb0="00000001" w:usb1="080E0000" w:usb2="00000000" w:usb3="00000000" w:csb0="00040000" w:csb1="00000000"/>
  </w:font>
  <w:font w:name="WPSEMBED5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570C92"/>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9D148C"/>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95EDA"/>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9E64EE"/>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03C33"/>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554</Words>
  <Characters>565</Characters>
  <Lines>101</Lines>
  <Paragraphs>28</Paragraphs>
  <TotalTime>2</TotalTime>
  <ScaleCrop>false</ScaleCrop>
  <LinksUpToDate>false</LinksUpToDate>
  <CharactersWithSpaces>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2025-12-10T08:54:32Z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