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0059"/>
      <w:bookmarkStart w:id="2" w:name="_Toc13868"/>
      <w:bookmarkStart w:id="3" w:name="_Toc76373863"/>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22435"/>
      <w:bookmarkStart w:id="9" w:name="_Toc76373864"/>
      <w:bookmarkStart w:id="10" w:name="_Toc5909"/>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5EBAFDD">
      <w:pPr>
        <w:widowControl/>
        <w:spacing w:line="400" w:lineRule="exact"/>
        <w:ind w:firstLine="480" w:firstLineChars="200"/>
        <w:rPr>
          <w:rFonts w:hint="eastAsia" w:ascii="Times New Roman" w:hAnsi="Times New Roman" w:eastAsia="宋体" w:cs="Times New Roman"/>
          <w:i w:val="0"/>
          <w:iCs w:val="0"/>
          <w:color w:val="000000"/>
          <w:kern w:val="2"/>
          <w:sz w:val="24"/>
          <w:szCs w:val="24"/>
          <w:u w:val="none"/>
          <w:lang w:val="en-US" w:eastAsia="zh-CN" w:bidi="ar-SA"/>
        </w:rPr>
      </w:pPr>
      <w:r>
        <w:rPr>
          <w:rFonts w:hint="eastAsia" w:ascii="宋体" w:hAnsi="宋体" w:cs="宋体"/>
          <w:color w:val="000000"/>
          <w:sz w:val="24"/>
          <w:szCs w:val="24"/>
        </w:rPr>
        <w:t>项目名称：</w:t>
      </w:r>
      <w:r>
        <w:rPr>
          <w:rFonts w:hint="eastAsia" w:ascii="Times New Roman" w:hAnsi="Times New Roman" w:eastAsia="宋体" w:cs="Times New Roman"/>
          <w:i w:val="0"/>
          <w:iCs w:val="0"/>
          <w:color w:val="000000"/>
          <w:kern w:val="2"/>
          <w:sz w:val="24"/>
          <w:szCs w:val="24"/>
          <w:u w:val="none"/>
          <w:lang w:val="en-US" w:eastAsia="zh-CN" w:bidi="ar-SA"/>
        </w:rPr>
        <w:t>义眼台、青光眼引流阀、泪点塞、可吸收泪小管塞栓、眼科激光光纤导管、青光眼引流管</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报价方式：可二次报价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22707"/>
            <w:bookmarkStart w:id="16" w:name="_Toc18060"/>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0A92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233F6962">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包二</w:t>
            </w:r>
          </w:p>
        </w:tc>
        <w:tc>
          <w:tcPr>
            <w:tcW w:w="2456" w:type="dxa"/>
            <w:noWrap w:val="0"/>
            <w:vAlign w:val="center"/>
          </w:tcPr>
          <w:p w14:paraId="1DAB6F9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义眼台</w:t>
            </w:r>
          </w:p>
        </w:tc>
        <w:tc>
          <w:tcPr>
            <w:tcW w:w="1327" w:type="dxa"/>
            <w:noWrap w:val="0"/>
            <w:vAlign w:val="center"/>
          </w:tcPr>
          <w:p w14:paraId="2FF77C64">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53B9C04">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vMerge w:val="restart"/>
            <w:noWrap w:val="0"/>
            <w:vAlign w:val="center"/>
          </w:tcPr>
          <w:p w14:paraId="07579688">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眼科</w:t>
            </w:r>
          </w:p>
        </w:tc>
      </w:tr>
      <w:tr w14:paraId="5CC5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0C5477A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包三</w:t>
            </w:r>
          </w:p>
        </w:tc>
        <w:tc>
          <w:tcPr>
            <w:tcW w:w="2456" w:type="dxa"/>
            <w:noWrap w:val="0"/>
            <w:vAlign w:val="center"/>
          </w:tcPr>
          <w:p w14:paraId="5888074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青光眼引流阀</w:t>
            </w:r>
          </w:p>
        </w:tc>
        <w:tc>
          <w:tcPr>
            <w:tcW w:w="1327" w:type="dxa"/>
            <w:noWrap w:val="0"/>
            <w:vAlign w:val="center"/>
          </w:tcPr>
          <w:p w14:paraId="0C713762">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F580B48">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41260667">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0AC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4DD3EE3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包四</w:t>
            </w:r>
          </w:p>
        </w:tc>
        <w:tc>
          <w:tcPr>
            <w:tcW w:w="2456" w:type="dxa"/>
            <w:noWrap w:val="0"/>
            <w:vAlign w:val="center"/>
          </w:tcPr>
          <w:p w14:paraId="0552810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泪点塞</w:t>
            </w:r>
          </w:p>
        </w:tc>
        <w:tc>
          <w:tcPr>
            <w:tcW w:w="1327" w:type="dxa"/>
            <w:noWrap w:val="0"/>
            <w:vAlign w:val="center"/>
          </w:tcPr>
          <w:p w14:paraId="37818BC4">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9D44C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4977A6E8">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81C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44B0930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包五</w:t>
            </w:r>
          </w:p>
        </w:tc>
        <w:tc>
          <w:tcPr>
            <w:tcW w:w="2456" w:type="dxa"/>
            <w:noWrap w:val="0"/>
            <w:vAlign w:val="center"/>
          </w:tcPr>
          <w:p w14:paraId="0CE9390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可吸收泪小管塞栓</w:t>
            </w:r>
          </w:p>
        </w:tc>
        <w:tc>
          <w:tcPr>
            <w:tcW w:w="1327" w:type="dxa"/>
            <w:noWrap w:val="0"/>
            <w:vAlign w:val="center"/>
          </w:tcPr>
          <w:p w14:paraId="2716C746">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4F3915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329C1251">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2D51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70F3E75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包六</w:t>
            </w:r>
          </w:p>
        </w:tc>
        <w:tc>
          <w:tcPr>
            <w:tcW w:w="2456" w:type="dxa"/>
            <w:noWrap w:val="0"/>
            <w:vAlign w:val="center"/>
          </w:tcPr>
          <w:p w14:paraId="038F6FA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眼科激光光纤导管</w:t>
            </w:r>
          </w:p>
        </w:tc>
        <w:tc>
          <w:tcPr>
            <w:tcW w:w="1327" w:type="dxa"/>
            <w:noWrap w:val="0"/>
            <w:vAlign w:val="center"/>
          </w:tcPr>
          <w:p w14:paraId="622BEA0F">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01AB2D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5146C2D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4EB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7" w:type="dxa"/>
            <w:noWrap w:val="0"/>
            <w:vAlign w:val="center"/>
          </w:tcPr>
          <w:p w14:paraId="49762CA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包七</w:t>
            </w:r>
          </w:p>
        </w:tc>
        <w:tc>
          <w:tcPr>
            <w:tcW w:w="2456" w:type="dxa"/>
            <w:noWrap w:val="0"/>
            <w:vAlign w:val="center"/>
          </w:tcPr>
          <w:p w14:paraId="19E3A4E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青光眼引流管</w:t>
            </w:r>
          </w:p>
        </w:tc>
        <w:tc>
          <w:tcPr>
            <w:tcW w:w="1327" w:type="dxa"/>
            <w:noWrap w:val="0"/>
            <w:vAlign w:val="center"/>
          </w:tcPr>
          <w:p w14:paraId="7E5EF5C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7F457A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6E7274A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.本项目为院内产品合同过期重新采购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25496"/>
      <w:bookmarkStart w:id="20" w:name="_Toc3434"/>
      <w:bookmarkStart w:id="21" w:name="_Toc76373866"/>
      <w:bookmarkStart w:id="22" w:name="_Toc10137"/>
      <w:bookmarkStart w:id="23" w:name="_Toc26504"/>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654"/>
      <w:bookmarkStart w:id="32" w:name="_Toc18799"/>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eastAsia="宋体" w:cs="宋体"/>
          <w:color w:val="000000"/>
          <w:sz w:val="24"/>
          <w:szCs w:val="24"/>
          <w:lang w:val="en-US" w:eastAsia="zh-CN"/>
        </w:rPr>
        <w:t>眼科</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eastAsia="宋体" w:cs="宋体"/>
          <w:color w:val="000000"/>
          <w:sz w:val="24"/>
          <w:szCs w:val="24"/>
          <w:lang w:val="en-US" w:eastAsia="zh-CN"/>
        </w:rPr>
        <w:t>眼科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眼科包X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眼科包X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76373872"/>
      <w:bookmarkStart w:id="45" w:name="_Toc9714"/>
      <w:bookmarkStart w:id="46" w:name="_Toc25272"/>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3CDE8CB0">
      <w:pPr>
        <w:widowControl/>
        <w:spacing w:before="120" w:beforeLines="50" w:line="360" w:lineRule="exact"/>
        <w:outlineLvl w:val="1"/>
        <w:rPr>
          <w:rFonts w:hint="eastAsia" w:ascii="Times New Roman" w:hAnsi="Times New Roman" w:eastAsia="宋体" w:cs="Times New Roman"/>
          <w:b/>
          <w:bCs/>
          <w:sz w:val="24"/>
          <w:szCs w:val="24"/>
          <w:lang w:val="en-US" w:eastAsia="zh-CN"/>
        </w:rPr>
      </w:pPr>
      <w:bookmarkStart w:id="50" w:name="_Toc32286"/>
      <w:r>
        <w:rPr>
          <w:rFonts w:hint="eastAsia" w:cs="宋体"/>
          <w:b/>
          <w:sz w:val="24"/>
        </w:rPr>
        <w:t>一、</w:t>
      </w:r>
      <w:bookmarkStart w:id="51" w:name="_Toc76373874"/>
      <w:bookmarkStart w:id="52" w:name="_Toc2599"/>
      <w:bookmarkStart w:id="53" w:name="_Toc3153"/>
      <w:bookmarkStart w:id="54" w:name="_Toc13391"/>
      <w:bookmarkStart w:id="55" w:name="_Toc114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197" w:name="_GoBack"/>
      <w:bookmarkEnd w:id="197"/>
      <w:bookmarkStart w:id="58" w:name="_Toc29225"/>
      <w:bookmarkStart w:id="59" w:name="_Toc76373876"/>
      <w:bookmarkStart w:id="60" w:name="_Toc29620"/>
      <w:bookmarkStart w:id="61" w:name="_Toc6355"/>
      <w:bookmarkStart w:id="62" w:name="_Toc30465"/>
      <w:bookmarkStart w:id="63" w:name="_Toc13107"/>
      <w:bookmarkStart w:id="64" w:name="_Toc1955"/>
    </w:p>
    <w:p w14:paraId="053B5CD3">
      <w:pPr>
        <w:spacing w:line="320" w:lineRule="exact"/>
        <w:ind w:left="479" w:leftChars="85" w:hanging="241" w:hangingChars="1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包2</w:t>
      </w:r>
    </w:p>
    <w:p w14:paraId="1361293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用于眼球摘除、眼内容物剜除或眼外伤术后眼眶容积缺损的填充，以支撑眼部软组织、安装义眼片，恢复面部美观。</w:t>
      </w:r>
    </w:p>
    <w:p w14:paraId="000498D9">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材料成分：羟基磷灰石，或高密度多孔聚乙烯，或生物陶瓷</w:t>
      </w:r>
      <w:r>
        <w:rPr>
          <w:rFonts w:hint="eastAsia" w:ascii="Times New Roman" w:hAnsi="Times New Roman" w:eastAsia="宋体" w:cs="Times New Roman"/>
          <w:sz w:val="24"/>
          <w:szCs w:val="24"/>
          <w:lang w:val="en-US" w:eastAsia="zh-CN"/>
        </w:rPr>
        <w:t>。</w:t>
      </w:r>
    </w:p>
    <w:p w14:paraId="27DE64B6">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须为相互贯通的多孔结构，孔径≥100μm，孔隙率≥50%。形状包括但不限于块、片、球形等，可接受预制形状。尺寸包括但不限于14-22mm。有便于直肌缝合连接的预置孔道或凹槽，且其设计应能有效防止缝线切割。</w:t>
      </w:r>
    </w:p>
    <w:p w14:paraId="2D6C7C9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产品必须以无菌状态提供，且产品必须无热源，细菌内毒素含量应＜0.5EU/mL。</w:t>
      </w:r>
    </w:p>
    <w:p w14:paraId="2936391F">
      <w:pPr>
        <w:pStyle w:val="3"/>
        <w:rPr>
          <w:rFonts w:hint="default"/>
          <w:lang w:val="en-US" w:eastAsia="zh-CN"/>
        </w:rPr>
      </w:pPr>
    </w:p>
    <w:p w14:paraId="50127C6C">
      <w:pPr>
        <w:spacing w:line="320" w:lineRule="exact"/>
        <w:ind w:left="479" w:leftChars="85" w:hanging="241" w:hangingChars="1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包3</w:t>
      </w:r>
    </w:p>
    <w:p w14:paraId="22E64868">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用于难治性青光眼的手术治疗，通过建立房水外引流通道以降低眼压。</w:t>
      </w:r>
    </w:p>
    <w:p w14:paraId="45CCA02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产品由引流管和盘片（引流板）组成。盘片为柔性、生物相容性良好的材料，如硅胶或聚丙烯。引流管应为医用级硅胶管，具有一定的柔韧性和抗压性，不易扭结。</w:t>
      </w:r>
    </w:p>
    <w:p w14:paraId="25414B0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产品防过度引流设计，显影性。提供不同尺寸的盘片以满足不同患者的需求，引流管内径:≤0.305mm，外径:≤0.635mm</w:t>
      </w:r>
      <w:r>
        <w:rPr>
          <w:rFonts w:hint="eastAsia" w:ascii="Times New Roman" w:hAnsi="Times New Roman" w:eastAsia="宋体" w:cs="Times New Roman"/>
          <w:sz w:val="24"/>
          <w:szCs w:val="24"/>
          <w:lang w:val="en-US" w:eastAsia="zh-CN"/>
        </w:rPr>
        <w:t>。</w:t>
      </w:r>
    </w:p>
    <w:p w14:paraId="06EFB273">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独立无菌包装，须提供或可选配一次性使用无菌导针或类似工具。</w:t>
      </w:r>
      <w:r>
        <w:rPr>
          <w:rFonts w:hint="default" w:ascii="Times New Roman" w:hAnsi="Times New Roman" w:eastAsia="宋体" w:cs="Times New Roman"/>
          <w:sz w:val="24"/>
          <w:szCs w:val="24"/>
          <w:lang w:val="en-US" w:eastAsia="zh-CN"/>
        </w:rPr>
        <w:br w:type="textWrapping"/>
      </w:r>
    </w:p>
    <w:p w14:paraId="3A1F41D7">
      <w:pPr>
        <w:spacing w:line="320" w:lineRule="exact"/>
        <w:ind w:left="479" w:leftChars="85" w:hanging="241" w:hangingChars="1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包4</w:t>
      </w:r>
    </w:p>
    <w:p w14:paraId="6678513C">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材质要求，医用级不可吸收材质制作，如医用级硅胶等。分有孔型和无孔型。用于阻塞泪点，治疗干眼症或相关眼表疾病，减少泪液流失。</w:t>
      </w:r>
    </w:p>
    <w:p w14:paraId="0E59B615">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须带有贯通孔道，孔径均匀，允许部分泪液通过。提供多种规格以适应不同大小的泪点。直径0.5-1.0mm。植入后应具有良好的固定性，不易脱落；头部设计应平滑，无锐利边缘，避免刺激结膜或角膜。</w:t>
      </w:r>
    </w:p>
    <w:p w14:paraId="28A286E1">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无孔型：治疗眼病手术中用于堵塞泪点，完全阻塞。伞状或杆状设计，整体密封，无任何孔道，实现泪点的完全阻塞。提供多种规格以适应不同大小的泪点。直径0.5-1.2mm。有良好的固定性和平滑的表面设计。</w:t>
      </w:r>
    </w:p>
    <w:p w14:paraId="7EADCBC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生物相容性，无菌提供，可视性良好，须配备专用的植入器或引导针头。</w:t>
      </w:r>
    </w:p>
    <w:p w14:paraId="34223FB2">
      <w:pPr>
        <w:pStyle w:val="3"/>
        <w:rPr>
          <w:rFonts w:hint="default"/>
          <w:lang w:val="en-US" w:eastAsia="zh-CN"/>
        </w:rPr>
      </w:pPr>
    </w:p>
    <w:p w14:paraId="5D2A638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包5</w:t>
      </w:r>
    </w:p>
    <w:p w14:paraId="5315976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用于干眼治疗，可以部分堵塞泪小管延缓泪液代谢。</w:t>
      </w:r>
    </w:p>
    <w:p w14:paraId="615F2849">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由可吸收材料制成，胶原蛋白或合成共聚物等</w:t>
      </w:r>
      <w:r>
        <w:rPr>
          <w:rFonts w:hint="eastAsia" w:ascii="Times New Roman" w:hAnsi="Times New Roman" w:eastAsia="宋体" w:cs="Times New Roman"/>
          <w:sz w:val="24"/>
          <w:szCs w:val="24"/>
          <w:lang w:val="en-US" w:eastAsia="zh-CN"/>
        </w:rPr>
        <w:t>。</w:t>
      </w:r>
    </w:p>
    <w:p w14:paraId="2F1879A2">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生物相容性，产品在泪道内的完全降解吸收时间应可控且明确，降解过程平稳。降解时间≥3个月。</w:t>
      </w:r>
    </w:p>
    <w:p w14:paraId="7847E2CB">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遇泪液后应能发生温和、适度的水合膨胀。产品可视性，为天然色或添加了安全无毒的可见染料，直径≥0.4mm。</w:t>
      </w:r>
    </w:p>
    <w:p w14:paraId="13A069E3">
      <w:pPr>
        <w:rPr>
          <w:rFonts w:hint="default"/>
          <w:lang w:val="en-US" w:eastAsia="zh-CN"/>
        </w:rPr>
      </w:pPr>
    </w:p>
    <w:p w14:paraId="6C10BBE9">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包6</w:t>
      </w:r>
    </w:p>
    <w:p w14:paraId="1A851EFF">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用于青光眼手术原发性开角型青光眼；先天性青光眼 / 发育性青光眼；青少年型开角型青光眼</w:t>
      </w:r>
    </w:p>
    <w:p w14:paraId="57541348">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该产品包括光源连接器、中央接头、连接眼科专用推注器的母鲁尔接头、光导纤维、灌注导管、光纤导管。产品无菌提供，生物相容性，必须强调对儿童眼部组织的安全性。</w:t>
      </w:r>
    </w:p>
    <w:p w14:paraId="7E62506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光源连接器，声明可兼容的主流机关及品牌和型号，连接连接牢固，插拔顺畅，无松动，确保激光能量传输稳定。</w:t>
      </w:r>
    </w:p>
    <w:p w14:paraId="306CC24C">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母鲁尔接头，须为国际标准母鲁尔接头，能保证与主流品牌的眼科手术推注器无缝连接，无泄漏，实现同步灌注。</w:t>
      </w:r>
    </w:p>
    <w:p w14:paraId="5155A514">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光导纤维，传输效率高，核心直径提供多种尺寸的供选择，输出光斑均匀</w:t>
      </w:r>
    </w:p>
    <w:p w14:paraId="27492653">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灌注导管和光纤导管，导管直径 ≤23G（0.65mm） ，导管整体应具有优异的柔韧性，头部可进行一定角度的弯曲（如&gt;30°），且不易折断，有X射线不透光的显影标记。灌注导管应能提供稳定、连续的灌注液流，维持术中眼压稳定。</w:t>
      </w:r>
    </w:p>
    <w:p w14:paraId="0A036940">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r>
        <w:rPr>
          <w:rFonts w:hint="eastAsia" w:asci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独立无菌包装，无热源，生物相容性，光纤护套无激光泄漏，确保安全。</w:t>
      </w:r>
    </w:p>
    <w:p w14:paraId="1ED3A4E2">
      <w:pPr>
        <w:pStyle w:val="2"/>
        <w:rPr>
          <w:rFonts w:hint="default"/>
          <w:lang w:val="en-US" w:eastAsia="zh-CN"/>
        </w:rPr>
      </w:pPr>
    </w:p>
    <w:p w14:paraId="1425E93D">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包7</w:t>
      </w:r>
    </w:p>
    <w:p w14:paraId="5D9A0A32">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于青光眼手术，适用于同时满足以下4种条件的开角型青光眼：房角入口较宽；单纯用药效果不佳或不能用药；房角激光治疗不能控制病情进展或医生判断不宜开展或无法开展房角激光治疗；传统滤过性手术效果不佳或不能耐受。</w:t>
      </w:r>
    </w:p>
    <w:p w14:paraId="5EF2CFB8">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材料：医用级硅胶，由引流盘和引流管组成。</w:t>
      </w:r>
    </w:p>
    <w:p w14:paraId="1A207B8E">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压力控制机制：压力依赖阀或无阀限流设计，防过度引流设计，显影性。</w:t>
      </w:r>
    </w:p>
    <w:p w14:paraId="2BB2FE7D">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提供不同尺寸的引流盘以适应不同患者的需求，引流管内径≧45μm，长度≧6mm，引流盘应设计有便于巩膜固定的缝合孔，引流管可修剪。</w:t>
      </w:r>
    </w:p>
    <w:p w14:paraId="24C3B6FC">
      <w:pPr>
        <w:pStyle w:val="2"/>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无菌提供，无热源，须提供或可选配一次性使用无菌导针。</w:t>
      </w:r>
    </w:p>
    <w:p w14:paraId="4751495E">
      <w:pPr>
        <w:pStyle w:val="3"/>
        <w:rPr>
          <w:rFonts w:hint="default"/>
          <w:lang w:val="en-US" w:eastAsia="zh-CN"/>
        </w:rPr>
      </w:pPr>
    </w:p>
    <w:p w14:paraId="72684110">
      <w:pPr>
        <w:pStyle w:val="3"/>
        <w:jc w:val="both"/>
        <w:rPr>
          <w:rFonts w:hint="default"/>
          <w:lang w:val="en-US" w:eastAsia="zh-CN"/>
        </w:rPr>
      </w:pPr>
    </w:p>
    <w:p w14:paraId="663F6394">
      <w:pPr>
        <w:pStyle w:val="3"/>
        <w:rPr>
          <w:rFonts w:hint="default"/>
          <w:lang w:val="en-US" w:eastAsia="zh-CN"/>
        </w:rPr>
      </w:pPr>
    </w:p>
    <w:p w14:paraId="05A99B3C">
      <w:pPr>
        <w:pStyle w:val="3"/>
        <w:jc w:val="both"/>
        <w:rPr>
          <w:rFonts w:hint="default"/>
          <w:lang w:val="en-US" w:eastAsia="zh-CN"/>
        </w:rPr>
      </w:pPr>
    </w:p>
    <w:p w14:paraId="07B39720">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5650"/>
      <w:bookmarkStart w:id="68" w:name="_Toc7794"/>
      <w:bookmarkStart w:id="69" w:name="_Toc1768"/>
      <w:bookmarkStart w:id="70" w:name="_Toc76373878"/>
      <w:bookmarkStart w:id="71" w:name="_Toc31843"/>
      <w:bookmarkStart w:id="72" w:name="_Toc2072"/>
      <w:bookmarkStart w:id="73" w:name="_Toc17944"/>
      <w:bookmarkStart w:id="74" w:name="_Toc4791"/>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76373879"/>
      <w:bookmarkStart w:id="79" w:name="_Toc30551"/>
      <w:bookmarkStart w:id="80" w:name="_Toc5959"/>
      <w:bookmarkStart w:id="81" w:name="_Toc14311"/>
      <w:bookmarkStart w:id="82" w:name="_Toc9339"/>
      <w:bookmarkStart w:id="83" w:name="_Toc29836"/>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258"/>
      <w:bookmarkStart w:id="89" w:name="_Toc27737"/>
      <w:bookmarkStart w:id="90" w:name="_Toc12384"/>
      <w:bookmarkStart w:id="91" w:name="_Toc76373885"/>
      <w:bookmarkStart w:id="92" w:name="_Toc20772"/>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11052"/>
      <w:bookmarkStart w:id="96" w:name="_Toc28189"/>
      <w:bookmarkStart w:id="97" w:name="_Toc76373886"/>
      <w:bookmarkStart w:id="98" w:name="_Toc7115"/>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3585"/>
      <w:bookmarkStart w:id="102" w:name="_Toc76373887"/>
      <w:bookmarkStart w:id="103" w:name="_Toc19809"/>
      <w:bookmarkStart w:id="104" w:name="_Toc31293"/>
      <w:bookmarkStart w:id="105" w:name="_Toc5535"/>
      <w:bookmarkStart w:id="106" w:name="_Toc9147"/>
      <w:bookmarkStart w:id="107" w:name="_Toc26754"/>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5251"/>
      <w:bookmarkStart w:id="109" w:name="_Toc2900"/>
      <w:bookmarkStart w:id="110" w:name="_Toc8546"/>
      <w:bookmarkStart w:id="111" w:name="_Toc76373889"/>
      <w:bookmarkStart w:id="112" w:name="_Toc16925"/>
      <w:bookmarkStart w:id="113" w:name="_Toc30068"/>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7443"/>
      <w:bookmarkStart w:id="118" w:name="_Toc26071"/>
      <w:bookmarkStart w:id="119" w:name="_Toc76373890"/>
      <w:bookmarkStart w:id="120" w:name="_Toc20034"/>
      <w:bookmarkStart w:id="121" w:name="_Toc11342"/>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0391"/>
      <w:bookmarkStart w:id="125" w:name="_Toc27646"/>
      <w:bookmarkStart w:id="126" w:name="_Toc10864"/>
      <w:bookmarkStart w:id="127" w:name="_Toc25199"/>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2975"/>
      <w:bookmarkStart w:id="137" w:name="_Toc19409"/>
      <w:bookmarkStart w:id="138" w:name="_Toc10152"/>
      <w:bookmarkStart w:id="139" w:name="_Toc20762"/>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12863"/>
      <w:bookmarkStart w:id="143" w:name="_Toc7750"/>
      <w:bookmarkStart w:id="144" w:name="_Toc11892"/>
      <w:bookmarkStart w:id="145" w:name="_Toc16112"/>
      <w:bookmarkStart w:id="146" w:name="_Toc76373907"/>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27306"/>
      <w:bookmarkStart w:id="171" w:name="_Toc21830"/>
      <w:bookmarkStart w:id="172" w:name="_Toc493178790"/>
      <w:bookmarkStart w:id="173" w:name="_Toc21431"/>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11"/>
      <w:bookmarkStart w:id="179" w:name="_Toc20875"/>
      <w:bookmarkStart w:id="180" w:name="_Toc16487"/>
      <w:bookmarkStart w:id="181" w:name="_Toc493178791"/>
      <w:bookmarkStart w:id="182" w:name="_Toc492721039"/>
      <w:bookmarkStart w:id="183" w:name="_Toc20258"/>
      <w:bookmarkStart w:id="184" w:name="_Toc12647"/>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2721038"/>
      <w:bookmarkStart w:id="188" w:name="_Toc493178793"/>
      <w:bookmarkStart w:id="189" w:name="_Toc76373912"/>
      <w:bookmarkStart w:id="190" w:name="_Toc16151"/>
      <w:bookmarkStart w:id="191" w:name="_Toc20605"/>
      <w:bookmarkStart w:id="192" w:name="_Toc4250"/>
      <w:bookmarkStart w:id="193" w:name="_Toc19291"/>
      <w:bookmarkStart w:id="194" w:name="_Toc8925"/>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0211303">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8C5EB2-2ACD-4884-9444-6A9E662088FB}"/>
  </w:font>
  <w:font w:name="黑体">
    <w:panose1 w:val="02010609060101010101"/>
    <w:charset w:val="86"/>
    <w:family w:val="auto"/>
    <w:pitch w:val="default"/>
    <w:sig w:usb0="800002BF" w:usb1="38CF7CFA" w:usb2="00000016" w:usb3="00000000" w:csb0="00040001" w:csb1="00000000"/>
    <w:embedRegular r:id="rId2" w:fontKey="{2B3D2CEA-82E8-4C4D-9FC1-889EF3ABF5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220D1EA-BF01-4FE3-8291-A1D666CC959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873950EC-39BD-47E9-B683-9126B2F0330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6BB43372-079E-494B-A0CE-3763E08DF519}"/>
  </w:font>
  <w:font w:name="方正黑体_GBK">
    <w:panose1 w:val="03000509000000000000"/>
    <w:charset w:val="86"/>
    <w:family w:val="script"/>
    <w:pitch w:val="default"/>
    <w:sig w:usb0="00000001" w:usb1="080E0000" w:usb2="00000000" w:usb3="00000000" w:csb0="00040000" w:csb1="00000000"/>
    <w:embedRegular r:id="rId6" w:fontKey="{770E57DB-D7FF-49C2-BA35-74B03DBD2DAC}"/>
  </w:font>
  <w:font w:name="方正小标宋_GBK">
    <w:panose1 w:val="03000509000000000000"/>
    <w:charset w:val="86"/>
    <w:family w:val="script"/>
    <w:pitch w:val="default"/>
    <w:sig w:usb0="00000001" w:usb1="080E0000" w:usb2="00000000" w:usb3="00000000" w:csb0="00040000" w:csb1="00000000"/>
    <w:embedRegular r:id="rId7" w:fontKey="{A58038F6-225C-4B85-B739-AB6CCAC19B90}"/>
  </w:font>
  <w:font w:name="微软雅黑">
    <w:panose1 w:val="020B0503020204020204"/>
    <w:charset w:val="86"/>
    <w:family w:val="swiss"/>
    <w:pitch w:val="default"/>
    <w:sig w:usb0="80000287" w:usb1="2ACF3C50" w:usb2="00000016" w:usb3="00000000" w:csb0="0004001F" w:csb1="00000000"/>
    <w:embedRegular r:id="rId8" w:fontKey="{8BD3D5BA-68AB-4503-BC92-124E0B81390E}"/>
  </w:font>
  <w:font w:name="仿宋">
    <w:panose1 w:val="02010609060101010101"/>
    <w:charset w:val="86"/>
    <w:family w:val="modern"/>
    <w:pitch w:val="default"/>
    <w:sig w:usb0="800002BF" w:usb1="38CF7CFA" w:usb2="00000016" w:usb3="00000000" w:csb0="00040001" w:csb1="00000000"/>
    <w:embedRegular r:id="rId9" w:fontKey="{DBEEC870-485D-48DA-9119-CC373E81640E}"/>
  </w:font>
  <w:font w:name="楷体">
    <w:panose1 w:val="02010609060101010101"/>
    <w:charset w:val="86"/>
    <w:family w:val="modern"/>
    <w:pitch w:val="default"/>
    <w:sig w:usb0="800002BF" w:usb1="38CF7CFA" w:usb2="00000016" w:usb3="00000000" w:csb0="00040001" w:csb1="00000000"/>
    <w:embedRegular r:id="rId10" w:fontKey="{887A6945-96D6-4951-AE96-8AD243F7EFF6}"/>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422796"/>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321039"/>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0599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24B3D"/>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11619"/>
    <w:rsid w:val="68987360"/>
    <w:rsid w:val="68B910F3"/>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uiPriority w:val="0"/>
  </w:style>
  <w:style w:type="table" w:default="1" w:styleId="59">
    <w:name w:val="Normal Table"/>
    <w:unhideWhenUsed/>
    <w:uiPriority w:val="99"/>
    <w:tblPr>
      <w:tblCellMar>
        <w:top w:w="0" w:type="dxa"/>
        <w:left w:w="108" w:type="dxa"/>
        <w:bottom w:w="0" w:type="dxa"/>
        <w:right w:w="108" w:type="dxa"/>
      </w:tblCellMar>
    </w:tblPr>
  </w:style>
  <w:style w:type="paragraph" w:styleId="2">
    <w:name w:val="Body Text"/>
    <w:basedOn w:val="1"/>
    <w:next w:val="3"/>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uiPriority w:val="0"/>
    <w:pPr>
      <w:adjustRightInd w:val="0"/>
      <w:snapToGrid w:val="0"/>
      <w:spacing w:line="360" w:lineRule="auto"/>
      <w:ind w:left="100" w:leftChars="400" w:hanging="200" w:hangingChars="200"/>
    </w:pPr>
    <w:rPr>
      <w:sz w:val="24"/>
    </w:rPr>
  </w:style>
  <w:style w:type="paragraph" w:styleId="14">
    <w:name w:val="toc 7"/>
    <w:basedOn w:val="1"/>
    <w:next w:val="1"/>
    <w:uiPriority w:val="0"/>
    <w:pPr>
      <w:ind w:left="2520" w:leftChars="1200"/>
    </w:pPr>
  </w:style>
  <w:style w:type="paragraph" w:styleId="15">
    <w:name w:val="List Number 2"/>
    <w:basedOn w:val="1"/>
    <w:uiPriority w:val="0"/>
    <w:pPr>
      <w:tabs>
        <w:tab w:val="left" w:pos="780"/>
      </w:tabs>
      <w:spacing w:line="360" w:lineRule="auto"/>
      <w:ind w:left="780" w:hanging="360"/>
    </w:pPr>
    <w:rPr>
      <w:sz w:val="24"/>
    </w:rPr>
  </w:style>
  <w:style w:type="paragraph" w:styleId="16">
    <w:name w:val="List Bullet 4"/>
    <w:basedOn w:val="1"/>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uiPriority w:val="0"/>
    <w:pPr>
      <w:shd w:val="clear" w:color="auto" w:fill="000080"/>
    </w:pPr>
  </w:style>
  <w:style w:type="paragraph" w:styleId="20">
    <w:name w:val="toa heading"/>
    <w:basedOn w:val="1"/>
    <w:next w:val="1"/>
    <w:uiPriority w:val="0"/>
    <w:pPr>
      <w:spacing w:before="120" w:beforeLines="0" w:beforeAutospacing="0"/>
    </w:pPr>
    <w:rPr>
      <w:rFonts w:ascii="Arial" w:hAnsi="Arial"/>
      <w:sz w:val="24"/>
    </w:rPr>
  </w:style>
  <w:style w:type="paragraph" w:styleId="21">
    <w:name w:val="annotation text"/>
    <w:basedOn w:val="1"/>
    <w:link w:val="70"/>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uiPriority w:val="0"/>
    <w:pPr>
      <w:adjustRightInd w:val="0"/>
      <w:snapToGrid w:val="0"/>
      <w:spacing w:after="120" w:afterLines="0" w:afterAutospacing="0" w:line="360" w:lineRule="auto"/>
    </w:pPr>
    <w:rPr>
      <w:sz w:val="16"/>
    </w:rPr>
  </w:style>
  <w:style w:type="paragraph" w:styleId="23">
    <w:name w:val="List Bullet 3"/>
    <w:basedOn w:val="1"/>
    <w:uiPriority w:val="0"/>
    <w:pPr>
      <w:tabs>
        <w:tab w:val="left" w:pos="1200"/>
      </w:tabs>
      <w:adjustRightInd w:val="0"/>
      <w:snapToGrid w:val="0"/>
      <w:spacing w:line="360" w:lineRule="auto"/>
      <w:ind w:left="1200" w:hanging="360"/>
    </w:pPr>
    <w:rPr>
      <w:sz w:val="24"/>
    </w:rPr>
  </w:style>
  <w:style w:type="paragraph" w:styleId="24">
    <w:name w:val="Body Text Indent"/>
    <w:basedOn w:val="1"/>
    <w:uiPriority w:val="0"/>
    <w:pPr>
      <w:spacing w:line="700" w:lineRule="exact"/>
      <w:ind w:left="960"/>
    </w:pPr>
    <w:rPr>
      <w:sz w:val="44"/>
    </w:rPr>
  </w:style>
  <w:style w:type="paragraph" w:styleId="25">
    <w:name w:val="List Number 3"/>
    <w:basedOn w:val="1"/>
    <w:uiPriority w:val="0"/>
    <w:pPr>
      <w:tabs>
        <w:tab w:val="left" w:pos="2120"/>
      </w:tabs>
      <w:adjustRightInd w:val="0"/>
      <w:snapToGrid w:val="0"/>
      <w:spacing w:line="360" w:lineRule="auto"/>
      <w:ind w:left="2120" w:hanging="720"/>
    </w:pPr>
    <w:rPr>
      <w:sz w:val="24"/>
    </w:rPr>
  </w:style>
  <w:style w:type="paragraph" w:styleId="26">
    <w:name w:val="List 2"/>
    <w:basedOn w:val="1"/>
    <w:uiPriority w:val="0"/>
    <w:pPr>
      <w:adjustRightInd w:val="0"/>
      <w:snapToGrid w:val="0"/>
      <w:spacing w:line="360" w:lineRule="auto"/>
      <w:ind w:left="100" w:leftChars="200" w:hanging="200" w:hangingChars="200"/>
    </w:pPr>
    <w:rPr>
      <w:sz w:val="24"/>
    </w:rPr>
  </w:style>
  <w:style w:type="paragraph" w:styleId="27">
    <w:name w:val="List Continue"/>
    <w:basedOn w:val="1"/>
    <w:uiPriority w:val="0"/>
    <w:pPr>
      <w:adjustRightInd w:val="0"/>
      <w:snapToGrid w:val="0"/>
      <w:spacing w:after="120" w:afterLines="0" w:afterAutospacing="0" w:line="360" w:lineRule="auto"/>
      <w:ind w:left="420" w:leftChars="200"/>
    </w:pPr>
    <w:rPr>
      <w:sz w:val="24"/>
    </w:rPr>
  </w:style>
  <w:style w:type="paragraph" w:styleId="28">
    <w:name w:val="List Bullet 2"/>
    <w:basedOn w:val="1"/>
    <w:uiPriority w:val="0"/>
    <w:pPr>
      <w:tabs>
        <w:tab w:val="left" w:pos="780"/>
      </w:tabs>
      <w:adjustRightInd w:val="0"/>
      <w:snapToGrid w:val="0"/>
      <w:spacing w:line="360" w:lineRule="auto"/>
      <w:ind w:left="780" w:hanging="360"/>
    </w:pPr>
    <w:rPr>
      <w:sz w:val="24"/>
    </w:rPr>
  </w:style>
  <w:style w:type="paragraph" w:styleId="29">
    <w:name w:val="toc 5"/>
    <w:basedOn w:val="1"/>
    <w:next w:val="1"/>
    <w:uiPriority w:val="0"/>
    <w:pPr>
      <w:ind w:left="1680" w:leftChars="800"/>
    </w:pPr>
  </w:style>
  <w:style w:type="paragraph" w:styleId="30">
    <w:name w:val="toc 3"/>
    <w:basedOn w:val="1"/>
    <w:next w:val="1"/>
    <w:uiPriority w:val="0"/>
    <w:pPr>
      <w:ind w:left="840" w:leftChars="400"/>
    </w:pPr>
  </w:style>
  <w:style w:type="paragraph" w:styleId="31">
    <w:name w:val="Plain Text"/>
    <w:basedOn w:val="1"/>
    <w:uiPriority w:val="0"/>
    <w:pPr>
      <w:adjustRightInd w:val="0"/>
      <w:snapToGrid w:val="0"/>
      <w:spacing w:line="360" w:lineRule="auto"/>
    </w:pPr>
    <w:rPr>
      <w:rFonts w:ascii="宋体" w:hAnsi="Courier New"/>
      <w:sz w:val="21"/>
    </w:rPr>
  </w:style>
  <w:style w:type="paragraph" w:styleId="32">
    <w:name w:val="toc 8"/>
    <w:basedOn w:val="1"/>
    <w:next w:val="1"/>
    <w:uiPriority w:val="0"/>
    <w:pPr>
      <w:ind w:left="2940" w:leftChars="1400"/>
    </w:pPr>
  </w:style>
  <w:style w:type="paragraph" w:styleId="33">
    <w:name w:val="Date"/>
    <w:basedOn w:val="1"/>
    <w:next w:val="1"/>
    <w:link w:val="71"/>
    <w:uiPriority w:val="0"/>
  </w:style>
  <w:style w:type="paragraph" w:styleId="34">
    <w:name w:val="Body Text Indent 2"/>
    <w:basedOn w:val="1"/>
    <w:uiPriority w:val="0"/>
    <w:pPr>
      <w:snapToGrid w:val="0"/>
      <w:spacing w:line="440" w:lineRule="atLeast"/>
      <w:ind w:firstLine="570"/>
    </w:pPr>
    <w:rPr>
      <w:rFonts w:ascii="宋体"/>
    </w:rPr>
  </w:style>
  <w:style w:type="paragraph" w:styleId="35">
    <w:name w:val="Balloon Text"/>
    <w:basedOn w:val="1"/>
    <w:uiPriority w:val="0"/>
    <w:rPr>
      <w:sz w:val="18"/>
    </w:rPr>
  </w:style>
  <w:style w:type="paragraph" w:styleId="36">
    <w:name w:val="footer"/>
    <w:basedOn w:val="1"/>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uiPriority w:val="0"/>
    <w:pPr>
      <w:adjustRightInd w:val="0"/>
      <w:snapToGrid w:val="0"/>
      <w:spacing w:after="120" w:afterLines="0" w:afterAutospacing="0" w:line="360" w:lineRule="auto"/>
      <w:ind w:left="1680" w:leftChars="800"/>
    </w:pPr>
    <w:rPr>
      <w:sz w:val="24"/>
    </w:rPr>
  </w:style>
  <w:style w:type="paragraph" w:styleId="40">
    <w:name w:val="toc 4"/>
    <w:basedOn w:val="1"/>
    <w:next w:val="1"/>
    <w:uiPriority w:val="0"/>
    <w:pPr>
      <w:ind w:left="1260" w:leftChars="600"/>
    </w:pPr>
  </w:style>
  <w:style w:type="paragraph" w:styleId="41">
    <w:name w:val="footnote text"/>
    <w:basedOn w:val="1"/>
    <w:uiPriority w:val="0"/>
    <w:pPr>
      <w:spacing w:line="360" w:lineRule="auto"/>
    </w:pPr>
    <w:rPr>
      <w:sz w:val="18"/>
    </w:rPr>
  </w:style>
  <w:style w:type="paragraph" w:styleId="42">
    <w:name w:val="toc 6"/>
    <w:basedOn w:val="1"/>
    <w:next w:val="1"/>
    <w:uiPriority w:val="0"/>
    <w:pPr>
      <w:ind w:left="2100" w:leftChars="1000"/>
    </w:pPr>
  </w:style>
  <w:style w:type="paragraph" w:styleId="43">
    <w:name w:val="List 5"/>
    <w:basedOn w:val="1"/>
    <w:uiPriority w:val="0"/>
    <w:pPr>
      <w:adjustRightInd w:val="0"/>
      <w:snapToGrid w:val="0"/>
      <w:spacing w:line="360" w:lineRule="auto"/>
      <w:ind w:left="100" w:leftChars="800" w:hanging="200" w:hangingChars="200"/>
    </w:pPr>
    <w:rPr>
      <w:sz w:val="24"/>
    </w:rPr>
  </w:style>
  <w:style w:type="paragraph" w:styleId="44">
    <w:name w:val="Body Text Indent 3"/>
    <w:basedOn w:val="1"/>
    <w:uiPriority w:val="0"/>
    <w:pPr>
      <w:spacing w:line="360" w:lineRule="auto"/>
      <w:ind w:firstLine="632"/>
    </w:pPr>
    <w:rPr>
      <w:rFonts w:ascii="黑体" w:eastAsia="黑体"/>
    </w:rPr>
  </w:style>
  <w:style w:type="paragraph" w:styleId="45">
    <w:name w:val="table of figures"/>
    <w:basedOn w:val="1"/>
    <w:next w:val="1"/>
    <w:uiPriority w:val="0"/>
    <w:pPr>
      <w:tabs>
        <w:tab w:val="right" w:leader="dot" w:pos="8640"/>
      </w:tabs>
      <w:spacing w:line="360" w:lineRule="auto"/>
      <w:ind w:left="400" w:hanging="400"/>
    </w:pPr>
    <w:rPr>
      <w:sz w:val="24"/>
    </w:rPr>
  </w:style>
  <w:style w:type="paragraph" w:styleId="46">
    <w:name w:val="toc 2"/>
    <w:basedOn w:val="1"/>
    <w:next w:val="1"/>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uiPriority w:val="0"/>
    <w:pPr>
      <w:ind w:left="3360" w:leftChars="1600"/>
    </w:pPr>
  </w:style>
  <w:style w:type="paragraph" w:styleId="48">
    <w:name w:val="Body Text 2"/>
    <w:basedOn w:val="1"/>
    <w:uiPriority w:val="0"/>
    <w:pPr>
      <w:adjustRightInd w:val="0"/>
      <w:snapToGrid w:val="0"/>
      <w:spacing w:after="120" w:afterLines="0" w:afterAutospacing="0" w:line="480" w:lineRule="auto"/>
    </w:pPr>
    <w:rPr>
      <w:sz w:val="24"/>
    </w:rPr>
  </w:style>
  <w:style w:type="paragraph" w:styleId="49">
    <w:name w:val="List 4"/>
    <w:basedOn w:val="1"/>
    <w:uiPriority w:val="0"/>
    <w:pPr>
      <w:adjustRightInd w:val="0"/>
      <w:snapToGrid w:val="0"/>
      <w:spacing w:line="360" w:lineRule="auto"/>
      <w:ind w:left="100" w:leftChars="600" w:hanging="200" w:hangingChars="200"/>
    </w:pPr>
    <w:rPr>
      <w:sz w:val="24"/>
    </w:rPr>
  </w:style>
  <w:style w:type="paragraph" w:styleId="50">
    <w:name w:val="List Continue 2"/>
    <w:basedOn w:val="1"/>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uiPriority w:val="0"/>
    <w:rPr>
      <w:rFonts w:ascii="Arial" w:hAnsi="Arial" w:eastAsia="宋体"/>
      <w:b/>
      <w:smallCaps/>
      <w:kern w:val="28"/>
      <w:sz w:val="36"/>
      <w:lang w:val="en-US" w:eastAsia="en-US"/>
    </w:rPr>
  </w:style>
  <w:style w:type="character" w:customStyle="1" w:styleId="76">
    <w:name w:val=" Char Char4"/>
    <w:uiPriority w:val="0"/>
    <w:rPr>
      <w:rFonts w:eastAsia="宋体"/>
      <w:b/>
      <w:kern w:val="2"/>
      <w:sz w:val="21"/>
      <w:lang w:val="en-US" w:eastAsia="zh-CN"/>
    </w:rPr>
  </w:style>
  <w:style w:type="character" w:customStyle="1" w:styleId="77">
    <w:name w:val="样式 宋体"/>
    <w:uiPriority w:val="0"/>
    <w:rPr>
      <w:rFonts w:ascii="宋体" w:hAnsi="宋体" w:eastAsia="宋体"/>
      <w:sz w:val="28"/>
    </w:rPr>
  </w:style>
  <w:style w:type="character" w:customStyle="1" w:styleId="78">
    <w:name w:val=" Char Char7"/>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uiPriority w:val="0"/>
    <w:pPr>
      <w:widowControl/>
      <w:spacing w:line="400" w:lineRule="exact"/>
      <w:jc w:val="center"/>
    </w:pPr>
    <w:rPr>
      <w:sz w:val="24"/>
    </w:rPr>
  </w:style>
  <w:style w:type="paragraph" w:customStyle="1" w:styleId="194">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4108</Words>
  <Characters>4271</Characters>
  <Lines>101</Lines>
  <Paragraphs>28</Paragraphs>
  <TotalTime>33</TotalTime>
  <ScaleCrop>false</ScaleCrop>
  <LinksUpToDate>false</LinksUpToDate>
  <CharactersWithSpaces>4366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2025-12-15T01:46:29Z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F63EFBE9D95246DA9C7F2213215CF85B_13</vt:lpwstr>
  </property>
  <property fmtid="{D5CDD505-2E9C-101B-9397-08002B2CF9AE}" pid="4" name="KSOTemplateDocerSaveRecord">
    <vt:lpwstr>eyJoZGlkIjoiMzc1OGNlMDJlMzRlMzMzYmE1ZjU3MzU3ZjgyMjI5MWIiLCJ1c2VySWQiOiIyMjg3MzE2MzAifQ==</vt:lpwstr>
  </property>
</Properties>
</file>