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04"/>
      <w:bookmarkStart w:id="1" w:name="_Toc13868"/>
      <w:bookmarkStart w:id="2" w:name="_Toc10059"/>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2435"/>
      <w:bookmarkStart w:id="9" w:name="_Toc28264"/>
      <w:bookmarkStart w:id="10" w:name="_Toc76373864"/>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一次性使用手动流产吸引器/引流管</w:t>
      </w:r>
      <w:r>
        <w:rPr>
          <w:rFonts w:hint="eastAsia" w:cs="Times New Roman"/>
          <w:color w:val="000000"/>
          <w:sz w:val="24"/>
          <w:szCs w:val="24"/>
          <w:lang w:val="en-US" w:eastAsia="zh-CN"/>
        </w:rPr>
        <w:t>；细胞培养基；羊水细胞培养基；新生牛血清；医用Ⅲ型胶原无菌凝胶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18060"/>
            <w:bookmarkStart w:id="15" w:name="_Toc22707"/>
            <w:bookmarkStart w:id="16" w:name="_Toc76373865"/>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7BCA2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6B04C1B">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五</w:t>
            </w:r>
          </w:p>
        </w:tc>
        <w:tc>
          <w:tcPr>
            <w:tcW w:w="2456" w:type="dxa"/>
            <w:noWrap w:val="0"/>
            <w:vAlign w:val="center"/>
          </w:tcPr>
          <w:p w14:paraId="364C86D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一次性使用手动流产吸引器/引流管</w:t>
            </w:r>
          </w:p>
        </w:tc>
        <w:tc>
          <w:tcPr>
            <w:tcW w:w="1327" w:type="dxa"/>
            <w:noWrap w:val="0"/>
            <w:vAlign w:val="center"/>
          </w:tcPr>
          <w:p w14:paraId="51577945">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33F5CB9F">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0CCAE0F2">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3823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96B7C4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六</w:t>
            </w:r>
          </w:p>
        </w:tc>
        <w:tc>
          <w:tcPr>
            <w:tcW w:w="2456" w:type="dxa"/>
            <w:noWrap w:val="0"/>
            <w:vAlign w:val="center"/>
          </w:tcPr>
          <w:p w14:paraId="2CADA4B3">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细胞培养基</w:t>
            </w:r>
          </w:p>
        </w:tc>
        <w:tc>
          <w:tcPr>
            <w:tcW w:w="1327" w:type="dxa"/>
            <w:noWrap w:val="0"/>
            <w:vAlign w:val="center"/>
          </w:tcPr>
          <w:p w14:paraId="361BFCF1">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780BD97A">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63F15B3B">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2D38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BF55B48">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七</w:t>
            </w:r>
          </w:p>
        </w:tc>
        <w:tc>
          <w:tcPr>
            <w:tcW w:w="2456" w:type="dxa"/>
            <w:noWrap w:val="0"/>
            <w:vAlign w:val="center"/>
          </w:tcPr>
          <w:p w14:paraId="3B493F12">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羊水细胞培养基</w:t>
            </w:r>
          </w:p>
        </w:tc>
        <w:tc>
          <w:tcPr>
            <w:tcW w:w="1327" w:type="dxa"/>
            <w:noWrap w:val="0"/>
            <w:vAlign w:val="center"/>
          </w:tcPr>
          <w:p w14:paraId="1BDA2E12">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F11389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2F8EA303">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724A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3C65EF16">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八</w:t>
            </w:r>
          </w:p>
        </w:tc>
        <w:tc>
          <w:tcPr>
            <w:tcW w:w="2456" w:type="dxa"/>
            <w:noWrap w:val="0"/>
            <w:vAlign w:val="center"/>
          </w:tcPr>
          <w:p w14:paraId="70E56B20">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新生牛血清</w:t>
            </w:r>
          </w:p>
        </w:tc>
        <w:tc>
          <w:tcPr>
            <w:tcW w:w="1327" w:type="dxa"/>
            <w:noWrap w:val="0"/>
            <w:vAlign w:val="center"/>
          </w:tcPr>
          <w:p w14:paraId="2ECF2EA9">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DD45763">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p>
        </w:tc>
        <w:tc>
          <w:tcPr>
            <w:tcW w:w="1594" w:type="dxa"/>
            <w:noWrap w:val="0"/>
            <w:vAlign w:val="center"/>
          </w:tcPr>
          <w:p w14:paraId="438010F7">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r w14:paraId="3434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D6FA1C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九</w:t>
            </w:r>
          </w:p>
        </w:tc>
        <w:tc>
          <w:tcPr>
            <w:tcW w:w="2456" w:type="dxa"/>
            <w:noWrap w:val="0"/>
            <w:vAlign w:val="center"/>
          </w:tcPr>
          <w:p w14:paraId="61BBF22B">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医用Ⅲ型胶原无菌凝胶</w:t>
            </w:r>
          </w:p>
        </w:tc>
        <w:tc>
          <w:tcPr>
            <w:tcW w:w="1327" w:type="dxa"/>
            <w:noWrap w:val="0"/>
            <w:vAlign w:val="center"/>
          </w:tcPr>
          <w:p w14:paraId="7EA6D90B">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52182B47">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60605F48">
            <w:pPr>
              <w:spacing w:before="120" w:beforeLines="50" w:beforeAutospacing="0" w:after="0" w:afterAutospacing="0" w:line="400" w:lineRule="exact"/>
              <w:jc w:val="center"/>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妇产科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3434"/>
      <w:bookmarkStart w:id="20" w:name="_Toc26504"/>
      <w:bookmarkStart w:id="21" w:name="_Toc10137"/>
      <w:bookmarkStart w:id="22" w:name="_Toc25496"/>
      <w:bookmarkStart w:id="23" w:name="_Toc76373866"/>
      <w:bookmarkStart w:id="24" w:name="_Toc30358"/>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妇产科包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妇产科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妇产科包X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妇产科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4033"/>
      <w:bookmarkStart w:id="45" w:name="_Toc76373872"/>
      <w:bookmarkStart w:id="46" w:name="_Toc252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11474"/>
      <w:bookmarkStart w:id="54" w:name="_Toc76373874"/>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1C0A896F">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197" w:name="_GoBack"/>
      <w:bookmarkEnd w:id="197"/>
      <w:bookmarkStart w:id="58" w:name="_Toc76373876"/>
      <w:bookmarkStart w:id="59" w:name="_Toc29225"/>
      <w:bookmarkStart w:id="60" w:name="_Toc30465"/>
      <w:bookmarkStart w:id="61" w:name="_Toc6355"/>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5</w:t>
      </w:r>
    </w:p>
    <w:p w14:paraId="433660A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功能用途：用于终止早期妊娠（人工流产），清除妊娠残留物（不全流产或流产后清宫），诊断性刮宫（取子宫内膜活检）</w:t>
      </w:r>
      <w:r>
        <w:rPr>
          <w:rFonts w:hint="eastAsia" w:cs="Times New Roman"/>
          <w:sz w:val="24"/>
          <w:szCs w:val="24"/>
          <w:lang w:val="en-US" w:eastAsia="zh-CN"/>
        </w:rPr>
        <w:t>。</w:t>
      </w:r>
    </w:p>
    <w:p w14:paraId="780EA11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63C6C42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1.产品由一次性使用负压吸引器和宫腔吸引管组成。</w:t>
      </w:r>
    </w:p>
    <w:p w14:paraId="44380DA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2.吸引器容量为60ml，吸引管分4/5/6号三个规格。其中4/5号吸引管带管套，6号吸引管不带管套。流产吸引管</w:t>
      </w:r>
      <w:r>
        <w:rPr>
          <w:rFonts w:hint="eastAsia" w:cs="Times New Roman"/>
          <w:sz w:val="24"/>
          <w:szCs w:val="24"/>
          <w:lang w:val="en-US" w:eastAsia="zh-CN"/>
        </w:rPr>
        <w:t>。</w:t>
      </w:r>
    </w:p>
    <w:p w14:paraId="42D6E64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3.基本尺寸</w:t>
      </w:r>
      <w:r>
        <w:rPr>
          <w:rFonts w:hint="eastAsia" w:cs="Times New Roman"/>
          <w:sz w:val="24"/>
          <w:szCs w:val="24"/>
          <w:lang w:val="en-US" w:eastAsia="zh-CN"/>
        </w:rPr>
        <w:t>：</w:t>
      </w:r>
    </w:p>
    <w:p w14:paraId="5B4AA055">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4号管吸引管总长230mm管身内径2.9mm管口外径5.9mm</w:t>
      </w:r>
      <w:r>
        <w:rPr>
          <w:rFonts w:hint="eastAsia" w:cs="Times New Roman"/>
          <w:sz w:val="24"/>
          <w:szCs w:val="24"/>
          <w:lang w:val="en-US" w:eastAsia="zh-CN"/>
        </w:rPr>
        <w:t>；</w:t>
      </w:r>
    </w:p>
    <w:p w14:paraId="7CC913BB">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5号管吸引管总长233mm管身内径3.7mm管口外径5.9mm</w:t>
      </w:r>
      <w:r>
        <w:rPr>
          <w:rFonts w:hint="eastAsia" w:cs="Times New Roman"/>
          <w:sz w:val="24"/>
          <w:szCs w:val="24"/>
          <w:lang w:val="en-US" w:eastAsia="zh-CN"/>
        </w:rPr>
        <w:t>；</w:t>
      </w:r>
    </w:p>
    <w:p w14:paraId="3296D28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eastAsia="宋体" w:cs="Times New Roman"/>
          <w:sz w:val="24"/>
          <w:szCs w:val="24"/>
          <w:lang w:val="en-US" w:eastAsia="zh-CN"/>
        </w:rPr>
        <w:t>6号管吸引管总长234mm管身内径4.4mm管口外径5.9mm</w:t>
      </w:r>
      <w:r>
        <w:rPr>
          <w:rFonts w:hint="eastAsia" w:cs="Times New Roman"/>
          <w:sz w:val="24"/>
          <w:szCs w:val="24"/>
          <w:lang w:val="en-US" w:eastAsia="zh-CN"/>
        </w:rPr>
        <w:t>；</w:t>
      </w:r>
    </w:p>
    <w:p w14:paraId="3545F5F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（4）</w:t>
      </w:r>
      <w:r>
        <w:rPr>
          <w:rFonts w:hint="eastAsia" w:ascii="Times New Roman" w:eastAsia="宋体" w:cs="Times New Roman"/>
          <w:sz w:val="24"/>
          <w:szCs w:val="24"/>
          <w:lang w:val="en-US" w:eastAsia="zh-CN"/>
        </w:rPr>
        <w:t>流产吸引器基本尺寸</w:t>
      </w:r>
      <w:r>
        <w:rPr>
          <w:rFonts w:hint="eastAsia" w:cs="Times New Roman"/>
          <w:sz w:val="24"/>
          <w:szCs w:val="24"/>
          <w:lang w:val="en-US" w:eastAsia="zh-CN"/>
        </w:rPr>
        <w:t>；</w:t>
      </w:r>
    </w:p>
    <w:p w14:paraId="14743F96">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（5）</w:t>
      </w:r>
      <w:r>
        <w:rPr>
          <w:rFonts w:hint="eastAsia" w:ascii="Times New Roman" w:eastAsia="宋体" w:cs="Times New Roman"/>
          <w:sz w:val="24"/>
          <w:szCs w:val="24"/>
          <w:lang w:val="en-US" w:eastAsia="zh-CN"/>
        </w:rPr>
        <w:t>流产吸引器总长356mm</w:t>
      </w:r>
      <w:r>
        <w:rPr>
          <w:rFonts w:hint="eastAsia" w:cs="Times New Roman"/>
          <w:sz w:val="24"/>
          <w:szCs w:val="24"/>
          <w:lang w:val="en-US" w:eastAsia="zh-CN"/>
        </w:rPr>
        <w:t>；</w:t>
      </w:r>
    </w:p>
    <w:p w14:paraId="6132C3C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（6）</w:t>
      </w:r>
      <w:r>
        <w:rPr>
          <w:rFonts w:hint="eastAsia" w:ascii="Times New Roman" w:eastAsia="宋体" w:cs="Times New Roman"/>
          <w:sz w:val="24"/>
          <w:szCs w:val="24"/>
          <w:lang w:val="en-US" w:eastAsia="zh-CN"/>
        </w:rPr>
        <w:t>储气管直径29mm</w:t>
      </w:r>
      <w:r>
        <w:rPr>
          <w:rFonts w:hint="default" w:ascii="Times New Roman" w:hAnsi="Times New Roman" w:eastAsia="宋体" w:cs="Times New Roman"/>
          <w:i w:val="0"/>
          <w:kern w:val="2"/>
          <w:sz w:val="24"/>
          <w:szCs w:val="24"/>
          <w:lang w:val="en-US" w:eastAsia="zh-CN" w:bidi="ar-SA"/>
        </w:rPr>
        <w:t>。</w:t>
      </w:r>
    </w:p>
    <w:p w14:paraId="0E314FC5">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71BF2B0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1F6E4CB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功能用用途：细胞培养基可用于培养外周血淋巴细胞，用于细胞增殖培养，不具备对细胞的选择，诱导，分化功能。培养后的细胞用于体外诊断。</w:t>
      </w:r>
    </w:p>
    <w:p w14:paraId="2AA91F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参数：</w:t>
      </w:r>
    </w:p>
    <w:p w14:paraId="05AE85D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成分：以1640培养基，小牛血清，植物血球凝集素（PHA）为主要原辅料。5ml/瓶（管）。</w:t>
      </w:r>
    </w:p>
    <w:p w14:paraId="79C00D0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无菌：应无菌生长。</w:t>
      </w:r>
    </w:p>
    <w:p w14:paraId="7C814AD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PH值：PH值应为7.2~8.5。</w:t>
      </w:r>
    </w:p>
    <w:p w14:paraId="50DE4514">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细胞处理效果：经处理的细胞，转化率≥40%。</w:t>
      </w:r>
    </w:p>
    <w:p w14:paraId="67E7A132">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批内差：PH值批内差应≤0.3。</w:t>
      </w:r>
    </w:p>
    <w:p w14:paraId="6F7C53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批间差：PH值批间差应≤0.8。</w:t>
      </w:r>
    </w:p>
    <w:p w14:paraId="1E257BB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7</w:t>
      </w:r>
      <w:r>
        <w:rPr>
          <w:rFonts w:hint="eastAsia" w:cs="Times New Roman"/>
          <w:sz w:val="24"/>
          <w:szCs w:val="24"/>
          <w:lang w:val="en-US" w:eastAsia="zh-CN"/>
        </w:rPr>
        <w:t>.</w:t>
      </w:r>
      <w:r>
        <w:rPr>
          <w:rFonts w:hint="eastAsia" w:ascii="Times New Roman" w:eastAsia="宋体" w:cs="Times New Roman"/>
          <w:sz w:val="24"/>
          <w:szCs w:val="24"/>
          <w:lang w:val="en-US" w:eastAsia="zh-CN"/>
        </w:rPr>
        <w:t>稳定性：产品在2℃-8℃保存或-20℃以下保存，应分别规定有效期限。取到期后的留样检测，结果应符合各项目规定的要求</w:t>
      </w:r>
      <w:r>
        <w:rPr>
          <w:rFonts w:hint="default" w:ascii="Times New Roman" w:hAnsi="Times New Roman" w:eastAsia="宋体" w:cs="Times New Roman"/>
          <w:i w:val="0"/>
          <w:kern w:val="2"/>
          <w:sz w:val="24"/>
          <w:szCs w:val="24"/>
          <w:lang w:val="en-US" w:eastAsia="zh-CN" w:bidi="ar-SA"/>
        </w:rPr>
        <w:t>。</w:t>
      </w:r>
    </w:p>
    <w:p w14:paraId="6851725A">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1D89D5D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7</w:t>
      </w:r>
    </w:p>
    <w:p w14:paraId="09A9223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功能用用途：羊水细胞培养基为完全培养基，针对羊水和绒毛细胞培养设计，缓冲效果更佳，适用于封闭和开放培养系统，增加细胞分裂中期产量，有丝分裂中期染色体形态更佳，条带更清晰。</w:t>
      </w:r>
    </w:p>
    <w:p w14:paraId="16C5DD4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308DD8B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由基础培养基，血清，谷氨酰胺，抗生素组成。100ml/瓶。</w:t>
      </w:r>
    </w:p>
    <w:p w14:paraId="3B3FF2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w:t>
      </w:r>
      <w:r>
        <w:rPr>
          <w:rFonts w:hint="eastAsia" w:cs="Times New Roman"/>
          <w:sz w:val="24"/>
          <w:szCs w:val="24"/>
          <w:lang w:val="en-US" w:eastAsia="zh-CN"/>
        </w:rPr>
        <w:t>.</w:t>
      </w:r>
      <w:r>
        <w:rPr>
          <w:rFonts w:hint="eastAsia" w:ascii="Times New Roman" w:eastAsia="宋体" w:cs="Times New Roman"/>
          <w:sz w:val="24"/>
          <w:szCs w:val="24"/>
          <w:lang w:val="en-US" w:eastAsia="zh-CN"/>
        </w:rPr>
        <w:t>装量差异限度：±3%</w:t>
      </w:r>
    </w:p>
    <w:p w14:paraId="104CEAE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澄清度：澄清</w:t>
      </w:r>
    </w:p>
    <w:p w14:paraId="57F9F73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w:t>
      </w:r>
      <w:r>
        <w:rPr>
          <w:rFonts w:hint="eastAsia" w:cs="Times New Roman"/>
          <w:sz w:val="24"/>
          <w:szCs w:val="24"/>
          <w:lang w:val="en-US" w:eastAsia="zh-CN"/>
        </w:rPr>
        <w:t>.</w:t>
      </w:r>
      <w:r>
        <w:rPr>
          <w:rFonts w:hint="eastAsia" w:ascii="Times New Roman" w:eastAsia="宋体" w:cs="Times New Roman"/>
          <w:sz w:val="24"/>
          <w:szCs w:val="24"/>
          <w:lang w:val="en-US" w:eastAsia="zh-CN"/>
        </w:rPr>
        <w:t>pH值：7.0-7.5</w:t>
      </w:r>
    </w:p>
    <w:p w14:paraId="2A3356F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w:t>
      </w:r>
      <w:r>
        <w:rPr>
          <w:rFonts w:hint="eastAsia" w:cs="Times New Roman"/>
          <w:sz w:val="24"/>
          <w:szCs w:val="24"/>
          <w:lang w:val="en-US" w:eastAsia="zh-CN"/>
        </w:rPr>
        <w:t>.</w:t>
      </w:r>
      <w:r>
        <w:rPr>
          <w:rFonts w:hint="eastAsia" w:ascii="Times New Roman" w:eastAsia="宋体" w:cs="Times New Roman"/>
          <w:sz w:val="24"/>
          <w:szCs w:val="24"/>
          <w:lang w:val="en-US" w:eastAsia="zh-CN"/>
        </w:rPr>
        <w:t>渗透压(mOsm/kg）：280-330</w:t>
      </w:r>
    </w:p>
    <w:p w14:paraId="2FFC785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w:t>
      </w:r>
      <w:r>
        <w:rPr>
          <w:rFonts w:hint="eastAsia" w:cs="Times New Roman"/>
          <w:sz w:val="24"/>
          <w:szCs w:val="24"/>
          <w:lang w:val="en-US" w:eastAsia="zh-CN"/>
        </w:rPr>
        <w:t>.</w:t>
      </w:r>
      <w:r>
        <w:rPr>
          <w:rFonts w:hint="eastAsia" w:ascii="Times New Roman" w:eastAsia="宋体" w:cs="Times New Roman"/>
          <w:sz w:val="24"/>
          <w:szCs w:val="24"/>
          <w:lang w:val="en-US" w:eastAsia="zh-CN"/>
        </w:rPr>
        <w:t>微生物：无菌</w:t>
      </w:r>
    </w:p>
    <w:p w14:paraId="2843E55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7</w:t>
      </w:r>
      <w:r>
        <w:rPr>
          <w:rFonts w:hint="eastAsia" w:cs="Times New Roman"/>
          <w:sz w:val="24"/>
          <w:szCs w:val="24"/>
          <w:lang w:val="en-US" w:eastAsia="zh-CN"/>
        </w:rPr>
        <w:t>.</w:t>
      </w:r>
      <w:r>
        <w:rPr>
          <w:rFonts w:hint="eastAsia" w:ascii="Times New Roman" w:eastAsia="宋体" w:cs="Times New Roman"/>
          <w:sz w:val="24"/>
          <w:szCs w:val="24"/>
          <w:lang w:val="en-US" w:eastAsia="zh-CN"/>
        </w:rPr>
        <w:t>内毒素(EU/ml)：＜10</w:t>
      </w:r>
    </w:p>
    <w:p w14:paraId="76F2FCCD">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8</w:t>
      </w:r>
      <w:r>
        <w:rPr>
          <w:rFonts w:hint="eastAsia" w:cs="Times New Roman"/>
          <w:sz w:val="24"/>
          <w:szCs w:val="24"/>
          <w:lang w:val="en-US" w:eastAsia="zh-CN"/>
        </w:rPr>
        <w:t>.</w:t>
      </w:r>
      <w:r>
        <w:rPr>
          <w:rFonts w:hint="eastAsia" w:ascii="Times New Roman" w:eastAsia="宋体" w:cs="Times New Roman"/>
          <w:sz w:val="24"/>
          <w:szCs w:val="24"/>
          <w:lang w:val="en-US" w:eastAsia="zh-CN"/>
        </w:rPr>
        <w:t>羊水细胞生长实验：细胞倍增指数&gt;2</w:t>
      </w:r>
      <w:r>
        <w:rPr>
          <w:rFonts w:hint="default" w:ascii="Times New Roman" w:hAnsi="Times New Roman" w:eastAsia="宋体" w:cs="Times New Roman"/>
          <w:i w:val="0"/>
          <w:kern w:val="2"/>
          <w:sz w:val="24"/>
          <w:szCs w:val="24"/>
          <w:lang w:val="en-US" w:eastAsia="zh-CN" w:bidi="ar-SA"/>
        </w:rPr>
        <w:t>。</w:t>
      </w:r>
    </w:p>
    <w:p w14:paraId="1FEDDF85">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0455DAB4">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8</w:t>
      </w:r>
    </w:p>
    <w:p w14:paraId="607B996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功能简介：适用于细胞培养。</w:t>
      </w:r>
    </w:p>
    <w:p w14:paraId="43FA697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9D684B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1.500ml/瓶，pH值（25℃）：7.0~8.5</w:t>
      </w:r>
    </w:p>
    <w:p w14:paraId="2591732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2.总蛋白含量（g/L）：35~50</w:t>
      </w:r>
      <w:r>
        <w:rPr>
          <w:rFonts w:hint="eastAsia" w:cs="Times New Roman"/>
          <w:sz w:val="24"/>
          <w:szCs w:val="24"/>
          <w:lang w:val="en-US" w:eastAsia="zh-CN"/>
        </w:rPr>
        <w:t>；</w:t>
      </w:r>
      <w:r>
        <w:rPr>
          <w:rFonts w:hint="eastAsia" w:ascii="Times New Roman" w:eastAsia="宋体" w:cs="Times New Roman"/>
          <w:sz w:val="24"/>
          <w:szCs w:val="24"/>
          <w:lang w:val="en-US" w:eastAsia="zh-CN"/>
        </w:rPr>
        <w:t>血红蛋白含量（g/L）：≤200</w:t>
      </w:r>
      <w:r>
        <w:rPr>
          <w:rFonts w:hint="eastAsia" w:cs="Times New Roman"/>
          <w:sz w:val="24"/>
          <w:szCs w:val="24"/>
          <w:lang w:val="en-US" w:eastAsia="zh-CN"/>
        </w:rPr>
        <w:t>；</w:t>
      </w:r>
      <w:r>
        <w:rPr>
          <w:rFonts w:hint="eastAsia" w:ascii="Times New Roman" w:eastAsia="宋体" w:cs="Times New Roman"/>
          <w:sz w:val="24"/>
          <w:szCs w:val="24"/>
          <w:lang w:val="en-US" w:eastAsia="zh-CN"/>
        </w:rPr>
        <w:t>细菌内毒素含量（EU/mL）：≤10。</w:t>
      </w:r>
    </w:p>
    <w:p w14:paraId="39238FE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3.渗透压摩尔浓度（mOsmol/Kg）：250~330</w:t>
      </w:r>
    </w:p>
    <w:p w14:paraId="3468AA8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4.sp2/0细胞曲线（×10^6）：≥1.0</w:t>
      </w:r>
    </w:p>
    <w:p w14:paraId="55CF29A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5.牛腹泻、牛腺、牛细小、呼肠孤、牛副流感、狂犬病毒检测结果均为阴性</w:t>
      </w:r>
      <w:r>
        <w:rPr>
          <w:rFonts w:hint="default" w:ascii="Times New Roman" w:hAnsi="Times New Roman" w:eastAsia="宋体" w:cs="Times New Roman"/>
          <w:i w:val="0"/>
          <w:kern w:val="2"/>
          <w:sz w:val="24"/>
          <w:szCs w:val="24"/>
          <w:lang w:val="en-US" w:eastAsia="zh-CN" w:bidi="ar-SA"/>
        </w:rPr>
        <w:t>。</w:t>
      </w:r>
    </w:p>
    <w:p w14:paraId="4F1691CC">
      <w:pPr>
        <w:spacing w:line="320" w:lineRule="exact"/>
        <w:ind w:left="479" w:leftChars="85" w:hanging="241" w:hangingChars="100"/>
        <w:rPr>
          <w:rFonts w:hint="default" w:ascii="Times New Roman" w:hAnsi="Times New Roman" w:eastAsia="宋体" w:cs="Times New Roman"/>
          <w:b/>
          <w:bCs/>
          <w:sz w:val="24"/>
          <w:szCs w:val="24"/>
          <w:lang w:val="en-US" w:eastAsia="zh-CN"/>
        </w:rPr>
      </w:pPr>
    </w:p>
    <w:p w14:paraId="7120BE67">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9</w:t>
      </w:r>
    </w:p>
    <w:p w14:paraId="2D35353C">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w:t>
      </w:r>
      <w:r>
        <w:rPr>
          <w:rFonts w:hint="eastAsia" w:cs="Times New Roman"/>
          <w:sz w:val="24"/>
          <w:szCs w:val="24"/>
          <w:lang w:val="en-US" w:eastAsia="zh-CN"/>
        </w:rPr>
        <w:t>；</w:t>
      </w:r>
      <w:r>
        <w:rPr>
          <w:rFonts w:hint="eastAsia" w:ascii="Times New Roman" w:eastAsia="宋体" w:cs="Times New Roman"/>
          <w:sz w:val="24"/>
          <w:szCs w:val="24"/>
          <w:lang w:val="en-US" w:eastAsia="zh-CN"/>
        </w:rPr>
        <w:t>促进表皮修复、抗炎</w:t>
      </w:r>
    </w:p>
    <w:p w14:paraId="690B62CD">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r>
        <w:rPr>
          <w:rFonts w:hint="eastAsia" w:cs="Times New Roman"/>
          <w:sz w:val="24"/>
          <w:szCs w:val="24"/>
          <w:lang w:val="en-US" w:eastAsia="zh-CN"/>
        </w:rPr>
        <w:t>：</w:t>
      </w:r>
    </w:p>
    <w:p w14:paraId="338A4A2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1.主要材料为重组Ⅲ型人源化胶原蛋白，其氨基酸序列与人体Ⅲ型胶原蛋白功能区一致。</w:t>
      </w:r>
    </w:p>
    <w:p w14:paraId="4EE8906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2.采用注射器式样包装，胶塞封口</w:t>
      </w:r>
    </w:p>
    <w:p w14:paraId="495837D2">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3.包装规格包含但不限于：2g/支/盒</w:t>
      </w:r>
      <w:r>
        <w:rPr>
          <w:rFonts w:hint="default" w:ascii="Times New Roman" w:hAnsi="Times New Roman" w:eastAsia="宋体" w:cs="Times New Roman"/>
          <w:i w:val="0"/>
          <w:kern w:val="2"/>
          <w:sz w:val="24"/>
          <w:szCs w:val="24"/>
          <w:lang w:val="en-US" w:eastAsia="zh-CN" w:bidi="ar-SA"/>
        </w:rPr>
        <w:t>。</w:t>
      </w:r>
    </w:p>
    <w:p w14:paraId="0C302B8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445D7851">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6B2EB3A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944"/>
      <w:bookmarkStart w:id="67" w:name="_Toc2072"/>
      <w:bookmarkStart w:id="68" w:name="_Toc1768"/>
      <w:bookmarkStart w:id="69" w:name="_Toc4791"/>
      <w:bookmarkStart w:id="70" w:name="_Toc17524"/>
      <w:bookmarkStart w:id="71" w:name="_Toc24122"/>
      <w:bookmarkStart w:id="72" w:name="_Toc31843"/>
      <w:bookmarkStart w:id="73" w:name="_Toc7794"/>
      <w:bookmarkStart w:id="74" w:name="_Toc76373878"/>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14311"/>
      <w:bookmarkStart w:id="79" w:name="_Toc30551"/>
      <w:bookmarkStart w:id="80" w:name="_Toc22561"/>
      <w:bookmarkStart w:id="81" w:name="_Toc29836"/>
      <w:bookmarkStart w:id="82" w:name="_Toc5959"/>
      <w:bookmarkStart w:id="83" w:name="_Toc9339"/>
      <w:bookmarkStart w:id="84" w:name="_Toc28942"/>
      <w:bookmarkStart w:id="85" w:name="_Toc13528"/>
      <w:bookmarkStart w:id="86" w:name="_Toc1690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893"/>
      <w:bookmarkStart w:id="88" w:name="_Toc12384"/>
      <w:bookmarkStart w:id="89" w:name="_Toc2258"/>
      <w:bookmarkStart w:id="90" w:name="_Toc76373885"/>
      <w:bookmarkStart w:id="91" w:name="_Toc27737"/>
      <w:bookmarkStart w:id="92" w:name="_Toc2026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6373886"/>
      <w:bookmarkStart w:id="96" w:name="_Toc12712"/>
      <w:bookmarkStart w:id="97" w:name="_Toc23699"/>
      <w:bookmarkStart w:id="98" w:name="_Toc11052"/>
      <w:bookmarkStart w:id="99" w:name="_Toc7115"/>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9147"/>
      <w:bookmarkStart w:id="103" w:name="_Toc19809"/>
      <w:bookmarkStart w:id="104" w:name="_Toc31293"/>
      <w:bookmarkStart w:id="105" w:name="_Toc76373887"/>
      <w:bookmarkStart w:id="106" w:name="_Toc13585"/>
      <w:bookmarkStart w:id="107" w:name="_Toc5535"/>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76373889"/>
      <w:bookmarkStart w:id="110" w:name="_Toc5251"/>
      <w:bookmarkStart w:id="111" w:name="_Toc2900"/>
      <w:bookmarkStart w:id="112" w:name="_Toc30068"/>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76373890"/>
      <w:bookmarkStart w:id="118" w:name="_Toc27443"/>
      <w:bookmarkStart w:id="119" w:name="_Toc11654"/>
      <w:bookmarkStart w:id="120" w:name="_Toc11342"/>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5199"/>
      <w:bookmarkStart w:id="125" w:name="_Toc76373891"/>
      <w:bookmarkStart w:id="126" w:name="_Toc20391"/>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76373904"/>
      <w:bookmarkStart w:id="137" w:name="_Toc10152"/>
      <w:bookmarkStart w:id="138" w:name="_Toc24088"/>
      <w:bookmarkStart w:id="139" w:name="_Toc2975"/>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25920"/>
      <w:bookmarkStart w:id="143" w:name="_Toc11763"/>
      <w:bookmarkStart w:id="144" w:name="_Toc16112"/>
      <w:bookmarkStart w:id="145" w:name="_Toc11892"/>
      <w:bookmarkStart w:id="146" w:name="_Toc7750"/>
      <w:bookmarkStart w:id="147" w:name="_Toc128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3094"/>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830"/>
      <w:bookmarkStart w:id="170" w:name="_Toc493178790"/>
      <w:bookmarkStart w:id="171" w:name="_Toc21431"/>
      <w:bookmarkStart w:id="172" w:name="_Toc27306"/>
      <w:bookmarkStart w:id="173" w:name="_Toc9795"/>
      <w:bookmarkStart w:id="174" w:name="_Toc76373909"/>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20875"/>
      <w:bookmarkStart w:id="180" w:name="_Toc493178791"/>
      <w:bookmarkStart w:id="181" w:name="_Toc411"/>
      <w:bookmarkStart w:id="182" w:name="_Toc16487"/>
      <w:bookmarkStart w:id="183" w:name="_Toc492721039"/>
      <w:bookmarkStart w:id="184" w:name="_Toc76373910"/>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92721038"/>
      <w:bookmarkStart w:id="188" w:name="_Toc76373912"/>
      <w:bookmarkStart w:id="189" w:name="_Toc19291"/>
      <w:bookmarkStart w:id="190" w:name="_Toc8925"/>
      <w:bookmarkStart w:id="191" w:name="_Toc6217"/>
      <w:bookmarkStart w:id="192" w:name="_Toc20605"/>
      <w:bookmarkStart w:id="193" w:name="_Toc493178793"/>
      <w:bookmarkStart w:id="194" w:name="_Toc4250"/>
      <w:bookmarkStart w:id="195" w:name="_Toc1615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995120A">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D10F22-F588-4A7C-B865-EA5D320F1B58}"/>
  </w:font>
  <w:font w:name="黑体">
    <w:panose1 w:val="02010609060101010101"/>
    <w:charset w:val="86"/>
    <w:family w:val="auto"/>
    <w:pitch w:val="default"/>
    <w:sig w:usb0="800002BF" w:usb1="38CF7CFA" w:usb2="00000016" w:usb3="00000000" w:csb0="00040001" w:csb1="00000000"/>
    <w:embedRegular r:id="rId2" w:fontKey="{767AB57E-BDFD-43ED-B5DA-25E44F7467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7FD96A2-7587-448A-B000-55577EA7712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F07F71F3-AAC1-472A-B1E0-0349FAB292E4}"/>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49B8CB8-B636-4C9A-ADA0-EA66B5A50CB5}"/>
  </w:font>
  <w:font w:name="方正黑体_GBK">
    <w:panose1 w:val="03000509000000000000"/>
    <w:charset w:val="86"/>
    <w:family w:val="script"/>
    <w:pitch w:val="default"/>
    <w:sig w:usb0="00000001" w:usb1="080E0000" w:usb2="00000000" w:usb3="00000000" w:csb0="00040000" w:csb1="00000000"/>
    <w:embedRegular r:id="rId6" w:fontKey="{B02C2589-F077-43B8-B8A5-FF89F97A5040}"/>
  </w:font>
  <w:font w:name="方正小标宋_GBK">
    <w:panose1 w:val="03000509000000000000"/>
    <w:charset w:val="86"/>
    <w:family w:val="script"/>
    <w:pitch w:val="default"/>
    <w:sig w:usb0="00000001" w:usb1="080E0000" w:usb2="00000000" w:usb3="00000000" w:csb0="00040000" w:csb1="00000000"/>
    <w:embedRegular r:id="rId7" w:fontKey="{E6C12CB9-BB5C-45AA-AACA-62726BFF327A}"/>
  </w:font>
  <w:font w:name="微软雅黑">
    <w:panose1 w:val="020B0503020204020204"/>
    <w:charset w:val="86"/>
    <w:family w:val="swiss"/>
    <w:pitch w:val="default"/>
    <w:sig w:usb0="80000287" w:usb1="2ACF3C50" w:usb2="00000016" w:usb3="00000000" w:csb0="0004001F" w:csb1="00000000"/>
    <w:embedRegular r:id="rId8" w:fontKey="{1BDCAE13-0413-4BCE-A61D-99EF2C7C13BF}"/>
  </w:font>
  <w:font w:name="仿宋">
    <w:panose1 w:val="02010609060101010101"/>
    <w:charset w:val="86"/>
    <w:family w:val="modern"/>
    <w:pitch w:val="default"/>
    <w:sig w:usb0="800002BF" w:usb1="38CF7CFA" w:usb2="00000016" w:usb3="00000000" w:csb0="00040001" w:csb1="00000000"/>
    <w:embedRegular r:id="rId9" w:fontKey="{F3E388D1-8C71-430D-8D9E-52AC57E9C5EF}"/>
  </w:font>
  <w:font w:name="楷体">
    <w:panose1 w:val="02010609060101010101"/>
    <w:charset w:val="86"/>
    <w:family w:val="modern"/>
    <w:pitch w:val="default"/>
    <w:sig w:usb0="800002BF" w:usb1="38CF7CFA" w:usb2="00000016" w:usb3="00000000" w:csb0="00040001" w:csb1="00000000"/>
    <w:embedRegular r:id="rId10" w:fontKey="{4254D5FB-3C2F-409E-8C2C-8F4D8F9A25C9}"/>
  </w:font>
  <w:font w:name="WPSEMBED49">
    <w:panose1 w:val="03000509000000000000"/>
    <w:charset w:val="86"/>
    <w:family w:val="auto"/>
    <w:pitch w:val="default"/>
    <w:sig w:usb0="00000001" w:usb1="080E0000" w:usb2="00000000" w:usb3="00000000" w:csb0="00040000" w:csb1="00000000"/>
  </w:font>
  <w:font w:name="WPSEMBED5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A0A11"/>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84404A"/>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3D6202B"/>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752698"/>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C83D1B"/>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1655A"/>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883E1E"/>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0F701A"/>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8A0BDE"/>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28</Pages>
  <Words>3936</Words>
  <Characters>4186</Characters>
  <Lines>101</Lines>
  <Paragraphs>28</Paragraphs>
  <TotalTime>0</TotalTime>
  <ScaleCrop>false</ScaleCrop>
  <LinksUpToDate>false</LinksUpToDate>
  <CharactersWithSpaces>4277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2025-12-24T07:49:14Z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