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76373863"/>
      <w:bookmarkStart w:id="2" w:name="_Toc13868"/>
      <w:bookmarkStart w:id="3" w:name="_Toc10059"/>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15376"/>
      <w:bookmarkStart w:id="8" w:name="_Toc5909"/>
      <w:bookmarkStart w:id="9" w:name="_Toc22435"/>
      <w:bookmarkStart w:id="10" w:name="_Toc28264"/>
      <w:bookmarkStart w:id="11" w:name="_Toc76373864"/>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项目名称：一次性双极消融器</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5838"/>
            <w:bookmarkStart w:id="16" w:name="_Toc22129"/>
            <w:bookmarkStart w:id="17" w:name="_Toc76373865"/>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一次性双极消融器</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妇科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76373866"/>
      <w:bookmarkStart w:id="20" w:name="_Toc26504"/>
      <w:bookmarkStart w:id="21" w:name="_Toc25496"/>
      <w:bookmarkStart w:id="22" w:name="_Toc3434"/>
      <w:bookmarkStart w:id="23" w:name="_Toc30358"/>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654"/>
      <w:bookmarkStart w:id="31" w:name="_Toc7527"/>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报名妇科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default" w:ascii="宋体" w:hAnsi="宋体" w:eastAsia="宋体" w:cs="宋体"/>
          <w:color w:val="000000"/>
          <w:sz w:val="24"/>
          <w:szCs w:val="24"/>
          <w:lang w:val="en-US" w:eastAsia="zh-CN"/>
        </w:rPr>
        <w:t>妇科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妇</w:t>
      </w:r>
      <w:r>
        <w:rPr>
          <w:rFonts w:hint="eastAsia" w:ascii="Times New Roman" w:hAnsi="Times New Roman" w:eastAsia="宋体" w:cs="Times New Roman"/>
          <w:b w:val="0"/>
          <w:bCs/>
          <w:kern w:val="0"/>
          <w:sz w:val="24"/>
          <w:szCs w:val="24"/>
          <w:u w:val="single"/>
          <w:lang w:val="en-US" w:eastAsia="zh-CN"/>
        </w:rPr>
        <w:t>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妇</w:t>
      </w:r>
      <w:r>
        <w:rPr>
          <w:rFonts w:hint="eastAsia" w:ascii="Times New Roman" w:hAnsi="Times New Roman" w:eastAsia="宋体" w:cs="Times New Roman"/>
          <w:b w:val="0"/>
          <w:bCs/>
          <w:kern w:val="0"/>
          <w:sz w:val="24"/>
          <w:szCs w:val="24"/>
          <w:u w:val="single"/>
          <w:lang w:val="en-US" w:eastAsia="zh-CN"/>
        </w:rPr>
        <w:t>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4033"/>
      <w:bookmarkStart w:id="45" w:name="_Toc9714"/>
      <w:bookmarkStart w:id="46" w:name="_Toc14224"/>
      <w:bookmarkStart w:id="47" w:name="_Toc252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35017ADB">
      <w:pPr>
        <w:widowControl/>
        <w:spacing w:before="120" w:beforeLines="50" w:line="360" w:lineRule="exact"/>
        <w:outlineLvl w:val="1"/>
        <w:rPr>
          <w:rFonts w:hint="default" w:ascii="Times New Roman" w:hAnsi="Times New Roman" w:eastAsia="宋体" w:cs="Times New Roman"/>
          <w:i w:val="0"/>
          <w:kern w:val="2"/>
          <w:sz w:val="24"/>
          <w:szCs w:val="24"/>
          <w:lang w:val="en-US" w:eastAsia="zh-CN" w:bidi="ar-SA"/>
        </w:rPr>
      </w:pPr>
      <w:bookmarkStart w:id="50" w:name="_Toc32286"/>
      <w:r>
        <w:rPr>
          <w:rFonts w:hint="eastAsia" w:cs="宋体"/>
          <w:b/>
          <w:sz w:val="24"/>
        </w:rPr>
        <w:t>一、</w:t>
      </w:r>
      <w:bookmarkStart w:id="51" w:name="_Toc2599"/>
      <w:bookmarkStart w:id="52" w:name="_Toc11474"/>
      <w:bookmarkStart w:id="53" w:name="_Toc3153"/>
      <w:bookmarkStart w:id="54" w:name="_Toc76373874"/>
      <w:bookmarkStart w:id="55" w:name="_Toc13391"/>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bookmarkStart w:id="197" w:name="_GoBack"/>
      <w:bookmarkEnd w:id="197"/>
      <w:bookmarkStart w:id="58" w:name="_Toc6355"/>
      <w:bookmarkStart w:id="59" w:name="_Toc76373876"/>
      <w:bookmarkStart w:id="60" w:name="_Toc29225"/>
      <w:bookmarkStart w:id="61" w:name="_Toc29620"/>
      <w:bookmarkStart w:id="62" w:name="_Toc30465"/>
      <w:bookmarkStart w:id="63" w:name="_Toc13107"/>
      <w:bookmarkStart w:id="64" w:name="_Toc1955"/>
    </w:p>
    <w:p w14:paraId="130289A4">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679E77F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功能用用途：</w:t>
      </w:r>
    </w:p>
    <w:p w14:paraId="2A688CC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可在不同子宫区域实现深浅可控的精准消融，有效切除病变组织，治疗异常子宫出血。</w:t>
      </w:r>
    </w:p>
    <w:p w14:paraId="7745326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0A53A53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无需消毒，一次性使用，避免交叉感染。</w:t>
      </w:r>
    </w:p>
    <w:p w14:paraId="0C6C573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双极网状电极设计，展开宽度2.5-5.5mm，展开长度4.0-6.5mm。</w:t>
      </w:r>
    </w:p>
    <w:p w14:paraId="10EFB7E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3D网状电极确保宫角和子宫下段切除的较浅，在宫底和宫体切除较深，且不受子宫内膜厚度影响</w:t>
      </w:r>
      <w:r>
        <w:rPr>
          <w:rFonts w:hint="default" w:ascii="Times New Roman" w:hAnsi="Times New Roman" w:eastAsia="宋体" w:cs="Times New Roman"/>
          <w:i w:val="0"/>
          <w:kern w:val="2"/>
          <w:sz w:val="24"/>
          <w:szCs w:val="24"/>
          <w:lang w:val="en-US" w:eastAsia="zh-CN" w:bidi="ar-SA"/>
        </w:rPr>
        <w:t>。</w:t>
      </w:r>
    </w:p>
    <w:p w14:paraId="53BC9E3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3A19B832">
      <w:pPr>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15650"/>
      <w:bookmarkStart w:id="68" w:name="_Toc1768"/>
      <w:bookmarkStart w:id="69" w:name="_Toc2072"/>
      <w:bookmarkStart w:id="70" w:name="_Toc76373878"/>
      <w:bookmarkStart w:id="71" w:name="_Toc17524"/>
      <w:bookmarkStart w:id="72" w:name="_Toc4791"/>
      <w:bookmarkStart w:id="73" w:name="_Toc7794"/>
      <w:bookmarkStart w:id="74" w:name="_Toc17944"/>
      <w:bookmarkStart w:id="75" w:name="_Toc31843"/>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30551"/>
      <w:bookmarkStart w:id="79" w:name="_Toc22561"/>
      <w:bookmarkStart w:id="80" w:name="_Toc29836"/>
      <w:bookmarkStart w:id="81" w:name="_Toc9339"/>
      <w:bookmarkStart w:id="82" w:name="_Toc76373879"/>
      <w:bookmarkStart w:id="83" w:name="_Toc14311"/>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27737"/>
      <w:bookmarkStart w:id="89" w:name="_Toc76373885"/>
      <w:bookmarkStart w:id="90" w:name="_Toc27893"/>
      <w:bookmarkStart w:id="91" w:name="_Toc20772"/>
      <w:bookmarkStart w:id="92" w:name="_Toc20263"/>
      <w:bookmarkStart w:id="93" w:name="_Toc12384"/>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11052"/>
      <w:bookmarkStart w:id="96" w:name="_Toc28189"/>
      <w:bookmarkStart w:id="97" w:name="_Toc23699"/>
      <w:bookmarkStart w:id="98" w:name="_Toc12712"/>
      <w:bookmarkStart w:id="99" w:name="_Toc7115"/>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76373887"/>
      <w:bookmarkStart w:id="102" w:name="_Toc31293"/>
      <w:bookmarkStart w:id="103" w:name="_Toc13585"/>
      <w:bookmarkStart w:id="104" w:name="_Toc19809"/>
      <w:bookmarkStart w:id="105" w:name="_Toc26754"/>
      <w:bookmarkStart w:id="106" w:name="_Toc5535"/>
      <w:bookmarkStart w:id="107" w:name="_Toc914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8546"/>
      <w:bookmarkStart w:id="109" w:name="_Toc30068"/>
      <w:bookmarkStart w:id="110" w:name="_Toc2900"/>
      <w:bookmarkStart w:id="111" w:name="_Toc16925"/>
      <w:bookmarkStart w:id="112" w:name="_Toc76373889"/>
      <w:bookmarkStart w:id="113" w:name="_Toc5251"/>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342"/>
      <w:bookmarkStart w:id="117" w:name="_Toc11654"/>
      <w:bookmarkStart w:id="118" w:name="_Toc76373890"/>
      <w:bookmarkStart w:id="119" w:name="_Toc20034"/>
      <w:bookmarkStart w:id="120" w:name="_Toc26071"/>
      <w:bookmarkStart w:id="121" w:name="_Toc27443"/>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7646"/>
      <w:bookmarkStart w:id="124" w:name="_Toc10864"/>
      <w:bookmarkStart w:id="125" w:name="_Toc76373891"/>
      <w:bookmarkStart w:id="126" w:name="_Toc20391"/>
      <w:bookmarkStart w:id="127" w:name="_Toc25199"/>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0152"/>
      <w:bookmarkStart w:id="136" w:name="_Toc76373904"/>
      <w:bookmarkStart w:id="137" w:name="_Toc19409"/>
      <w:bookmarkStart w:id="138" w:name="_Toc2975"/>
      <w:bookmarkStart w:id="139" w:name="_Toc24088"/>
      <w:bookmarkStart w:id="140" w:name="_Toc2076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25920"/>
      <w:bookmarkStart w:id="142" w:name="_Toc7750"/>
      <w:bookmarkStart w:id="143" w:name="_Toc16112"/>
      <w:bookmarkStart w:id="144" w:name="_Toc11892"/>
      <w:bookmarkStart w:id="145" w:name="_Toc76373907"/>
      <w:bookmarkStart w:id="146" w:name="_Toc12863"/>
      <w:bookmarkStart w:id="147" w:name="_Toc117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3094"/>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493178790"/>
      <w:bookmarkStart w:id="170" w:name="_Toc21830"/>
      <w:bookmarkStart w:id="171" w:name="_Toc9795"/>
      <w:bookmarkStart w:id="172" w:name="_Toc76373909"/>
      <w:bookmarkStart w:id="173" w:name="_Toc21431"/>
      <w:bookmarkStart w:id="174" w:name="_Toc27306"/>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3178791"/>
      <w:bookmarkStart w:id="179" w:name="_Toc492721039"/>
      <w:bookmarkStart w:id="180" w:name="_Toc20258"/>
      <w:bookmarkStart w:id="181" w:name="_Toc411"/>
      <w:bookmarkStart w:id="182" w:name="_Toc12647"/>
      <w:bookmarkStart w:id="183" w:name="_Toc16487"/>
      <w:bookmarkStart w:id="184" w:name="_Toc76373910"/>
      <w:bookmarkStart w:id="185" w:name="_Toc20875"/>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20605"/>
      <w:bookmarkStart w:id="188" w:name="_Toc8925"/>
      <w:bookmarkStart w:id="189" w:name="_Toc19291"/>
      <w:bookmarkStart w:id="190" w:name="_Toc76373912"/>
      <w:bookmarkStart w:id="191" w:name="_Toc492721038"/>
      <w:bookmarkStart w:id="192" w:name="_Toc16151"/>
      <w:bookmarkStart w:id="193" w:name="_Toc6217"/>
      <w:bookmarkStart w:id="194" w:name="_Toc4250"/>
      <w:bookmarkStart w:id="195" w:name="_Toc493178793"/>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6A94FDD">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D416A3-3A9F-4406-9552-A993DC8E43A7}"/>
  </w:font>
  <w:font w:name="黑体">
    <w:panose1 w:val="02010609060101010101"/>
    <w:charset w:val="86"/>
    <w:family w:val="auto"/>
    <w:pitch w:val="default"/>
    <w:sig w:usb0="800002BF" w:usb1="38CF7CFA" w:usb2="00000016" w:usb3="00000000" w:csb0="00040001" w:csb1="00000000"/>
    <w:embedRegular r:id="rId2" w:fontKey="{3D3584AB-14E3-4DFE-8D31-3FD0199B93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426C2A1-D699-47B8-97FB-3E08431053A9}"/>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2EE96D44-02BF-48A2-A124-6155E84EF6B1}"/>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431CEACF-5EBF-4CD9-AF9C-215FBA8373A4}"/>
  </w:font>
  <w:font w:name="方正黑体_GBK">
    <w:panose1 w:val="03000509000000000000"/>
    <w:charset w:val="86"/>
    <w:family w:val="script"/>
    <w:pitch w:val="default"/>
    <w:sig w:usb0="00000001" w:usb1="080E0000" w:usb2="00000000" w:usb3="00000000" w:csb0="00040000" w:csb1="00000000"/>
    <w:embedRegular r:id="rId6" w:fontKey="{4CEB2470-C28A-4765-B58B-CB2B52B8553A}"/>
  </w:font>
  <w:font w:name="方正小标宋_GBK">
    <w:panose1 w:val="03000509000000000000"/>
    <w:charset w:val="86"/>
    <w:family w:val="script"/>
    <w:pitch w:val="default"/>
    <w:sig w:usb0="00000001" w:usb1="080E0000" w:usb2="00000000" w:usb3="00000000" w:csb0="00040000" w:csb1="00000000"/>
    <w:embedRegular r:id="rId7" w:fontKey="{636CB0E0-5E28-426D-A873-9522EE7F1E56}"/>
  </w:font>
  <w:font w:name="微软雅黑">
    <w:panose1 w:val="020B0503020204020204"/>
    <w:charset w:val="86"/>
    <w:family w:val="swiss"/>
    <w:pitch w:val="default"/>
    <w:sig w:usb0="80000287" w:usb1="2ACF3C50" w:usb2="00000016" w:usb3="00000000" w:csb0="0004001F" w:csb1="00000000"/>
    <w:embedRegular r:id="rId8" w:fontKey="{02EEF6C1-356B-483E-A68A-6C9E7F1CF1BB}"/>
  </w:font>
  <w:font w:name="仿宋">
    <w:panose1 w:val="02010609060101010101"/>
    <w:charset w:val="86"/>
    <w:family w:val="modern"/>
    <w:pitch w:val="default"/>
    <w:sig w:usb0="800002BF" w:usb1="38CF7CFA" w:usb2="00000016" w:usb3="00000000" w:csb0="00040001" w:csb1="00000000"/>
    <w:embedRegular r:id="rId9" w:fontKey="{FC10E712-585B-4B91-A869-7CE6220DEFB8}"/>
  </w:font>
  <w:font w:name="楷体">
    <w:panose1 w:val="02010609060101010101"/>
    <w:charset w:val="86"/>
    <w:family w:val="modern"/>
    <w:pitch w:val="default"/>
    <w:sig w:usb0="800002BF" w:usb1="38CF7CFA" w:usb2="00000016" w:usb3="00000000" w:csb0="00040001" w:csb1="00000000"/>
    <w:embedRegular r:id="rId10" w:fontKey="{D0172A63-7D28-42D6-ABAA-F6D4FEDF373F}"/>
  </w:font>
  <w:font w:name="WPSEMBED51">
    <w:panose1 w:val="03000509000000000000"/>
    <w:charset w:val="86"/>
    <w:family w:val="auto"/>
    <w:pitch w:val="default"/>
    <w:sig w:usb0="00000001" w:usb1="080E0000" w:usb2="00000000" w:usb3="00000000" w:csb0="00040000" w:csb1="00000000"/>
  </w:font>
  <w:font w:name="WPSEMBED5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60186"/>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5E6920"/>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980042"/>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4518</Words>
  <Characters>4662</Characters>
  <Lines>101</Lines>
  <Paragraphs>28</Paragraphs>
  <TotalTime>0</TotalTime>
  <ScaleCrop>false</ScaleCrop>
  <LinksUpToDate>false</LinksUpToDate>
  <CharactersWithSpaces>4760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2025-12-24T07:51:13Z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