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04"/>
      <w:bookmarkStart w:id="2" w:name="_Toc13868"/>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76373864"/>
      <w:bookmarkStart w:id="9" w:name="_Toc28264"/>
      <w:bookmarkStart w:id="10" w:name="_Toc5909"/>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颈椎前路钢板、连接杆(premier)等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经皮穿刺针、压力充盈器等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多电极测试电缆、脊髓神经刺激测试电极等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植入式脊髓神经刺激电极、植入式可充电脊髓神经刺激器等</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18060"/>
            <w:bookmarkStart w:id="16" w:name="_Toc22707"/>
            <w:bookmarkStart w:id="17" w:name="_Toc22129"/>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颈椎前路钢板、连接杆(premier)等</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脊柱外科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经皮穿刺针、压力充盈器等</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脊柱外科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多电极测试电缆、脊髓神经刺激测试电极等</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1D1C178F">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脊柱外科</w:t>
            </w:r>
          </w:p>
        </w:tc>
      </w:tr>
      <w:tr w14:paraId="310E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D79D49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734F794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植入式脊髓神经刺激电极、植入式可充电脊髓神经刺激器等</w:t>
            </w:r>
          </w:p>
        </w:tc>
        <w:tc>
          <w:tcPr>
            <w:tcW w:w="1327" w:type="dxa"/>
            <w:noWrap w:val="0"/>
            <w:vAlign w:val="center"/>
          </w:tcPr>
          <w:p w14:paraId="027E13E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10A3F21">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1EE4617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脊柱外科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30358"/>
      <w:bookmarkStart w:id="21" w:name="_Toc26504"/>
      <w:bookmarkStart w:id="22" w:name="_Toc3434"/>
      <w:bookmarkStart w:id="23" w:name="_Toc10137"/>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187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脊柱外科包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脊柱外科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脊柱外科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脊柱外科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9714"/>
      <w:bookmarkStart w:id="45" w:name="_Toc14224"/>
      <w:bookmarkStart w:id="46" w:name="_Toc76373872"/>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2599"/>
      <w:bookmarkStart w:id="53" w:name="_Toc13391"/>
      <w:bookmarkStart w:id="54" w:name="_Toc76373874"/>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6355"/>
      <w:bookmarkStart w:id="60" w:name="_Toc29620"/>
      <w:bookmarkStart w:id="61" w:name="_Toc2922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9C3152A">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功能简介：用于颈椎手术，提供术后稳定，促进融合，维持颈椎生理曲度</w:t>
      </w:r>
      <w:r>
        <w:rPr>
          <w:rFonts w:hint="eastAsia" w:cs="Times New Roman"/>
          <w:sz w:val="24"/>
          <w:szCs w:val="24"/>
          <w:lang w:val="en-US" w:eastAsia="zh-CN"/>
        </w:rPr>
        <w:t>.</w:t>
      </w:r>
    </w:p>
    <w:p w14:paraId="71D7CAD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7C597CB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1.圆形钛网：钛合金材料，直径≥12mm，长度不小于80mm方便修剪，提供多种规格</w:t>
      </w:r>
      <w:r>
        <w:rPr>
          <w:rFonts w:hint="eastAsia" w:cs="Times New Roman"/>
          <w:sz w:val="24"/>
          <w:szCs w:val="24"/>
          <w:lang w:val="en-US" w:eastAsia="zh-CN"/>
        </w:rPr>
        <w:t>。</w:t>
      </w:r>
    </w:p>
    <w:p w14:paraId="71B8F6A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2.后路内固定系统-骨勾：起椎板勾作用；钛合金材料；能与5.5mm直径钛金属棒连接</w:t>
      </w:r>
      <w:r>
        <w:rPr>
          <w:rFonts w:hint="eastAsia" w:cs="Times New Roman"/>
          <w:sz w:val="24"/>
          <w:szCs w:val="24"/>
          <w:lang w:val="en-US" w:eastAsia="zh-CN"/>
        </w:rPr>
        <w:t>。</w:t>
      </w:r>
    </w:p>
    <w:p w14:paraId="2B6BE8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3.后路内固定系统--多米诺接头：能进行5.5mm钛棒转接，钛合金材料</w:t>
      </w:r>
      <w:r>
        <w:rPr>
          <w:rFonts w:hint="eastAsia" w:cs="Times New Roman"/>
          <w:sz w:val="24"/>
          <w:szCs w:val="24"/>
          <w:lang w:val="en-US" w:eastAsia="zh-CN"/>
        </w:rPr>
        <w:t>。</w:t>
      </w:r>
    </w:p>
    <w:p w14:paraId="0247F8B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4.侧方连接器：钛合金材料；直径5.5mm，3.2mm两种规格；长度不少于20mm，能提供至少2种长度型号</w:t>
      </w:r>
      <w:r>
        <w:rPr>
          <w:rFonts w:hint="eastAsia" w:cs="Times New Roman"/>
          <w:sz w:val="24"/>
          <w:szCs w:val="24"/>
          <w:lang w:val="en-US" w:eastAsia="zh-CN"/>
        </w:rPr>
        <w:t>。</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5.PCF钛合金骨勾：钛合金材料；两种规格 3.2*4.5；3.2*6.备注：其他产品已集采，科室目前已在使用</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2E615D1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功能简介：用于穿刺皮肤建立通道，获取组织样本或注射药物，具有微创、精准的特点</w:t>
      </w:r>
    </w:p>
    <w:p w14:paraId="66C4057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1DE7776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1.骨活检骨凿外径小于4mm，直径大于200mm，方形六齿结构</w:t>
      </w:r>
      <w:r>
        <w:rPr>
          <w:rFonts w:hint="eastAsia" w:cs="Times New Roman"/>
          <w:sz w:val="24"/>
          <w:szCs w:val="24"/>
          <w:lang w:val="en-US" w:eastAsia="zh-CN"/>
        </w:rPr>
        <w:t>。</w:t>
      </w:r>
    </w:p>
    <w:p w14:paraId="37D017E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2.骨膨胀器（球囊）球囊长度≥15mm球囊压力可达280psi以上，容量≥4ml含三通阀有1-2个球囊体</w:t>
      </w:r>
      <w:r>
        <w:rPr>
          <w:rFonts w:hint="eastAsia" w:cs="Times New Roman"/>
          <w:sz w:val="24"/>
          <w:szCs w:val="24"/>
          <w:lang w:val="en-US" w:eastAsia="zh-CN"/>
        </w:rPr>
        <w:t>。</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3.压力充盈器：与球囊能配套 无参数要求</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1B82C9D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1.用途：脊髓神经刺激测试电极在DSA引导下植入到脊髓硬膜外腔，向脊髓发出弱电脉冲信号，干扰疼痛的传导，达到镇痛的目的。各个触点可以自由组合、具备独立的电流分配调节。</w:t>
      </w:r>
    </w:p>
    <w:p w14:paraId="599FBCF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w:t>
      </w:r>
    </w:p>
    <w:p w14:paraId="63C69CB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多电极测试电缆：总长度≥2.5米，线缆采用柔软、耐磨、抗拉扯的医用级PVC或TPU材料；导线采用多股绞合镀锡铜丝，内附抗拉纤维，确保柔韧性与耐用性；接触阻抗：≤1.5Ω（在1kHz频率下）；绝缘电阻：≥100MΩ（500V DC）。</w:t>
      </w:r>
    </w:p>
    <w:p w14:paraId="1D5E163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2）脊髓神经刺激测试电极：提供多种规格供选择；阻抗＜5kΩ,绝缘电阻 ≥100MΩ，长度≥2米，尖端设计，针体/探针应有足够的刚性和韧性，不易弯曲或折断，刺入组织时定位精准</w:t>
      </w:r>
      <w:r>
        <w:rPr>
          <w:rFonts w:hint="eastAsia" w:cs="Times New Roman"/>
          <w:i w:val="0"/>
          <w:kern w:val="2"/>
          <w:sz w:val="24"/>
          <w:szCs w:val="24"/>
          <w:lang w:val="en-US" w:eastAsia="zh-CN" w:bidi="ar-SA"/>
        </w:rPr>
        <w:t>。</w:t>
      </w:r>
    </w:p>
    <w:p w14:paraId="4AC16C5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382342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558E44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1.用途：该脊髓刺激系统对于顽固性疼痛，昏迷，糖尿病足等患者疗效确切，对于症状改善和治疗作用明显。</w:t>
      </w:r>
    </w:p>
    <w:p w14:paraId="1D8729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2.植入式脊髓神经刺激电极：</w:t>
      </w:r>
    </w:p>
    <w:p w14:paraId="518939C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1）材质：采用高电荷注入能力的材料，如铂铱合金等。</w:t>
      </w:r>
    </w:p>
    <w:p w14:paraId="65A54E3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2）提供多种类型的电极供选择，如穿刺电极、外科电极等。</w:t>
      </w:r>
    </w:p>
    <w:p w14:paraId="14D357C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3）导线具备优异的抗拉伸、抗疲劳性能。</w:t>
      </w:r>
    </w:p>
    <w:p w14:paraId="0815B8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4）绝缘层采用医用级聚氨酯、硅胶等绝缘材料。</w:t>
      </w:r>
    </w:p>
    <w:p w14:paraId="7F59AAB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3.植入式可充电脊髓神经刺激器</w:t>
      </w:r>
    </w:p>
    <w:p w14:paraId="17A9F26C">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1）与植入式脊髓神经刺激电极配套使用。</w:t>
      </w:r>
    </w:p>
    <w:p w14:paraId="7E0D1A8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2）支持多种刺激波形。</w:t>
      </w:r>
    </w:p>
    <w:p w14:paraId="05CFDE6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3）支持多种刺激模式，如高频刺激模式、剂量调节刺激等。</w:t>
      </w:r>
    </w:p>
    <w:p w14:paraId="74E6337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4）外壳采用钛合金等生物相容性优良的金属材料，确保长期密封性</w:t>
      </w:r>
      <w:r>
        <w:rPr>
          <w:rFonts w:hint="eastAsia" w:cs="Times New Roman"/>
          <w:i w:val="0"/>
          <w:kern w:val="2"/>
          <w:sz w:val="24"/>
          <w:szCs w:val="24"/>
          <w:lang w:val="en-US" w:eastAsia="zh-CN" w:bidi="ar-SA"/>
        </w:rPr>
        <w:t>。</w:t>
      </w:r>
      <w:bookmarkStart w:id="197" w:name="_GoBack"/>
      <w:bookmarkEnd w:id="197"/>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24122"/>
      <w:bookmarkStart w:id="68" w:name="_Toc1768"/>
      <w:bookmarkStart w:id="69" w:name="_Toc31843"/>
      <w:bookmarkStart w:id="70" w:name="_Toc15650"/>
      <w:bookmarkStart w:id="71" w:name="_Toc2072"/>
      <w:bookmarkStart w:id="72" w:name="_Toc7794"/>
      <w:bookmarkStart w:id="73" w:name="_Toc17524"/>
      <w:bookmarkStart w:id="74" w:name="_Toc7637387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14311"/>
      <w:bookmarkStart w:id="79" w:name="_Toc5959"/>
      <w:bookmarkStart w:id="80" w:name="_Toc30551"/>
      <w:bookmarkStart w:id="81" w:name="_Toc22561"/>
      <w:bookmarkStart w:id="82" w:name="_Toc9339"/>
      <w:bookmarkStart w:id="83" w:name="_Toc7637387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772"/>
      <w:bookmarkStart w:id="88" w:name="_Toc27737"/>
      <w:bookmarkStart w:id="89" w:name="_Toc2258"/>
      <w:bookmarkStart w:id="90" w:name="_Toc27893"/>
      <w:bookmarkStart w:id="91" w:name="_Toc20263"/>
      <w:bookmarkStart w:id="92" w:name="_Toc12384"/>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28189"/>
      <w:bookmarkStart w:id="96" w:name="_Toc7115"/>
      <w:bookmarkStart w:id="97" w:name="_Toc11052"/>
      <w:bookmarkStart w:id="98" w:name="_Toc1271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3585"/>
      <w:bookmarkStart w:id="102" w:name="_Toc76373887"/>
      <w:bookmarkStart w:id="103" w:name="_Toc26754"/>
      <w:bookmarkStart w:id="104" w:name="_Toc31293"/>
      <w:bookmarkStart w:id="105" w:name="_Toc9147"/>
      <w:bookmarkStart w:id="106" w:name="_Toc5535"/>
      <w:bookmarkStart w:id="107" w:name="_Toc19809"/>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76373889"/>
      <w:bookmarkStart w:id="109" w:name="_Toc5251"/>
      <w:bookmarkStart w:id="110" w:name="_Toc30068"/>
      <w:bookmarkStart w:id="111" w:name="_Toc16925"/>
      <w:bookmarkStart w:id="112" w:name="_Toc2900"/>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654"/>
      <w:bookmarkStart w:id="118" w:name="_Toc20034"/>
      <w:bookmarkStart w:id="119" w:name="_Toc26071"/>
      <w:bookmarkStart w:id="120" w:name="_Toc76373890"/>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10864"/>
      <w:bookmarkStart w:id="125" w:name="_Toc20391"/>
      <w:bookmarkStart w:id="126" w:name="_Toc27646"/>
      <w:bookmarkStart w:id="127" w:name="_Toc25199"/>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975"/>
      <w:bookmarkStart w:id="136" w:name="_Toc19409"/>
      <w:bookmarkStart w:id="137" w:name="_Toc76373904"/>
      <w:bookmarkStart w:id="138" w:name="_Toc20762"/>
      <w:bookmarkStart w:id="139" w:name="_Toc24088"/>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7750"/>
      <w:bookmarkStart w:id="143" w:name="_Toc25920"/>
      <w:bookmarkStart w:id="144" w:name="_Toc11763"/>
      <w:bookmarkStart w:id="145" w:name="_Toc12863"/>
      <w:bookmarkStart w:id="146" w:name="_Toc76373907"/>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76373909"/>
      <w:bookmarkStart w:id="171" w:name="_Toc9795"/>
      <w:bookmarkStart w:id="172" w:name="_Toc27306"/>
      <w:bookmarkStart w:id="173" w:name="_Toc493178790"/>
      <w:bookmarkStart w:id="174" w:name="_Toc21830"/>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12647"/>
      <w:bookmarkStart w:id="180" w:name="_Toc492721039"/>
      <w:bookmarkStart w:id="181" w:name="_Toc411"/>
      <w:bookmarkStart w:id="182" w:name="_Toc16487"/>
      <w:bookmarkStart w:id="183" w:name="_Toc493178791"/>
      <w:bookmarkStart w:id="184" w:name="_Toc76373910"/>
      <w:bookmarkStart w:id="185"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20605"/>
      <w:bookmarkStart w:id="189" w:name="_Toc8925"/>
      <w:bookmarkStart w:id="190" w:name="_Toc19291"/>
      <w:bookmarkStart w:id="191" w:name="_Toc492721038"/>
      <w:bookmarkStart w:id="192" w:name="_Toc493178793"/>
      <w:bookmarkStart w:id="193" w:name="_Toc6217"/>
      <w:bookmarkStart w:id="194" w:name="_Toc4250"/>
      <w:bookmarkStart w:id="195" w:name="_Toc76373912"/>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CFA982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B2A221-AC57-4E42-BF8F-C8875576D6E5}"/>
  </w:font>
  <w:font w:name="黑体">
    <w:panose1 w:val="02010609060101010101"/>
    <w:charset w:val="86"/>
    <w:family w:val="auto"/>
    <w:pitch w:val="default"/>
    <w:sig w:usb0="800002BF" w:usb1="38CF7CFA" w:usb2="00000016" w:usb3="00000000" w:csb0="00040001" w:csb1="00000000"/>
    <w:embedRegular r:id="rId2" w:fontKey="{9002D8FD-4519-48E5-8C4D-872F67FF9E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BD04B5B6-A5A5-4959-A921-A6FA0355F27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DA87B3D-9047-4D3B-81E0-FB5A03731688}"/>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564C40C-9AFA-465B-B9F1-6D27E909F35E}"/>
  </w:font>
  <w:font w:name="方正黑体_GBK">
    <w:panose1 w:val="03000509000000000000"/>
    <w:charset w:val="86"/>
    <w:family w:val="script"/>
    <w:pitch w:val="default"/>
    <w:sig w:usb0="00000001" w:usb1="080E0000" w:usb2="00000000" w:usb3="00000000" w:csb0="00040000" w:csb1="00000000"/>
    <w:embedRegular r:id="rId6" w:fontKey="{8C54D9A0-CD1E-4D4E-BF99-7FE3CAC24696}"/>
  </w:font>
  <w:font w:name="方正小标宋_GBK">
    <w:panose1 w:val="03000509000000000000"/>
    <w:charset w:val="86"/>
    <w:family w:val="script"/>
    <w:pitch w:val="default"/>
    <w:sig w:usb0="00000001" w:usb1="080E0000" w:usb2="00000000" w:usb3="00000000" w:csb0="00040000" w:csb1="00000000"/>
    <w:embedRegular r:id="rId7" w:fontKey="{99E22E63-C369-4D85-8A49-3B087C45E714}"/>
  </w:font>
  <w:font w:name="微软雅黑">
    <w:panose1 w:val="020B0503020204020204"/>
    <w:charset w:val="86"/>
    <w:family w:val="swiss"/>
    <w:pitch w:val="default"/>
    <w:sig w:usb0="80000287" w:usb1="2ACF3C50" w:usb2="00000016" w:usb3="00000000" w:csb0="0004001F" w:csb1="00000000"/>
    <w:embedRegular r:id="rId8" w:fontKey="{5BBD6D64-F1E7-4E0A-9FE2-852F4A3E1103}"/>
  </w:font>
  <w:font w:name="仿宋">
    <w:panose1 w:val="02010609060101010101"/>
    <w:charset w:val="86"/>
    <w:family w:val="modern"/>
    <w:pitch w:val="default"/>
    <w:sig w:usb0="800002BF" w:usb1="38CF7CFA" w:usb2="00000016" w:usb3="00000000" w:csb0="00040001" w:csb1="00000000"/>
    <w:embedRegular r:id="rId9" w:fontKey="{428F2906-E107-43FD-A88A-7F68C3B1037C}"/>
  </w:font>
  <w:font w:name="楷体">
    <w:panose1 w:val="02010609060101010101"/>
    <w:charset w:val="86"/>
    <w:family w:val="modern"/>
    <w:pitch w:val="default"/>
    <w:sig w:usb0="800002BF" w:usb1="38CF7CFA" w:usb2="00000016" w:usb3="00000000" w:csb0="00040001" w:csb1="00000000"/>
    <w:embedRegular r:id="rId10" w:fontKey="{167EB7B1-0C8E-4F5A-8FE1-279C679AFBF3}"/>
  </w:font>
  <w:font w:name="WPSEMBED65">
    <w:panose1 w:val="03000509000000000000"/>
    <w:charset w:val="86"/>
    <w:family w:val="auto"/>
    <w:pitch w:val="default"/>
    <w:sig w:usb0="00000001" w:usb1="080E0000" w:usb2="00000000" w:usb3="00000000" w:csb0="00040000" w:csb1="00000000"/>
  </w:font>
  <w:font w:name="WPSEMBED6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012AC"/>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036B8"/>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5E7AA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4F74"/>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352</Words>
  <Characters>363</Characters>
  <Lines>101</Lines>
  <Paragraphs>28</Paragraphs>
  <TotalTime>1</TotalTime>
  <ScaleCrop>false</ScaleCrop>
  <LinksUpToDate>false</LinksUpToDate>
  <CharactersWithSpaces>451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2025-12-24T08:04:36Z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