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76373863"/>
      <w:bookmarkStart w:id="2" w:name="_Toc31066"/>
      <w:bookmarkStart w:id="3" w:name="_Toc1304"/>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15376"/>
      <w:bookmarkStart w:id="9" w:name="_Toc76373864"/>
      <w:bookmarkStart w:id="10" w:name="_Toc5909"/>
      <w:bookmarkStart w:id="11" w:name="_Toc282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项目名称：磨头导管和推进器</w:t>
      </w:r>
      <w:r>
        <w:rPr>
          <w:rFonts w:hint="eastAsia" w:ascii="宋体" w:hAnsi="宋体" w:cs="宋体"/>
          <w:color w:val="auto"/>
          <w:sz w:val="24"/>
          <w:szCs w:val="24"/>
          <w:lang w:eastAsia="zh-CN"/>
        </w:rPr>
        <w:t>、</w:t>
      </w:r>
      <w:r>
        <w:rPr>
          <w:rFonts w:hint="eastAsia" w:ascii="宋体" w:hAnsi="宋体" w:cs="宋体"/>
          <w:color w:val="auto"/>
          <w:sz w:val="24"/>
          <w:szCs w:val="24"/>
        </w:rPr>
        <w:t>主动脉内球囊反搏导管及附件</w:t>
      </w:r>
      <w:r>
        <w:rPr>
          <w:rFonts w:hint="eastAsia" w:ascii="宋体" w:hAnsi="宋体" w:cs="宋体"/>
          <w:color w:val="auto"/>
          <w:sz w:val="24"/>
          <w:szCs w:val="24"/>
          <w:lang w:eastAsia="zh-CN"/>
        </w:rPr>
        <w:t>、</w:t>
      </w:r>
      <w:r>
        <w:rPr>
          <w:rFonts w:hint="eastAsia" w:ascii="宋体" w:hAnsi="宋体" w:cs="宋体"/>
          <w:color w:val="auto"/>
          <w:sz w:val="24"/>
          <w:szCs w:val="24"/>
        </w:rPr>
        <w:t>压力导丝</w:t>
      </w:r>
      <w:r>
        <w:rPr>
          <w:rFonts w:hint="eastAsia" w:ascii="宋体" w:hAnsi="宋体" w:cs="宋体"/>
          <w:color w:val="auto"/>
          <w:sz w:val="24"/>
          <w:szCs w:val="24"/>
          <w:lang w:eastAsia="zh-CN"/>
        </w:rPr>
        <w:t>、</w:t>
      </w:r>
      <w:r>
        <w:rPr>
          <w:rFonts w:hint="eastAsia" w:ascii="宋体" w:hAnsi="宋体" w:cs="宋体"/>
          <w:color w:val="auto"/>
          <w:sz w:val="24"/>
          <w:szCs w:val="24"/>
        </w:rPr>
        <w:t>生物可降解卵圆孔未闭封堵器</w:t>
      </w:r>
      <w:r>
        <w:rPr>
          <w:rFonts w:hint="eastAsia" w:ascii="宋体" w:hAnsi="宋体" w:cs="宋体"/>
          <w:color w:val="auto"/>
          <w:sz w:val="24"/>
          <w:szCs w:val="24"/>
          <w:lang w:eastAsia="zh-CN"/>
        </w:rPr>
        <w:t>、生物可降解房间隔缺损封堵器</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707"/>
            <w:bookmarkStart w:id="16" w:name="_Toc5838"/>
            <w:bookmarkStart w:id="17" w:name="_Toc76373865"/>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磨头导管和推进器</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w:t>
            </w:r>
          </w:p>
        </w:tc>
      </w:tr>
      <w:tr w14:paraId="159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A1D4D2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3A4AC6E1">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主动脉内球囊反搏导管及附件</w:t>
            </w:r>
          </w:p>
        </w:tc>
        <w:tc>
          <w:tcPr>
            <w:tcW w:w="1485" w:type="dxa"/>
            <w:noWrap w:val="0"/>
            <w:vAlign w:val="center"/>
          </w:tcPr>
          <w:p w14:paraId="51755B0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B56C35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tcBorders/>
            <w:noWrap w:val="0"/>
            <w:vAlign w:val="center"/>
          </w:tcPr>
          <w:p w14:paraId="0FC3C6E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4C87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190EC5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三</w:t>
            </w:r>
          </w:p>
        </w:tc>
        <w:tc>
          <w:tcPr>
            <w:tcW w:w="2298" w:type="dxa"/>
            <w:noWrap w:val="0"/>
            <w:vAlign w:val="center"/>
          </w:tcPr>
          <w:p w14:paraId="03DF318E">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压力导丝</w:t>
            </w:r>
          </w:p>
        </w:tc>
        <w:tc>
          <w:tcPr>
            <w:tcW w:w="1485" w:type="dxa"/>
            <w:noWrap w:val="0"/>
            <w:vAlign w:val="center"/>
          </w:tcPr>
          <w:p w14:paraId="509149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904066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tcBorders/>
            <w:noWrap w:val="0"/>
            <w:vAlign w:val="center"/>
          </w:tcPr>
          <w:p w14:paraId="02826B0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F5C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32672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包四</w:t>
            </w:r>
          </w:p>
        </w:tc>
        <w:tc>
          <w:tcPr>
            <w:tcW w:w="2298" w:type="dxa"/>
            <w:noWrap w:val="0"/>
            <w:vAlign w:val="center"/>
          </w:tcPr>
          <w:p w14:paraId="6C5B6D60">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生物可降解卵圆孔未闭封堵器</w:t>
            </w:r>
          </w:p>
        </w:tc>
        <w:tc>
          <w:tcPr>
            <w:tcW w:w="1485" w:type="dxa"/>
            <w:noWrap w:val="0"/>
            <w:vAlign w:val="center"/>
          </w:tcPr>
          <w:p w14:paraId="304B25E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E9EAE8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tcBorders/>
            <w:noWrap w:val="0"/>
            <w:vAlign w:val="center"/>
          </w:tcPr>
          <w:p w14:paraId="0941F1F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79EB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8E5EA6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包五</w:t>
            </w:r>
          </w:p>
        </w:tc>
        <w:tc>
          <w:tcPr>
            <w:tcW w:w="2298" w:type="dxa"/>
            <w:noWrap w:val="0"/>
            <w:vAlign w:val="center"/>
          </w:tcPr>
          <w:p w14:paraId="42EFE2C9">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生物可降解房间隔缺损封堵器</w:t>
            </w:r>
          </w:p>
        </w:tc>
        <w:tc>
          <w:tcPr>
            <w:tcW w:w="1485" w:type="dxa"/>
            <w:noWrap w:val="0"/>
            <w:vAlign w:val="center"/>
          </w:tcPr>
          <w:p w14:paraId="5D537FF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B2C020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tcBorders/>
            <w:noWrap w:val="0"/>
            <w:vAlign w:val="center"/>
          </w:tcPr>
          <w:p w14:paraId="6C6689A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30358"/>
      <w:bookmarkStart w:id="21" w:name="_Toc10137"/>
      <w:bookmarkStart w:id="22" w:name="_Toc3434"/>
      <w:bookmarkStart w:id="23" w:name="_Toc2650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心</w:t>
      </w:r>
      <w:r>
        <w:rPr>
          <w:rFonts w:hint="eastAsia" w:ascii="宋体" w:hAnsi="宋体" w:cs="宋体"/>
          <w:color w:val="auto"/>
          <w:sz w:val="24"/>
          <w:szCs w:val="24"/>
          <w:u w:val="none"/>
          <w:lang w:val="en-US" w:eastAsia="zh-CN"/>
        </w:rPr>
        <w:t>内科</w:t>
      </w:r>
      <w:r>
        <w:rPr>
          <w:rFonts w:hint="eastAsia" w:ascii="宋体" w:hAnsi="宋体" w:eastAsia="宋体" w:cs="宋体"/>
          <w:color w:val="auto"/>
          <w:sz w:val="24"/>
          <w:szCs w:val="24"/>
          <w:u w:val="none"/>
          <w:lang w:val="en-US" w:eastAsia="zh-CN"/>
        </w:rPr>
        <w:t>包X</w:t>
      </w:r>
      <w:r>
        <w:rPr>
          <w:rFonts w:hint="default" w:ascii="宋体" w:hAnsi="宋体" w:eastAsia="宋体" w:cs="宋体"/>
          <w:color w:val="auto"/>
          <w:sz w:val="24"/>
          <w:szCs w:val="24"/>
          <w:u w:val="none"/>
          <w:lang w:val="en-US" w:eastAsia="zh-CN"/>
        </w:rPr>
        <w:t>项目</w:t>
      </w:r>
      <w:r>
        <w:rPr>
          <w:rFonts w:hint="eastAsia" w:ascii="宋体" w:hAnsi="宋体" w:cs="宋体"/>
          <w:color w:val="auto"/>
          <w:sz w:val="24"/>
          <w:szCs w:val="24"/>
          <w:u w:val="none"/>
          <w:lang w:val="en-US" w:eastAsia="zh-CN"/>
        </w:rPr>
        <w:t>（备注单一来源）</w:t>
      </w:r>
      <w:r>
        <w:rPr>
          <w:rFonts w:hint="default" w:ascii="宋体" w:hAnsi="宋体" w:eastAsia="宋体" w:cs="宋体"/>
          <w:color w:val="auto"/>
          <w:sz w:val="24"/>
          <w:szCs w:val="24"/>
          <w:lang w:val="en-US" w:eastAsia="zh-CN"/>
        </w:rPr>
        <w:t>”，报名邮件正文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lang w:val="en-US" w:eastAsia="zh-CN"/>
        </w:rPr>
        <w:t>心</w:t>
      </w:r>
      <w:r>
        <w:rPr>
          <w:rFonts w:hint="eastAsia" w:ascii="宋体" w:hAnsi="宋体" w:cs="宋体"/>
          <w:color w:val="auto"/>
          <w:sz w:val="24"/>
          <w:szCs w:val="24"/>
          <w:u w:val="none"/>
          <w:lang w:val="en-US" w:eastAsia="zh-CN"/>
        </w:rPr>
        <w:t>内科</w:t>
      </w:r>
      <w:r>
        <w:rPr>
          <w:rFonts w:hint="eastAsia" w:ascii="Times New Roman" w:hAnsi="Times New Roman" w:cs="Times New Roman"/>
          <w:b w:val="0"/>
          <w:bCs w:val="0"/>
          <w:color w:val="auto"/>
          <w:kern w:val="0"/>
          <w:sz w:val="24"/>
          <w:szCs w:val="24"/>
          <w:lang w:val="en-US" w:eastAsia="zh-CN"/>
        </w:rPr>
        <w:t>包X</w:t>
      </w:r>
      <w:r>
        <w:rPr>
          <w:rFonts w:hint="eastAsia" w:ascii="宋体" w:hAnsi="宋体" w:cs="宋体"/>
          <w:color w:val="auto"/>
          <w:sz w:val="24"/>
          <w:szCs w:val="24"/>
          <w:u w:val="none"/>
          <w:lang w:val="en-US" w:eastAsia="zh-CN"/>
        </w:rPr>
        <w:t>（备注单一来源）</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心</w:t>
      </w:r>
      <w:r>
        <w:rPr>
          <w:rFonts w:hint="eastAsia" w:ascii="宋体" w:hAnsi="宋体" w:cs="宋体"/>
          <w:color w:val="auto"/>
          <w:sz w:val="24"/>
          <w:szCs w:val="24"/>
          <w:u w:val="single"/>
          <w:lang w:val="en-US" w:eastAsia="zh-CN"/>
        </w:rPr>
        <w:t>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cs="Times New Roman"/>
          <w:color w:val="auto"/>
          <w:sz w:val="24"/>
          <w:szCs w:val="24"/>
          <w:u w:val="single"/>
          <w:lang w:val="en-US" w:eastAsia="zh-CN"/>
        </w:rPr>
        <w:t>心</w:t>
      </w:r>
      <w:r>
        <w:rPr>
          <w:rFonts w:hint="eastAsia" w:ascii="宋体" w:hAnsi="宋体" w:cs="宋体"/>
          <w:color w:val="auto"/>
          <w:sz w:val="24"/>
          <w:szCs w:val="24"/>
          <w:u w:val="single"/>
          <w:lang w:val="en-US" w:eastAsia="zh-CN"/>
        </w:rPr>
        <w:t>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14224"/>
      <w:bookmarkStart w:id="45" w:name="_Toc76373872"/>
      <w:bookmarkStart w:id="46" w:name="_Toc25272"/>
      <w:bookmarkStart w:id="47" w:name="_Toc4033"/>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3153"/>
      <w:bookmarkStart w:id="52" w:name="_Toc2599"/>
      <w:bookmarkStart w:id="53" w:name="_Toc76373874"/>
      <w:bookmarkStart w:id="54" w:name="_Toc13391"/>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76373876"/>
      <w:bookmarkStart w:id="59" w:name="_Toc30465"/>
      <w:bookmarkStart w:id="60" w:name="_Toc6355"/>
      <w:bookmarkStart w:id="61" w:name="_Toc29620"/>
      <w:bookmarkStart w:id="62" w:name="_Toc29225"/>
      <w:bookmarkStart w:id="63" w:name="_Toc1955"/>
      <w:bookmarkStart w:id="64" w:name="_Toc13107"/>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15F80121">
      <w:pPr>
        <w:spacing w:line="320" w:lineRule="exact"/>
        <w:ind w:left="478" w:leftChars="85" w:hanging="240" w:hangingChars="100"/>
        <w:jc w:val="left"/>
        <w:rPr>
          <w:rFonts w:hint="eastAsia" w:ascii="宋体" w:hAnsi="宋体" w:eastAsia="宋体" w:cs="宋体"/>
          <w:color w:val="auto"/>
          <w:sz w:val="24"/>
          <w:szCs w:val="24"/>
          <w:lang w:val="en-US" w:eastAsia="zh-CN"/>
        </w:rPr>
      </w:pPr>
      <w:bookmarkStart w:id="65" w:name="_Toc6540"/>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1、其主要适应症包括经皮冠状动脉介入手术中血管内膜严重钙化病变；球囊无法通过或无法充分扩张病变。</w:t>
      </w:r>
    </w:p>
    <w:p w14:paraId="2A0A199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2、旋磨头为椭圆形，镶有微钻晶体，直径1.25mm-2.5mm。</w:t>
      </w:r>
    </w:p>
    <w:p w14:paraId="3917231C">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3、包括磨头导管和推进器，磨头导管包括磨头、导管鞘、连接器、导管主体，及一些内部传动部件</w:t>
      </w:r>
      <w:r>
        <w:rPr>
          <w:rFonts w:hint="eastAsia" w:ascii="宋体" w:hAnsi="宋体" w:cs="宋体"/>
          <w:color w:val="auto"/>
          <w:sz w:val="24"/>
          <w:szCs w:val="24"/>
          <w:lang w:val="en-US" w:eastAsia="zh-CN"/>
        </w:rPr>
        <w:t>。</w:t>
      </w:r>
    </w:p>
    <w:p w14:paraId="7C19FB86">
      <w:pPr>
        <w:spacing w:line="320" w:lineRule="exact"/>
        <w:ind w:left="478" w:leftChars="85" w:hanging="240" w:hangingChars="100"/>
        <w:jc w:val="left"/>
        <w:rPr>
          <w:rFonts w:hint="eastAsia" w:ascii="宋体" w:hAnsi="宋体" w:cs="宋体"/>
          <w:color w:val="auto"/>
          <w:sz w:val="24"/>
          <w:szCs w:val="24"/>
          <w:lang w:val="en-US" w:eastAsia="zh-CN"/>
        </w:rPr>
      </w:pPr>
    </w:p>
    <w:p w14:paraId="5CEB630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1ACE30C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该产品用于主动脉内球囊反搏疗法。治疗时球囊在心脏舒张期充气扩张、在心脏收缩期放气收缩，以此来增加对心肌的血液供应，并降低左心室的工作负荷。</w:t>
      </w:r>
    </w:p>
    <w:p w14:paraId="67471A3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1、包装盒具有三部分：球囊导管包、穿刺包、氦气连接管包，单个包装均具有独立的无菌包装。</w:t>
      </w:r>
    </w:p>
    <w:p w14:paraId="0ECE285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2、配备双鞘管：一个标准鞘管和一个带侧臂的鞘管；</w:t>
      </w:r>
    </w:p>
    <w:p w14:paraId="30A7CF01">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3、双导丝：两根长175cm，带 PTFE-涂层的硬导丝。</w:t>
      </w:r>
    </w:p>
    <w:p w14:paraId="1435EF3C">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4、球囊材质采用耐磨的Cardiothane II球囊薄膜；</w:t>
      </w:r>
    </w:p>
    <w:p w14:paraId="1C3B0A5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5、表面具有亲水涂层，方便置管过程更加顺利。</w:t>
      </w:r>
    </w:p>
    <w:p w14:paraId="2EC47B2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6、30 cc球囊导管管径不超过7Fr，减少下肢缺血风险。</w:t>
      </w:r>
    </w:p>
    <w:p w14:paraId="0E8FB0CF">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7、导管体上具有刻度标记，便于放置。</w:t>
      </w:r>
    </w:p>
    <w:p w14:paraId="01B61741">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8、球囊导管包装内配备两条一次性氦气连接管</w:t>
      </w:r>
      <w:r>
        <w:rPr>
          <w:rFonts w:hint="eastAsia" w:ascii="宋体" w:hAnsi="宋体" w:cs="宋体"/>
          <w:color w:val="auto"/>
          <w:sz w:val="24"/>
          <w:szCs w:val="24"/>
          <w:lang w:val="en-US" w:eastAsia="zh-CN"/>
        </w:rPr>
        <w:t>。</w:t>
      </w:r>
    </w:p>
    <w:p w14:paraId="4CBFE9A4">
      <w:pPr>
        <w:spacing w:line="320" w:lineRule="exact"/>
        <w:ind w:left="478" w:leftChars="85" w:hanging="240" w:hangingChars="100"/>
        <w:jc w:val="left"/>
        <w:rPr>
          <w:rFonts w:hint="eastAsia" w:ascii="宋体" w:hAnsi="宋体" w:cs="宋体"/>
          <w:color w:val="auto"/>
          <w:sz w:val="24"/>
          <w:szCs w:val="24"/>
          <w:lang w:val="en-US" w:eastAsia="zh-CN"/>
        </w:rPr>
      </w:pPr>
    </w:p>
    <w:p w14:paraId="6BBDF994">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3</w:t>
      </w:r>
    </w:p>
    <w:p w14:paraId="54D1382B">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其主要适应症包括经皮冠状动脉介入手术中血管内膜严重钙化病变；球囊无法通过或无法充分扩张病变。</w:t>
      </w:r>
    </w:p>
    <w:p w14:paraId="2C612EE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2、旋磨头为椭圆形，镶有微钻晶体，直径1.25mm-2.5mm。</w:t>
      </w:r>
    </w:p>
    <w:p w14:paraId="37FFE6E3">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3、包括磨头导管和推进器，磨头导管包括磨头、导管鞘、连接器、导管主体，及一些内部传动部件</w:t>
      </w:r>
      <w:r>
        <w:rPr>
          <w:rFonts w:hint="eastAsia" w:ascii="宋体" w:hAnsi="宋体" w:cs="宋体"/>
          <w:color w:val="auto"/>
          <w:sz w:val="24"/>
          <w:szCs w:val="24"/>
          <w:lang w:val="en-US" w:eastAsia="zh-CN"/>
        </w:rPr>
        <w:t>。</w:t>
      </w:r>
    </w:p>
    <w:p w14:paraId="1E89FDB7">
      <w:pPr>
        <w:spacing w:line="320" w:lineRule="exact"/>
        <w:ind w:left="478" w:leftChars="85" w:hanging="240" w:hangingChars="100"/>
        <w:jc w:val="left"/>
        <w:rPr>
          <w:rFonts w:hint="eastAsia" w:ascii="宋体" w:hAnsi="宋体" w:cs="宋体"/>
          <w:color w:val="auto"/>
          <w:sz w:val="24"/>
          <w:szCs w:val="24"/>
          <w:lang w:val="en-US" w:eastAsia="zh-CN"/>
        </w:rPr>
      </w:pPr>
    </w:p>
    <w:p w14:paraId="1E7B0734">
      <w:pPr>
        <w:spacing w:line="320" w:lineRule="exact"/>
        <w:ind w:left="479" w:leftChars="85" w:hanging="241" w:hangingChars="100"/>
        <w:jc w:val="left"/>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包</w:t>
      </w:r>
      <w:r>
        <w:rPr>
          <w:rFonts w:hint="eastAsia" w:ascii="宋体" w:hAnsi="宋体" w:cs="宋体"/>
          <w:b/>
          <w:bCs w:val="0"/>
          <w:color w:val="auto"/>
          <w:sz w:val="24"/>
          <w:szCs w:val="24"/>
          <w:lang w:val="en-US" w:eastAsia="zh-CN"/>
        </w:rPr>
        <w:t>4</w:t>
      </w:r>
    </w:p>
    <w:p w14:paraId="3B70DA0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1、用途（功能需求）：用于卵圆孔未闭的封堵；</w:t>
      </w:r>
    </w:p>
    <w:p w14:paraId="72F28C0B">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2、骨架材料为聚对二氧环己酮（PDO）可降解高分子聚合物。</w:t>
      </w:r>
    </w:p>
    <w:p w14:paraId="738ABE2B">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3、阻流膜为可降解聚乳酸（PLA）。</w:t>
      </w:r>
    </w:p>
    <w:p w14:paraId="7B747A2C">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4、降解时间约1-1.5年完全降解。</w:t>
      </w:r>
    </w:p>
    <w:p w14:paraId="2A3F0AD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5、提供多种尺寸供选择。</w:t>
      </w:r>
    </w:p>
    <w:p w14:paraId="3EF7711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6、显影标记。</w:t>
      </w:r>
    </w:p>
    <w:p w14:paraId="06DF68E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7、输送鞘管包含但不限于6F-16F。</w:t>
      </w:r>
    </w:p>
    <w:p w14:paraId="669976DB">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8、最终降解产物为二氧化碳和水，通过新陈代谢排出。</w:t>
      </w:r>
    </w:p>
    <w:p w14:paraId="5B64925D">
      <w:pPr>
        <w:pStyle w:val="2"/>
        <w:rPr>
          <w:rFonts w:hint="eastAsia"/>
          <w:lang w:val="en-US" w:eastAsia="zh-CN"/>
        </w:rPr>
      </w:pPr>
    </w:p>
    <w:p w14:paraId="22705CAC">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31E0DE0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1、用于先天性房间隔缺损的介入治疗。产品保留了金属骨架的稳定支撑力，同时通过可降解膜促进内皮化</w:t>
      </w:r>
      <w:bookmarkStart w:id="190" w:name="_GoBack"/>
      <w:bookmarkEnd w:id="190"/>
      <w:r>
        <w:rPr>
          <w:rFonts w:hint="default" w:ascii="宋体" w:hAnsi="宋体" w:eastAsia="宋体" w:cs="宋体"/>
          <w:color w:val="auto"/>
          <w:sz w:val="24"/>
          <w:szCs w:val="24"/>
          <w:lang w:val="en-US" w:eastAsia="zh-CN"/>
        </w:rPr>
        <w:t>。</w:t>
      </w:r>
    </w:p>
    <w:p w14:paraId="044F89F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2、骨架材料为聚对二氧环己酮（PDO）可降解高分子聚合物。</w:t>
      </w:r>
    </w:p>
    <w:p w14:paraId="2521FBE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3、阻流膜为可降解聚乳酸（PLA）。</w:t>
      </w:r>
    </w:p>
    <w:p w14:paraId="1F0B2C7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4、降解时间约1-1.5年完全降解。</w:t>
      </w:r>
    </w:p>
    <w:p w14:paraId="47E6C6C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5、兼容6F-16F输送鞘管。</w:t>
      </w:r>
    </w:p>
    <w:p w14:paraId="05102F6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6、提供多种尺寸供选择。</w:t>
      </w:r>
    </w:p>
    <w:p w14:paraId="1A87A2DC">
      <w:pPr>
        <w:spacing w:line="320" w:lineRule="exact"/>
        <w:ind w:left="478" w:leftChars="85" w:hanging="240" w:hangingChars="100"/>
        <w:jc w:val="left"/>
        <w:rPr>
          <w:rFonts w:hint="eastAsia" w:ascii="宋体" w:hAnsi="宋体" w:eastAsia="宋体" w:cs="宋体"/>
          <w:color w:val="auto"/>
          <w:sz w:val="24"/>
          <w:szCs w:val="24"/>
          <w:lang w:val="en-US" w:eastAsia="zh-CN"/>
        </w:rPr>
      </w:pPr>
    </w:p>
    <w:p w14:paraId="59C3A4C5">
      <w:pPr>
        <w:pStyle w:val="2"/>
        <w:rPr>
          <w:rFonts w:hint="eastAsia"/>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524"/>
      <w:bookmarkStart w:id="68" w:name="_Toc4791"/>
      <w:bookmarkStart w:id="69" w:name="_Toc24122"/>
      <w:bookmarkStart w:id="70" w:name="_Toc7794"/>
      <w:bookmarkStart w:id="71" w:name="_Toc15650"/>
      <w:bookmarkStart w:id="72" w:name="_Toc76373878"/>
      <w:bookmarkStart w:id="73" w:name="_Toc1768"/>
      <w:bookmarkStart w:id="74" w:name="_Toc207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30551"/>
      <w:bookmarkStart w:id="80" w:name="_Toc29836"/>
      <w:bookmarkStart w:id="81" w:name="_Toc76373879"/>
      <w:bookmarkStart w:id="82" w:name="_Toc5959"/>
      <w:bookmarkStart w:id="83" w:name="_Toc933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12384"/>
      <w:bookmarkStart w:id="89" w:name="_Toc27893"/>
      <w:bookmarkStart w:id="90" w:name="_Toc2258"/>
      <w:bookmarkStart w:id="91" w:name="_Toc20263"/>
      <w:bookmarkStart w:id="92" w:name="_Toc76373885"/>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23699"/>
      <w:bookmarkStart w:id="96" w:name="_Toc76373886"/>
      <w:bookmarkStart w:id="97" w:name="_Toc7115"/>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16925"/>
      <w:bookmarkStart w:id="102" w:name="_Toc76373889"/>
      <w:bookmarkStart w:id="103" w:name="_Toc8546"/>
      <w:bookmarkStart w:id="104" w:name="_Toc5251"/>
      <w:bookmarkStart w:id="105" w:name="_Toc30068"/>
      <w:bookmarkStart w:id="106" w:name="_Toc2900"/>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20034"/>
      <w:bookmarkStart w:id="110" w:name="_Toc76373890"/>
      <w:bookmarkStart w:id="111" w:name="_Toc11342"/>
      <w:bookmarkStart w:id="112" w:name="_Toc26071"/>
      <w:bookmarkStart w:id="113" w:name="_Toc11654"/>
      <w:bookmarkStart w:id="114" w:name="_Toc27443"/>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76373891"/>
      <w:bookmarkStart w:id="117" w:name="_Toc25199"/>
      <w:bookmarkStart w:id="118" w:name="_Toc10864"/>
      <w:bookmarkStart w:id="119" w:name="_Toc20391"/>
      <w:bookmarkStart w:id="120" w:name="_Toc27646"/>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975"/>
      <w:bookmarkStart w:id="129" w:name="_Toc19409"/>
      <w:bookmarkStart w:id="130" w:name="_Toc10152"/>
      <w:bookmarkStart w:id="131" w:name="_Toc76373904"/>
      <w:bookmarkStart w:id="132" w:name="_Toc24088"/>
      <w:bookmarkStart w:id="133" w:name="_Toc2076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76373907"/>
      <w:bookmarkStart w:id="135" w:name="_Toc7750"/>
      <w:bookmarkStart w:id="136" w:name="_Toc11763"/>
      <w:bookmarkStart w:id="137" w:name="_Toc12863"/>
      <w:bookmarkStart w:id="138" w:name="_Toc11892"/>
      <w:bookmarkStart w:id="139" w:name="_Toc16112"/>
      <w:bookmarkStart w:id="140" w:name="_Toc25920"/>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3094"/>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9795"/>
      <w:bookmarkStart w:id="163" w:name="_Toc27306"/>
      <w:bookmarkStart w:id="164" w:name="_Toc493178790"/>
      <w:bookmarkStart w:id="165" w:name="_Toc76373909"/>
      <w:bookmarkStart w:id="166" w:name="_Toc21431"/>
      <w:bookmarkStart w:id="167" w:name="_Toc21830"/>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411"/>
      <w:bookmarkStart w:id="172" w:name="_Toc12647"/>
      <w:bookmarkStart w:id="173" w:name="_Toc20875"/>
      <w:bookmarkStart w:id="174" w:name="_Toc76373910"/>
      <w:bookmarkStart w:id="175" w:name="_Toc20258"/>
      <w:bookmarkStart w:id="176" w:name="_Toc492721039"/>
      <w:bookmarkStart w:id="177" w:name="_Toc16487"/>
      <w:bookmarkStart w:id="178"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492721038"/>
      <w:bookmarkStart w:id="181" w:name="_Toc76373912"/>
      <w:bookmarkStart w:id="182" w:name="_Toc4250"/>
      <w:bookmarkStart w:id="183" w:name="_Toc16151"/>
      <w:bookmarkStart w:id="184" w:name="_Toc8925"/>
      <w:bookmarkStart w:id="185" w:name="_Toc493178793"/>
      <w:bookmarkStart w:id="186" w:name="_Toc20605"/>
      <w:bookmarkStart w:id="187" w:name="_Toc6217"/>
      <w:bookmarkStart w:id="188" w:name="_Toc19291"/>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653A85F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E09AC2-D8EC-47B6-BCC6-EB6107C7CD4C}"/>
  </w:font>
  <w:font w:name="黑体">
    <w:panose1 w:val="02010609060101010101"/>
    <w:charset w:val="86"/>
    <w:family w:val="auto"/>
    <w:pitch w:val="default"/>
    <w:sig w:usb0="800002BF" w:usb1="38CF7CFA" w:usb2="00000016" w:usb3="00000000" w:csb0="00040001" w:csb1="00000000"/>
    <w:embedRegular r:id="rId2" w:fontKey="{63A2D856-D5B5-47F0-B197-E23891B896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FD8A080-4392-4996-9AED-6AB5A2E388B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35E7C92-47A7-4871-9CEB-7CE2C85CD2F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68FE981-B45C-4BC3-8A36-C4CD5AB45938}"/>
  </w:font>
  <w:font w:name="方正黑体_GBK">
    <w:panose1 w:val="03000509000000000000"/>
    <w:charset w:val="86"/>
    <w:family w:val="script"/>
    <w:pitch w:val="default"/>
    <w:sig w:usb0="00000001" w:usb1="080E0000" w:usb2="00000000" w:usb3="00000000" w:csb0="00040000" w:csb1="00000000"/>
    <w:embedRegular r:id="rId6" w:fontKey="{51A713AE-B238-4BF1-B625-087169AFBBC7}"/>
  </w:font>
  <w:font w:name="方正小标宋_GBK">
    <w:panose1 w:val="03000509000000000000"/>
    <w:charset w:val="86"/>
    <w:family w:val="script"/>
    <w:pitch w:val="default"/>
    <w:sig w:usb0="00000001" w:usb1="080E0000" w:usb2="00000000" w:usb3="00000000" w:csb0="00040000" w:csb1="00000000"/>
    <w:embedRegular r:id="rId7" w:fontKey="{DAEB0BB5-4B56-44FB-8260-49A2BD828B20}"/>
  </w:font>
  <w:font w:name="微软雅黑">
    <w:panose1 w:val="020B0503020204020204"/>
    <w:charset w:val="86"/>
    <w:family w:val="swiss"/>
    <w:pitch w:val="default"/>
    <w:sig w:usb0="80000287" w:usb1="2ACF3C50" w:usb2="00000016" w:usb3="00000000" w:csb0="0004001F" w:csb1="00000000"/>
    <w:embedRegular r:id="rId8" w:fontKey="{D90CFFFC-E68A-4E9D-BD71-7DE368B9CC48}"/>
  </w:font>
  <w:font w:name="仿宋">
    <w:panose1 w:val="02010609060101010101"/>
    <w:charset w:val="86"/>
    <w:family w:val="modern"/>
    <w:pitch w:val="default"/>
    <w:sig w:usb0="800002BF" w:usb1="38CF7CFA" w:usb2="00000016" w:usb3="00000000" w:csb0="00040001" w:csb1="00000000"/>
    <w:embedRegular r:id="rId9" w:fontKey="{B7DF498F-4574-4462-9E49-4F2597732AB7}"/>
  </w:font>
  <w:font w:name="楷体">
    <w:panose1 w:val="02010609060101010101"/>
    <w:charset w:val="86"/>
    <w:family w:val="modern"/>
    <w:pitch w:val="default"/>
    <w:sig w:usb0="800002BF" w:usb1="38CF7CFA" w:usb2="00000016" w:usb3="00000000" w:csb0="00040001" w:csb1="00000000"/>
    <w:embedRegular r:id="rId10" w:fontKey="{8BAD2CE1-03A2-4878-B260-6841A1115E3E}"/>
  </w:font>
  <w:font w:name="WPSEMBED35">
    <w:panose1 w:val="03000509000000000000"/>
    <w:charset w:val="86"/>
    <w:family w:val="auto"/>
    <w:pitch w:val="default"/>
    <w:sig w:usb0="00000001" w:usb1="080E0000" w:usb2="00000000" w:usb3="00000000" w:csb0="00040000" w:csb1="00000000"/>
  </w:font>
  <w:font w:name="WPSEMBED3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CB40C1"/>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34630A"/>
    <w:rsid w:val="474D668B"/>
    <w:rsid w:val="47AB562F"/>
    <w:rsid w:val="47B00DD6"/>
    <w:rsid w:val="47CA7D9C"/>
    <w:rsid w:val="47CC6A35"/>
    <w:rsid w:val="47D16F16"/>
    <w:rsid w:val="47D604EF"/>
    <w:rsid w:val="47F44954"/>
    <w:rsid w:val="48086251"/>
    <w:rsid w:val="4817039A"/>
    <w:rsid w:val="482268CA"/>
    <w:rsid w:val="482769CD"/>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A64C36"/>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D87B28"/>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B4769"/>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8575B2"/>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E64D7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5642</Words>
  <Characters>5798</Characters>
  <Lines>101</Lines>
  <Paragraphs>28</Paragraphs>
  <TotalTime>0</TotalTime>
  <ScaleCrop>false</ScaleCrop>
  <LinksUpToDate>false</LinksUpToDate>
  <CharactersWithSpaces>6286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2025-12-24T07:22:31Z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2F579DE5AF1C4EB38A4937E3DC5743F9_13</vt:lpwstr>
  </property>
  <property fmtid="{D5CDD505-2E9C-101B-9397-08002B2CF9AE}" pid="4" name="KSOTemplateDocerSaveRecord">
    <vt:lpwstr>eyJoZGlkIjoiMzc1OGNlMDJlMzRlMzMzYmE1ZjU3MzU3ZjgyMjI5MWIiLCJ1c2VySWQiOiIyMjg3MzE2MzAifQ==</vt:lpwstr>
  </property>
</Properties>
</file>