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304"/>
      <w:bookmarkStart w:id="2" w:name="_Toc10059"/>
      <w:bookmarkStart w:id="3" w:name="_Toc76373863"/>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5909"/>
      <w:bookmarkStart w:id="9" w:name="_Toc15376"/>
      <w:bookmarkStart w:id="10" w:name="_Toc28264"/>
      <w:bookmarkStart w:id="11" w:name="_Toc763738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体外循环插管及穿刺附件、一次性使用口咽通气道、氧浓度可调面罩、一次性使用压力传感器、一次性使用肝素帽、一次性使用连接管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5838"/>
            <w:bookmarkStart w:id="17" w:name="_Toc76373865"/>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体外循环插管及穿刺附件</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1-2家</w:t>
            </w:r>
          </w:p>
        </w:tc>
        <w:tc>
          <w:tcPr>
            <w:tcW w:w="1594" w:type="dxa"/>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重症医学科</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一次性使用口咽通气道</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重症医学科、急救、神内、神外、感染、关节、呼吸</w:t>
            </w:r>
          </w:p>
        </w:tc>
      </w:tr>
      <w:tr w14:paraId="354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7981A3D2">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2B1981F9">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氧浓度可调面罩</w:t>
            </w:r>
          </w:p>
        </w:tc>
        <w:tc>
          <w:tcPr>
            <w:tcW w:w="1485" w:type="dxa"/>
            <w:shd w:val="clear" w:color="auto" w:fill="auto"/>
            <w:noWrap w:val="0"/>
            <w:vAlign w:val="center"/>
          </w:tcPr>
          <w:p w14:paraId="43D99923">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C5B86D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5D36BB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包四</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一次性使用压力传感器</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7278B8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w:t>
            </w:r>
          </w:p>
        </w:tc>
      </w:tr>
      <w:tr w14:paraId="1B4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D894E88">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包五</w:t>
            </w:r>
          </w:p>
        </w:tc>
        <w:tc>
          <w:tcPr>
            <w:tcW w:w="2298" w:type="dxa"/>
            <w:shd w:val="clear" w:color="auto" w:fill="auto"/>
            <w:noWrap w:val="0"/>
            <w:vAlign w:val="center"/>
          </w:tcPr>
          <w:p w14:paraId="248A8B15">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一次性使用肝素帽</w:t>
            </w:r>
          </w:p>
        </w:tc>
        <w:tc>
          <w:tcPr>
            <w:tcW w:w="1485" w:type="dxa"/>
            <w:shd w:val="clear" w:color="auto" w:fill="auto"/>
            <w:noWrap w:val="0"/>
            <w:vAlign w:val="center"/>
          </w:tcPr>
          <w:p w14:paraId="70256E3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521051A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58292F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妇产科、呼吸、肾病中心、乳腺、内分泌、感染</w:t>
            </w:r>
          </w:p>
        </w:tc>
      </w:tr>
      <w:tr w14:paraId="5708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62321E13">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包六</w:t>
            </w:r>
          </w:p>
        </w:tc>
        <w:tc>
          <w:tcPr>
            <w:tcW w:w="2298" w:type="dxa"/>
            <w:shd w:val="clear" w:color="auto" w:fill="auto"/>
            <w:noWrap w:val="0"/>
            <w:vAlign w:val="center"/>
          </w:tcPr>
          <w:p w14:paraId="09B23A3A">
            <w:pPr>
              <w:widowControl/>
              <w:tabs>
                <w:tab w:val="left" w:pos="6940"/>
              </w:tabs>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一次性使用连接管</w:t>
            </w:r>
          </w:p>
        </w:tc>
        <w:tc>
          <w:tcPr>
            <w:tcW w:w="1485" w:type="dxa"/>
            <w:shd w:val="clear" w:color="auto" w:fill="auto"/>
            <w:noWrap w:val="0"/>
            <w:vAlign w:val="center"/>
          </w:tcPr>
          <w:p w14:paraId="09903A1A">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993A8F0">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0B8A0D51">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bookmarkStart w:id="197" w:name="_GoBack"/>
      <w:bookmarkEnd w:id="197"/>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3434"/>
      <w:bookmarkStart w:id="21" w:name="_Toc30358"/>
      <w:bookmarkStart w:id="22" w:name="_Toc2650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7527"/>
      <w:bookmarkStart w:id="31" w:name="_Toc654"/>
      <w:bookmarkStart w:id="32" w:name="_Toc18799"/>
      <w:bookmarkStart w:id="33" w:name="_Toc280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重症医学科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重症医学科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4033"/>
      <w:bookmarkStart w:id="45" w:name="_Toc76373872"/>
      <w:bookmarkStart w:id="46" w:name="_Toc9714"/>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11474"/>
      <w:bookmarkStart w:id="52" w:name="_Toc13391"/>
      <w:bookmarkStart w:id="53" w:name="_Toc76373874"/>
      <w:bookmarkStart w:id="54" w:name="_Toc3153"/>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76373876"/>
      <w:bookmarkStart w:id="60" w:name="_Toc29620"/>
      <w:bookmarkStart w:id="61" w:name="_Toc6355"/>
      <w:bookmarkStart w:id="62" w:name="_Toc30465"/>
      <w:bookmarkStart w:id="63" w:name="_Toc13107"/>
      <w:bookmarkStart w:id="64" w:name="_Toc1955"/>
    </w:p>
    <w:p w14:paraId="67667A1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5A49BFD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一、用途：用于经皮穿刺建立或外科切开建立体外循环的血管通路。其功能需求包括：</w:t>
      </w:r>
    </w:p>
    <w:p w14:paraId="5B310DF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二、技术参数</w:t>
      </w:r>
    </w:p>
    <w:p w14:paraId="5E88D7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（一）动脉/静脉插管技术参数</w:t>
      </w:r>
    </w:p>
    <w:p w14:paraId="2CF2A28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1.性状</w:t>
      </w:r>
    </w:p>
    <w:p w14:paraId="6F5D352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长直型或预弯型。头端为多侧孔设计，末端为标准接口（通常为3/8英寸或1/2英寸）。管身有深度刻度标记（厘米）。</w:t>
      </w:r>
    </w:p>
    <w:p w14:paraId="1291E3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2.材质</w:t>
      </w:r>
    </w:p>
    <w:p w14:paraId="4EFC7D6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管身：医用级聚氨酯（PU）、硅胶（Silicone）或生物相容性良好的高分子复合材料。要求材料柔软度适中，头端极其柔软，体部有抗折性。</w:t>
      </w:r>
    </w:p>
    <w:p w14:paraId="7648931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加强丝：内置或不锈钢丝绕簧加强，防止管路扭结和折瘪。</w:t>
      </w:r>
    </w:p>
    <w:p w14:paraId="0586ED2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显影标记：头端和管身关键部位含硫酸钡或其他X光不透射线材料，用于精确定位。</w:t>
      </w:r>
    </w:p>
    <w:p w14:paraId="7F5E7857">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3.</w:t>
      </w:r>
      <w:r>
        <w:rPr>
          <w:rFonts w:hint="eastAsia" w:cs="宋体"/>
          <w:b w:val="0"/>
          <w:bCs/>
          <w:color w:val="auto"/>
          <w:sz w:val="24"/>
          <w:lang w:val="en-US" w:eastAsia="zh-CN"/>
        </w:rPr>
        <w:t>物理尺寸</w:t>
      </w:r>
    </w:p>
    <w:p w14:paraId="2590BD43">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需提供多种规格以满足不同体重要求：常见规格（Fr）： 15Fr，17Fr，19Fr，21Fr，23Fr，25Fr等。</w:t>
      </w:r>
    </w:p>
    <w:p w14:paraId="76E6A7F4">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有效长度（cm）：通常提供多种长度，如15cm，25cm，40cm，50cm等，以满足不同穿刺路径需求。</w:t>
      </w:r>
    </w:p>
    <w:p w14:paraId="21E4F397">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内径（ID）与外径（OD）：需标明对应French规格下的具体毫米数（如21Fr≈ID 4.2mm，OD 7.0mm）。</w:t>
      </w:r>
    </w:p>
    <w:p w14:paraId="03A76A81">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流量范围：需标明在特定压力差下（如-100mmHg引流压，+250mmHg输注压）该规格插管所能支持的最大理论流量（L/min）。</w:t>
      </w:r>
    </w:p>
    <w:p w14:paraId="6B58421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（二）经皮穿刺套装技术参数</w:t>
      </w:r>
    </w:p>
    <w:p w14:paraId="2F172ED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1.穿刺针</w:t>
      </w:r>
    </w:p>
    <w:p w14:paraId="2A01C9D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规格：18G，19G等。</w:t>
      </w:r>
    </w:p>
    <w:p w14:paraId="580C49A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长度：通常≥7cm。</w:t>
      </w:r>
    </w:p>
    <w:p w14:paraId="6FF244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特点：薄壁设计，针尖锋利，带有针芯，超声下可视。</w:t>
      </w:r>
    </w:p>
    <w:p w14:paraId="5DF694FB">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2.</w:t>
      </w:r>
      <w:r>
        <w:rPr>
          <w:rFonts w:hint="eastAsia" w:cs="宋体"/>
          <w:b w:val="0"/>
          <w:bCs/>
          <w:color w:val="auto"/>
          <w:sz w:val="24"/>
          <w:lang w:val="en-US" w:eastAsia="zh-CN"/>
        </w:rPr>
        <w:t>导引钢丝</w:t>
      </w:r>
    </w:p>
    <w:p w14:paraId="0B9EDB18">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规格：直径0.035英寸或0.038英寸，长度80-100cm。</w:t>
      </w:r>
    </w:p>
    <w:p w14:paraId="0FFD30E2">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头端：柔软可弯曲的“J”型头或直头，减少损伤。</w:t>
      </w:r>
    </w:p>
    <w:p w14:paraId="31BB44AE">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材质：不锈钢芯，外层有亲水涂层（遇水超滑）或特氟龙涂层。</w:t>
      </w:r>
    </w:p>
    <w:p w14:paraId="787402DC">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3.</w:t>
      </w:r>
      <w:r>
        <w:rPr>
          <w:rFonts w:hint="eastAsia" w:cs="宋体"/>
          <w:b w:val="0"/>
          <w:bCs/>
          <w:color w:val="auto"/>
          <w:sz w:val="24"/>
          <w:lang w:val="en-US" w:eastAsia="zh-CN"/>
        </w:rPr>
        <w:t>血管扩张器</w:t>
      </w:r>
    </w:p>
    <w:p w14:paraId="4586C042">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材质：塑料或金属。</w:t>
      </w:r>
    </w:p>
    <w:p w14:paraId="687F58E6">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规格：与插管规格匹配，逐级扩张（如8F，10F，12F...直至目标插管尺寸）。</w:t>
      </w:r>
    </w:p>
    <w:p w14:paraId="18E4B85B">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特点：头端呈平滑锥形，便于组织扩张。</w:t>
      </w:r>
    </w:p>
    <w:p w14:paraId="3B747B2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4.皮肤切开刀：与导丝和扩张器配套的专用微创手术刀片。</w:t>
      </w:r>
    </w:p>
    <w:p w14:paraId="4C6EF00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三、耗材组成成分</w:t>
      </w:r>
    </w:p>
    <w:p w14:paraId="3731216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1.主要组件：投标产品清单应包含一个完整的插管或穿刺套包所包含的所有部件。</w:t>
      </w:r>
    </w:p>
    <w:p w14:paraId="3277D66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插管套包可能包括：动/静脉插管（1根）、导丝（1根）、扩张器（1个或多个）、手术刀片（1个）、缝合孔板/固定翼（1个）、注射器（1个）。</w:t>
      </w:r>
    </w:p>
    <w:p w14:paraId="6A7F69E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穿刺套包可能包括：穿刺针（1个）、导丝（1根）、扩张器（1套）、鞘管（1个）、手术刀片（1个）、无菌洞巾（1块）、纱布（数块）。</w:t>
      </w:r>
    </w:p>
    <w:p w14:paraId="422034A5">
      <w:pPr>
        <w:pStyle w:val="2"/>
        <w:rPr>
          <w:rFonts w:hint="eastAsia"/>
          <w:lang w:val="en-US" w:eastAsia="zh-CN"/>
        </w:rPr>
      </w:pPr>
    </w:p>
    <w:p w14:paraId="1EB87A5E">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包2</w:t>
      </w:r>
    </w:p>
    <w:p w14:paraId="21EF8C9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一、用途与功能需求</w:t>
      </w:r>
    </w:p>
    <w:p w14:paraId="490507D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1.主要用途：用于全身麻醉、昏迷、无意识或呼吸抑制的青少年及成人患者，在医疗急救（如心肺复苏）和建立临时性口咽气道，防止舌后坠堵塞上呼吸道，保持气道通畅。</w:t>
      </w:r>
    </w:p>
    <w:p w14:paraId="5472044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2.核心功能：维持通气、防止咬闭、便于操作、保护组织</w:t>
      </w:r>
    </w:p>
    <w:p w14:paraId="641B3FF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4D7FAB8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1.性状与结构：</w:t>
      </w:r>
    </w:p>
    <w:p w14:paraId="4006B13E">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外观：管体呈符合人体口腔及咽部生理解剖的弯曲造型。</w:t>
      </w:r>
    </w:p>
    <w:p w14:paraId="5E9CFF37">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结构：必须包括唇齿挡板、咽弯曲部 和口腔导引部。挡板设计应能有效防止通气道过度滑入或脱出。</w:t>
      </w:r>
    </w:p>
    <w:p w14:paraId="5F9492E5">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管腔：中空，通道完整、通畅，内壁光滑，无可见毛刺或飞边。</w:t>
      </w:r>
    </w:p>
    <w:p w14:paraId="41EEF4A7">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颜色：推荐为医疗级透明或半透明材质，便于观察管内情况及分泌物淤积。</w:t>
      </w:r>
    </w:p>
    <w:p w14:paraId="3596A3F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2.材质：</w:t>
      </w:r>
    </w:p>
    <w:p w14:paraId="4116E86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主体材质：必须为医用级聚氯乙烯（PVC）或医用级硅胶。</w:t>
      </w:r>
    </w:p>
    <w:p w14:paraId="5A2A1BC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3.物理尺寸与规格：须覆盖不同体型的患者。</w:t>
      </w:r>
    </w:p>
    <w:p w14:paraId="4D97743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三、耗材组成成分</w:t>
      </w:r>
    </w:p>
    <w:p w14:paraId="0A1BB13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1.主体材料：</w:t>
      </w:r>
    </w:p>
    <w:p w14:paraId="5251F86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若为PVC款：医用级聚氯乙烯（PVC）、环保增塑剂（如己二酸二辛酯（DOA）、柠檬酸酯、TOTM等）。</w:t>
      </w:r>
    </w:p>
    <w:p w14:paraId="58FFA74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若为硅胶款：铂金硫化（Platinum-Cured）医用级硅胶。</w:t>
      </w:r>
    </w:p>
    <w:p w14:paraId="1C28941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四、其他要求</w:t>
      </w:r>
    </w:p>
    <w:p w14:paraId="060AB55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包装：单个独立无菌包装。</w:t>
      </w:r>
    </w:p>
    <w:p w14:paraId="6441D281">
      <w:pPr>
        <w:pStyle w:val="2"/>
        <w:rPr>
          <w:rFonts w:hint="default"/>
          <w:lang w:val="en-US" w:eastAsia="zh-CN"/>
        </w:rPr>
      </w:pPr>
    </w:p>
    <w:p w14:paraId="1709EB09">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437ACF8E">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一、主要用途：本品适用于成人患者，用于医疗环境中输送特定浓度、经过精确控制的氧气疗法。其核心功能是通过文丘里原理（Venturi Principle）吸入特定比例的空气，以提供从低浓度到中高浓度（通常为24%至50%）的恒定氧浓度，避免因患者呼吸模式变化而导致的浓度波动。</w:t>
      </w:r>
    </w:p>
    <w:p w14:paraId="0BB9E4E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2B2D3FA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1.性状：</w:t>
      </w:r>
    </w:p>
    <w:p w14:paraId="64858E6D">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整套耗材为一次性使用无菌包。</w:t>
      </w:r>
    </w:p>
    <w:p w14:paraId="22BF861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包装应完好无损，有清晰的中文标签和产品信息。</w:t>
      </w:r>
    </w:p>
    <w:p w14:paraId="6D8FA17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内含组件齐全，无肉眼可见的杂质和缺陷。</w:t>
      </w:r>
    </w:p>
    <w:p w14:paraId="429C7D46">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2.材质：</w:t>
      </w:r>
    </w:p>
    <w:p w14:paraId="24BFB4CD">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面罩主体：由医疗级、低过敏性、柔软的硅胶或PVC材料制成</w:t>
      </w:r>
    </w:p>
    <w:p w14:paraId="50CE9C5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氧气管路：医用级PVC或PU，长度标准（通常为2-2.5米），接口为标准直径（通常为22mm/15mm）。</w:t>
      </w:r>
    </w:p>
    <w:p w14:paraId="6D930B2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3.物理尺寸：</w:t>
      </w:r>
    </w:p>
    <w:p w14:paraId="3B54BFB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面罩尺寸：符合成人面部解剖学设计。大致尺寸：高度约110mm</w:t>
      </w:r>
      <w:r>
        <w:rPr>
          <w:rFonts w:hint="eastAsia" w:cs="宋体"/>
          <w:b w:val="0"/>
          <w:bCs/>
          <w:color w:val="auto"/>
          <w:sz w:val="24"/>
          <w:lang w:val="en-US" w:eastAsia="zh-CN"/>
        </w:rPr>
        <w:t>-</w:t>
      </w:r>
      <w:r>
        <w:rPr>
          <w:rFonts w:hint="default" w:cs="宋体"/>
          <w:b w:val="0"/>
          <w:bCs/>
          <w:color w:val="auto"/>
          <w:sz w:val="24"/>
          <w:lang w:val="en-US" w:eastAsia="zh-CN"/>
        </w:rPr>
        <w:t>130mm，宽度约150mm</w:t>
      </w:r>
      <w:r>
        <w:rPr>
          <w:rFonts w:hint="eastAsia" w:cs="宋体"/>
          <w:b w:val="0"/>
          <w:bCs/>
          <w:color w:val="auto"/>
          <w:sz w:val="24"/>
          <w:lang w:val="en-US" w:eastAsia="zh-CN"/>
        </w:rPr>
        <w:t>-</w:t>
      </w:r>
      <w:r>
        <w:rPr>
          <w:rFonts w:hint="default" w:cs="宋体"/>
          <w:b w:val="0"/>
          <w:bCs/>
          <w:color w:val="auto"/>
          <w:sz w:val="24"/>
          <w:lang w:val="en-US" w:eastAsia="zh-CN"/>
        </w:rPr>
        <w:t>170mm。</w:t>
      </w:r>
    </w:p>
    <w:p w14:paraId="225F5C9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4.性能参数：</w:t>
      </w:r>
    </w:p>
    <w:p w14:paraId="03C65DB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氧浓度范围：必须提供至少5种不同氧浓度选项。</w:t>
      </w:r>
    </w:p>
    <w:p w14:paraId="24CD280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流量范围：配套的文丘里阀应在制造商推荐的氧流量下（通常为2-15 L/min）工作，以输出标称的氧浓度。</w:t>
      </w:r>
    </w:p>
    <w:p w14:paraId="2F281C68">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耗材组成成分：面罩、调流筒，调流接头、松紧带、气源接头、氧气连接管等</w:t>
      </w:r>
      <w:r>
        <w:rPr>
          <w:rFonts w:hint="eastAsia" w:cs="宋体"/>
          <w:b w:val="0"/>
          <w:bCs/>
          <w:color w:val="auto"/>
          <w:sz w:val="24"/>
          <w:lang w:val="en-US" w:eastAsia="zh-CN"/>
        </w:rPr>
        <w:t>。</w:t>
      </w:r>
    </w:p>
    <w:p w14:paraId="38BA968E">
      <w:pPr>
        <w:pStyle w:val="2"/>
        <w:rPr>
          <w:rFonts w:hint="default"/>
          <w:lang w:val="en-US" w:eastAsia="zh-CN"/>
        </w:rPr>
      </w:pPr>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包4</w:t>
      </w:r>
    </w:p>
    <w:p w14:paraId="17B8059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一、主要用途：用于对患者有创血压进行精确、连续、实时监测。</w:t>
      </w:r>
    </w:p>
    <w:p w14:paraId="150A620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13DFFB9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1.主要材质：传感器膜：医用级聚砜（Polysulfone</w:t>
      </w:r>
      <w:r>
        <w:rPr>
          <w:rFonts w:hint="eastAsia" w:cs="宋体"/>
          <w:b w:val="0"/>
          <w:bCs/>
          <w:color w:val="auto"/>
          <w:sz w:val="24"/>
          <w:lang w:val="en-US" w:eastAsia="zh-CN"/>
        </w:rPr>
        <w:t>，</w:t>
      </w:r>
      <w:r>
        <w:rPr>
          <w:rFonts w:hint="default" w:cs="宋体"/>
          <w:b w:val="0"/>
          <w:bCs/>
          <w:color w:val="auto"/>
          <w:sz w:val="24"/>
          <w:lang w:val="en-US" w:eastAsia="zh-CN"/>
        </w:rPr>
        <w:t>PSU）或其他高性能医用聚合物，壳体/三通阀：聚碳酸酯（Polycarbonate, PC）、丙烯腈-丁二烯-苯乙烯共聚物（ABS），管路：医用级聚氯乙烯（PVC）、硅胶（Silicone），隔膜/密封件：医用硅胶（Silicone）、溴丁基橡胶，电缆线：屏蔽铜线，外层为PVC绝缘层，电气接头符合ISO5941标准或与各大主流监护仪（如Philips、GE、Mindray、Edwards等）兼容的专用接口</w:t>
      </w:r>
      <w:r>
        <w:rPr>
          <w:rFonts w:hint="eastAsia" w:cs="宋体"/>
          <w:b w:val="0"/>
          <w:bCs/>
          <w:color w:val="auto"/>
          <w:sz w:val="24"/>
          <w:lang w:val="en-US" w:eastAsia="zh-CN"/>
        </w:rPr>
        <w:t>。</w:t>
      </w:r>
    </w:p>
    <w:p w14:paraId="7CBFC60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2.物理尺寸：传感器尺寸：长约60-80mm，宽约40-50mm，高约20-30mm（可根据品牌具体填写）；管路长度：压力延长管标准长度通常为120~183cm（6英寸）</w:t>
      </w:r>
      <w:r>
        <w:rPr>
          <w:rFonts w:hint="eastAsia" w:cs="宋体"/>
          <w:b w:val="0"/>
          <w:bCs/>
          <w:color w:val="auto"/>
          <w:sz w:val="24"/>
          <w:lang w:val="en-US" w:eastAsia="zh-CN"/>
        </w:rPr>
        <w:t>。</w:t>
      </w:r>
    </w:p>
    <w:p w14:paraId="7F65C03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三、耗材组成成分：传感器壳体/三通阀体、压力感应膜、压力延长管、管路、隔膜、密封圈、电气接头等。传感器主体上设有调零阀和冲洗阀。外观应洁净，无机械损伤。</w:t>
      </w:r>
    </w:p>
    <w:p w14:paraId="09286CBE">
      <w:pPr>
        <w:pStyle w:val="2"/>
        <w:rPr>
          <w:rFonts w:hint="default"/>
          <w:lang w:val="en-US" w:eastAsia="zh-CN"/>
        </w:rPr>
      </w:pPr>
    </w:p>
    <w:p w14:paraId="6C3C9404">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包5</w:t>
      </w:r>
    </w:p>
    <w:p w14:paraId="6D5F68A6">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一、主要用途：用于输液治疗、静脉采血、等血管通路治疗中，连接在留置针、中心静脉导管（CVC）、经外周静脉置入中心静脉导管（PICC）、输液港（Port）或无针输液接头等器械的末端。</w:t>
      </w:r>
    </w:p>
    <w:p w14:paraId="40E70CF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1252602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1.性状与外观：应为外观洁净、无色或微带色泽的透明帽状结构，便于观察内部情况。内部含有一个弹性良好的硅胶隔膜，能承受多次穿刺且穿刺后能自密封，无碎屑产生。外壳结构坚固，手感顺滑。</w:t>
      </w:r>
    </w:p>
    <w:p w14:paraId="511E2A87">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2.材质：外壳：采用高强度、高化学稳定性的聚丙烯（PP）或聚碳酸酯（PC）等医用级高分子材料制成。</w:t>
      </w:r>
    </w:p>
    <w:p w14:paraId="24D5B4A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3.物理尺寸：连接接口：标准阴性鲁尔接头，容量：内部死腔容量应尽可能小（通常≤0.2mL）</w:t>
      </w:r>
    </w:p>
    <w:p w14:paraId="70FB05A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三、主体材料成分：聚丙烯（Polypropylene</w:t>
      </w:r>
      <w:r>
        <w:rPr>
          <w:rFonts w:hint="eastAsia" w:cs="宋体"/>
          <w:b w:val="0"/>
          <w:bCs/>
          <w:color w:val="auto"/>
          <w:sz w:val="24"/>
          <w:lang w:val="en-US" w:eastAsia="zh-CN"/>
        </w:rPr>
        <w:t>，</w:t>
      </w:r>
      <w:r>
        <w:rPr>
          <w:rFonts w:hint="default" w:cs="宋体"/>
          <w:b w:val="0"/>
          <w:bCs/>
          <w:color w:val="auto"/>
          <w:sz w:val="24"/>
          <w:lang w:val="en-US" w:eastAsia="zh-CN"/>
        </w:rPr>
        <w:t>PP）和/或聚碳酸酯（Polycarbonate</w:t>
      </w:r>
      <w:r>
        <w:rPr>
          <w:rFonts w:hint="eastAsia" w:cs="宋体"/>
          <w:b w:val="0"/>
          <w:bCs/>
          <w:color w:val="auto"/>
          <w:sz w:val="24"/>
          <w:lang w:val="en-US" w:eastAsia="zh-CN"/>
        </w:rPr>
        <w:t>，</w:t>
      </w:r>
      <w:r>
        <w:rPr>
          <w:rFonts w:hint="default" w:cs="宋体"/>
          <w:b w:val="0"/>
          <w:bCs/>
          <w:color w:val="auto"/>
          <w:sz w:val="24"/>
          <w:lang w:val="en-US" w:eastAsia="zh-CN"/>
        </w:rPr>
        <w:t>PC），医用级硅胶（Silicone Rubber/Silicone Elastomer）；灭菌方式：环氧乙烷（EO）灭菌，无菌保证水平（SAL）≤10⁻⁶。</w:t>
      </w:r>
    </w:p>
    <w:p w14:paraId="4CEF3611">
      <w:pPr>
        <w:pStyle w:val="2"/>
        <w:rPr>
          <w:rFonts w:hint="default"/>
          <w:lang w:val="en-US" w:eastAsia="zh-CN"/>
        </w:rPr>
      </w:pPr>
    </w:p>
    <w:p w14:paraId="3DE7ED4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包6</w:t>
      </w:r>
    </w:p>
    <w:p w14:paraId="35CF3E5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一、主要用途：主要用于临床静脉输液治疗中，作为液体通路之间的无菌连接。</w:t>
      </w:r>
    </w:p>
    <w:p w14:paraId="6932BD2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2995D8D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1.外观：管身应透明、光滑，无杂质、无气泡，刻度（如有）清晰可见。结构：基本结构应包括延长管管身、鲁尔锁接头。</w:t>
      </w:r>
    </w:p>
    <w:p w14:paraId="4C85808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2.材质</w:t>
      </w:r>
    </w:p>
    <w:p w14:paraId="0D166B0E">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2.1管路：PVC或TPE</w:t>
      </w:r>
    </w:p>
    <w:p w14:paraId="731CA7A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2.2接头/注射件/三通阀：聚丙烯（PP）、聚碳酸酯（PC）等医用级工程塑料。</w:t>
      </w:r>
    </w:p>
    <w:p w14:paraId="1BDBFA0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2.3密封件：医用硅胶垫。</w:t>
      </w:r>
    </w:p>
    <w:p w14:paraId="5E5C915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w:t>
      </w:r>
      <w:r>
        <w:rPr>
          <w:rFonts w:hint="eastAsia" w:cs="宋体"/>
          <w:b w:val="0"/>
          <w:bCs/>
          <w:color w:val="auto"/>
          <w:sz w:val="24"/>
          <w:lang w:val="en-US" w:eastAsia="zh-CN"/>
        </w:rPr>
        <w:t>.</w:t>
      </w:r>
      <w:r>
        <w:rPr>
          <w:rFonts w:hint="default" w:cs="宋体"/>
          <w:b w:val="0"/>
          <w:bCs/>
          <w:color w:val="auto"/>
          <w:sz w:val="24"/>
          <w:lang w:val="en-US" w:eastAsia="zh-CN"/>
        </w:rPr>
        <w:t>物理尺寸</w:t>
      </w:r>
    </w:p>
    <w:p w14:paraId="34B2F19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3.1管路内径：常见规格为1.5mm ~2.0mm</w:t>
      </w:r>
      <w:r>
        <w:rPr>
          <w:rFonts w:hint="eastAsia" w:cs="宋体"/>
          <w:b w:val="0"/>
          <w:bCs/>
          <w:color w:val="auto"/>
          <w:sz w:val="24"/>
          <w:lang w:val="en-US" w:eastAsia="zh-CN"/>
        </w:rPr>
        <w:t>（</w:t>
      </w:r>
      <w:r>
        <w:rPr>
          <w:rFonts w:hint="default" w:cs="宋体"/>
          <w:b w:val="0"/>
          <w:bCs/>
          <w:color w:val="auto"/>
          <w:sz w:val="24"/>
          <w:lang w:val="en-US" w:eastAsia="zh-CN"/>
        </w:rPr>
        <w:t>相当于4#~5#号</w:t>
      </w:r>
      <w:r>
        <w:rPr>
          <w:rFonts w:hint="eastAsia" w:cs="宋体"/>
          <w:b w:val="0"/>
          <w:bCs/>
          <w:color w:val="auto"/>
          <w:sz w:val="24"/>
          <w:lang w:val="en-US" w:eastAsia="zh-CN"/>
        </w:rPr>
        <w:t>）</w:t>
      </w:r>
      <w:r>
        <w:rPr>
          <w:rFonts w:hint="default" w:cs="宋体"/>
          <w:b w:val="0"/>
          <w:bCs/>
          <w:color w:val="auto"/>
          <w:sz w:val="24"/>
          <w:lang w:val="en-US" w:eastAsia="zh-CN"/>
        </w:rPr>
        <w:t>。</w:t>
      </w:r>
    </w:p>
    <w:p w14:paraId="3F0BD3B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3.2管路外径：与内径匹配，通常为3.0mm~4.0mm。</w:t>
      </w:r>
    </w:p>
    <w:p w14:paraId="181A5DFE">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3.3管路长度：投标产品须提供但不限于以下长度规格，以满足不同临床场景：</w:t>
      </w:r>
    </w:p>
    <w:p w14:paraId="6B24067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3.3.1超短型：5cm、10cm（用于连接紧密的输液系统）</w:t>
      </w:r>
      <w:r>
        <w:rPr>
          <w:rFonts w:hint="eastAsia" w:cs="宋体"/>
          <w:b w:val="0"/>
          <w:bCs/>
          <w:color w:val="auto"/>
          <w:sz w:val="24"/>
          <w:lang w:val="en-US" w:eastAsia="zh-CN"/>
        </w:rPr>
        <w:t>。</w:t>
      </w:r>
    </w:p>
    <w:p w14:paraId="527BCC5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3.3.2标准型：15cm、20cm、25cm、30cm（最常用规格）</w:t>
      </w:r>
      <w:r>
        <w:rPr>
          <w:rFonts w:hint="eastAsia" w:cs="宋体"/>
          <w:b w:val="0"/>
          <w:bCs/>
          <w:color w:val="auto"/>
          <w:sz w:val="24"/>
          <w:lang w:val="en-US" w:eastAsia="zh-CN"/>
        </w:rPr>
        <w:t>。</w:t>
      </w:r>
    </w:p>
    <w:p w14:paraId="7AFEA8E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3.3.3加长型：50cm、75cm、100cm、150cm（用于特殊体位或转运患者）</w:t>
      </w:r>
    </w:p>
    <w:p w14:paraId="63686BE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3.4容量：需明确标称容量（如≈0.8mL/25cm）。</w:t>
      </w:r>
    </w:p>
    <w:p w14:paraId="2FB07D1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三、耗材组成成分</w:t>
      </w:r>
    </w:p>
    <w:p w14:paraId="02720D3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1.若为PVC材质：需列明聚氯乙烯（PVC）树脂、增塑剂</w:t>
      </w:r>
      <w:r>
        <w:rPr>
          <w:rFonts w:hint="eastAsia" w:cs="宋体"/>
          <w:b w:val="0"/>
          <w:bCs/>
          <w:color w:val="auto"/>
          <w:sz w:val="24"/>
          <w:lang w:val="en-US" w:eastAsia="zh-CN"/>
        </w:rPr>
        <w:t>（</w:t>
      </w:r>
      <w:r>
        <w:rPr>
          <w:rFonts w:hint="default" w:cs="宋体"/>
          <w:b w:val="0"/>
          <w:bCs/>
          <w:color w:val="auto"/>
          <w:sz w:val="24"/>
          <w:lang w:val="en-US" w:eastAsia="zh-CN"/>
        </w:rPr>
        <w:t>如邻苯二甲酸二（2-乙基己）酯（DEHP）或偏苯三酸三辛酯（TOTM）、乙酰柠檬酸三丁酯（ATBC）</w:t>
      </w:r>
      <w:r>
        <w:rPr>
          <w:rFonts w:hint="eastAsia" w:cs="宋体"/>
          <w:b w:val="0"/>
          <w:bCs/>
          <w:color w:val="auto"/>
          <w:sz w:val="24"/>
          <w:lang w:val="en-US" w:eastAsia="zh-CN"/>
        </w:rPr>
        <w:t>）</w:t>
      </w:r>
      <w:r>
        <w:rPr>
          <w:rFonts w:hint="default" w:cs="宋体"/>
          <w:b w:val="0"/>
          <w:bCs/>
          <w:color w:val="auto"/>
          <w:sz w:val="24"/>
          <w:lang w:val="en-US" w:eastAsia="zh-CN"/>
        </w:rPr>
        <w:t>、稳定剂（如钙锌复合稳定剂）、润滑剂。</w:t>
      </w:r>
    </w:p>
    <w:p w14:paraId="0A88382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2.若为TPE材质：需注明为热塑性弹性体（TPE），无需增塑剂。</w:t>
      </w: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4791"/>
      <w:bookmarkStart w:id="68" w:name="_Toc17944"/>
      <w:bookmarkStart w:id="69" w:name="_Toc24122"/>
      <w:bookmarkStart w:id="70" w:name="_Toc17524"/>
      <w:bookmarkStart w:id="71" w:name="_Toc7794"/>
      <w:bookmarkStart w:id="72" w:name="_Toc1768"/>
      <w:bookmarkStart w:id="73" w:name="_Toc15650"/>
      <w:bookmarkStart w:id="74" w:name="_Toc76373878"/>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22561"/>
      <w:bookmarkStart w:id="80" w:name="_Toc9339"/>
      <w:bookmarkStart w:id="81" w:name="_Toc29836"/>
      <w:bookmarkStart w:id="82" w:name="_Toc5959"/>
      <w:bookmarkStart w:id="83" w:name="_Toc7637387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893"/>
      <w:bookmarkStart w:id="88" w:name="_Toc2258"/>
      <w:bookmarkStart w:id="89" w:name="_Toc20772"/>
      <w:bookmarkStart w:id="90" w:name="_Toc27737"/>
      <w:bookmarkStart w:id="91" w:name="_Toc20263"/>
      <w:bookmarkStart w:id="92" w:name="_Toc76373885"/>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76373886"/>
      <w:bookmarkStart w:id="96" w:name="_Toc28189"/>
      <w:bookmarkStart w:id="97" w:name="_Toc7115"/>
      <w:bookmarkStart w:id="98" w:name="_Toc2369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26754"/>
      <w:bookmarkStart w:id="103" w:name="_Toc19809"/>
      <w:bookmarkStart w:id="104" w:name="_Toc5535"/>
      <w:bookmarkStart w:id="105" w:name="_Toc76373887"/>
      <w:bookmarkStart w:id="106" w:name="_Toc13585"/>
      <w:bookmarkStart w:id="107" w:name="_Toc31293"/>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5251"/>
      <w:bookmarkStart w:id="109" w:name="_Toc16925"/>
      <w:bookmarkStart w:id="110" w:name="_Toc8546"/>
      <w:bookmarkStart w:id="111" w:name="_Toc76373889"/>
      <w:bookmarkStart w:id="112" w:name="_Toc30068"/>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20034"/>
      <w:bookmarkStart w:id="118" w:name="_Toc11654"/>
      <w:bookmarkStart w:id="119" w:name="_Toc11342"/>
      <w:bookmarkStart w:id="120" w:name="_Toc76373890"/>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10864"/>
      <w:bookmarkStart w:id="125" w:name="_Toc76373891"/>
      <w:bookmarkStart w:id="126" w:name="_Toc25199"/>
      <w:bookmarkStart w:id="127" w:name="_Toc203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975"/>
      <w:bookmarkStart w:id="136" w:name="_Toc10152"/>
      <w:bookmarkStart w:id="137" w:name="_Toc76373904"/>
      <w:bookmarkStart w:id="138" w:name="_Toc19409"/>
      <w:bookmarkStart w:id="139" w:name="_Toc24088"/>
      <w:bookmarkStart w:id="140" w:name="_Toc2076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7750"/>
      <w:bookmarkStart w:id="143" w:name="_Toc25920"/>
      <w:bookmarkStart w:id="144" w:name="_Toc11763"/>
      <w:bookmarkStart w:id="145" w:name="_Toc16112"/>
      <w:bookmarkStart w:id="146" w:name="_Toc12863"/>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27306"/>
      <w:bookmarkStart w:id="171" w:name="_Toc76373909"/>
      <w:bookmarkStart w:id="172" w:name="_Toc21431"/>
      <w:bookmarkStart w:id="173" w:name="_Toc493178790"/>
      <w:bookmarkStart w:id="174" w:name="_Toc2183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6487"/>
      <w:bookmarkStart w:id="179" w:name="_Toc492721039"/>
      <w:bookmarkStart w:id="180" w:name="_Toc493178791"/>
      <w:bookmarkStart w:id="181" w:name="_Toc20258"/>
      <w:bookmarkStart w:id="182" w:name="_Toc411"/>
      <w:bookmarkStart w:id="183" w:name="_Toc12647"/>
      <w:bookmarkStart w:id="184" w:name="_Toc76373910"/>
      <w:bookmarkStart w:id="185" w:name="_Toc20875"/>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2721038"/>
      <w:bookmarkStart w:id="188" w:name="_Toc16151"/>
      <w:bookmarkStart w:id="189" w:name="_Toc20605"/>
      <w:bookmarkStart w:id="190" w:name="_Toc6217"/>
      <w:bookmarkStart w:id="191" w:name="_Toc19291"/>
      <w:bookmarkStart w:id="192" w:name="_Toc76373912"/>
      <w:bookmarkStart w:id="193" w:name="_Toc8925"/>
      <w:bookmarkStart w:id="194" w:name="_Toc4250"/>
      <w:bookmarkStart w:id="195" w:name="_Toc493178793"/>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EC15D2-E7DD-41B1-9984-C9DC79590E12}"/>
  </w:font>
  <w:font w:name="黑体">
    <w:panose1 w:val="02010609060101010101"/>
    <w:charset w:val="86"/>
    <w:family w:val="auto"/>
    <w:pitch w:val="default"/>
    <w:sig w:usb0="800002BF" w:usb1="38CF7CFA" w:usb2="00000016" w:usb3="00000000" w:csb0="00040001" w:csb1="00000000"/>
    <w:embedRegular r:id="rId2" w:fontKey="{BC2C3905-522C-4135-81E1-EC254F32D0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2E0C8DF-3CC7-430B-A5CE-CFA58FD6970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16CEC4B-87F9-4D38-A5E5-CB84F1488CC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564F858-8FEA-4640-8E10-46258B765E4D}"/>
  </w:font>
  <w:font w:name="方正黑体_GBK">
    <w:panose1 w:val="03000509000000000000"/>
    <w:charset w:val="86"/>
    <w:family w:val="script"/>
    <w:pitch w:val="default"/>
    <w:sig w:usb0="00000001" w:usb1="080E0000" w:usb2="00000000" w:usb3="00000000" w:csb0="00040000" w:csb1="00000000"/>
    <w:embedRegular r:id="rId6" w:fontKey="{E6C3AA38-4AD3-4DB5-BFC1-A1497F6342AC}"/>
  </w:font>
  <w:font w:name="方正小标宋_GBK">
    <w:panose1 w:val="03000509000000000000"/>
    <w:charset w:val="86"/>
    <w:family w:val="script"/>
    <w:pitch w:val="default"/>
    <w:sig w:usb0="00000001" w:usb1="080E0000" w:usb2="00000000" w:usb3="00000000" w:csb0="00040000" w:csb1="00000000"/>
    <w:embedRegular r:id="rId7" w:fontKey="{F359BE40-8880-4CBF-B9D9-C247FB3466F2}"/>
  </w:font>
  <w:font w:name="微软雅黑">
    <w:panose1 w:val="020B0503020204020204"/>
    <w:charset w:val="86"/>
    <w:family w:val="swiss"/>
    <w:pitch w:val="default"/>
    <w:sig w:usb0="80000287" w:usb1="2ACF3C50" w:usb2="00000016" w:usb3="00000000" w:csb0="0004001F" w:csb1="00000000"/>
    <w:embedRegular r:id="rId8" w:fontKey="{AA58F702-CD79-4139-8594-7E6926B4D687}"/>
  </w:font>
  <w:font w:name="仿宋">
    <w:panose1 w:val="02010609060101010101"/>
    <w:charset w:val="86"/>
    <w:family w:val="modern"/>
    <w:pitch w:val="default"/>
    <w:sig w:usb0="800002BF" w:usb1="38CF7CFA" w:usb2="00000016" w:usb3="00000000" w:csb0="00040001" w:csb1="00000000"/>
    <w:embedRegular r:id="rId9" w:fontKey="{26BD77FE-B7AC-48C4-8F75-101B949473DD}"/>
  </w:font>
  <w:font w:name="楷体">
    <w:panose1 w:val="02010609060101010101"/>
    <w:charset w:val="86"/>
    <w:family w:val="modern"/>
    <w:pitch w:val="default"/>
    <w:sig w:usb0="800002BF" w:usb1="38CF7CFA" w:usb2="00000016" w:usb3="00000000" w:csb0="00040001" w:csb1="00000000"/>
    <w:embedRegular r:id="rId10" w:fontKey="{193C9184-9797-4711-BDAE-4573CAEA7C16}"/>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6243</Words>
  <Characters>6835</Characters>
  <Lines>101</Lines>
  <Paragraphs>28</Paragraphs>
  <TotalTime>4</TotalTime>
  <ScaleCrop>false</ScaleCrop>
  <LinksUpToDate>false</LinksUpToDate>
  <CharactersWithSpaces>6940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2025-12-22T02:27:09Z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eyJoZGlkIjoiMzc1OGNlMDJlMzRlMzMzYmE1ZjU3MzU3ZjgyMjI5MWIiLCJ1c2VySWQiOiIyMjg3MzE2MzAifQ==</vt:lpwstr>
  </property>
</Properties>
</file>