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13868"/>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15376"/>
      <w:bookmarkStart w:id="9" w:name="_Toc5909"/>
      <w:bookmarkStart w:id="10" w:name="_Toc28264"/>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4A5E711C">
      <w:pPr>
        <w:widowControl/>
        <w:spacing w:line="400" w:lineRule="exact"/>
        <w:ind w:firstLine="480" w:firstLineChars="200"/>
        <w:rPr>
          <w:rFonts w:hint="eastAsia" w:ascii="Times New Roman" w:hAnsi="Times New Roman" w:cs="Times New Roman"/>
          <w:b/>
          <w:bCs/>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内窥镜、电切推进器等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一次性使用输尿管内窥镜导管及其配套设备</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0°内窥镜、软性活检钳等</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76373865"/>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内窥镜、电切推进器等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323E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E6249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187CC93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一次性使用输尿管内窥镜导管及其配套设备</w:t>
            </w:r>
          </w:p>
        </w:tc>
        <w:tc>
          <w:tcPr>
            <w:tcW w:w="1327" w:type="dxa"/>
            <w:noWrap w:val="0"/>
            <w:vAlign w:val="center"/>
          </w:tcPr>
          <w:p w14:paraId="07CFC04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5D1D9E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3CD16F6C">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r w14:paraId="7818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FC853A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277B02C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0°内窥镜、软性活检钳等</w:t>
            </w:r>
          </w:p>
        </w:tc>
        <w:tc>
          <w:tcPr>
            <w:tcW w:w="1327" w:type="dxa"/>
            <w:noWrap w:val="0"/>
            <w:vAlign w:val="center"/>
          </w:tcPr>
          <w:p w14:paraId="528127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18D9EDB9">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1-2</w:t>
            </w:r>
          </w:p>
        </w:tc>
        <w:tc>
          <w:tcPr>
            <w:tcW w:w="1594" w:type="dxa"/>
            <w:noWrap w:val="0"/>
            <w:vAlign w:val="center"/>
          </w:tcPr>
          <w:p w14:paraId="64FF13D2">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包二、包七期限三年，包五期限五年。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434"/>
      <w:bookmarkStart w:id="20" w:name="_Toc76373866"/>
      <w:bookmarkStart w:id="21" w:name="_Toc10137"/>
      <w:bookmarkStart w:id="22" w:name="_Toc26504"/>
      <w:bookmarkStart w:id="23" w:name="_Toc25496"/>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654"/>
      <w:bookmarkStart w:id="32" w:name="_Toc18799"/>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泌尿外科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泌尿外科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25272"/>
      <w:bookmarkStart w:id="45" w:name="_Toc14224"/>
      <w:bookmarkStart w:id="46" w:name="_Toc4033"/>
      <w:bookmarkStart w:id="47" w:name="_Toc971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76373874"/>
      <w:bookmarkStart w:id="53" w:name="_Toc3153"/>
      <w:bookmarkStart w:id="54" w:name="_Toc11474"/>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620"/>
      <w:bookmarkStart w:id="59" w:name="_Toc76373876"/>
      <w:bookmarkStart w:id="60" w:name="_Toc29225"/>
      <w:bookmarkStart w:id="61" w:name="_Toc6355"/>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44A4856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该产品与高频术设备配套使用（等离子电切系统，杭州得道，DD-400A），用于良性前列腺增生症的电切手术治疗也可与激光手术设备配套使用，用于良性前列腺增生症的激光汽化手术治疗，是解决尿道梗阻的重要手段。</w:t>
      </w:r>
    </w:p>
    <w:p w14:paraId="778F05F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4B2F484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内窥镜：镜体外径≤4.5毫米，视向角12°或30°，视场角：≥60°，光学镜的可清晰观察范围：3mm-50mm。金属零件全部采用医用不锈钢制造，物镜前保护片采用光洁、耐磨的蓝宝石材料，视场内装有三角形方向标</w:t>
      </w:r>
      <w:r>
        <w:rPr>
          <w:rFonts w:hint="eastAsia" w:cs="Times New Roman"/>
          <w:sz w:val="24"/>
          <w:szCs w:val="24"/>
          <w:lang w:val="en-US" w:eastAsia="zh-CN"/>
        </w:rPr>
        <w:t>；</w:t>
      </w:r>
    </w:p>
    <w:p w14:paraId="2DD03CE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电切推进器（手柄）：1把，被动式，电切器行程≥23mm</w:t>
      </w:r>
      <w:r>
        <w:rPr>
          <w:rFonts w:hint="eastAsia" w:cs="Times New Roman"/>
          <w:sz w:val="24"/>
          <w:szCs w:val="24"/>
          <w:lang w:val="en-US" w:eastAsia="zh-CN"/>
        </w:rPr>
        <w:t>；</w:t>
      </w:r>
    </w:p>
    <w:p w14:paraId="25029477">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内鞘：≤25Fr、可360°旋转</w:t>
      </w:r>
      <w:r>
        <w:rPr>
          <w:rFonts w:hint="eastAsia" w:cs="Times New Roman"/>
          <w:sz w:val="24"/>
          <w:szCs w:val="24"/>
          <w:lang w:val="en-US" w:eastAsia="zh-CN"/>
        </w:rPr>
        <w:t>；</w:t>
      </w:r>
    </w:p>
    <w:p w14:paraId="3C0CCFBD">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外鞘：≤27Fr，带进出水开关，通水阀和镜鞘锥体配合处，渗水≤6滴／min</w:t>
      </w:r>
      <w:r>
        <w:rPr>
          <w:rFonts w:hint="eastAsia" w:cs="Times New Roman"/>
          <w:sz w:val="24"/>
          <w:szCs w:val="24"/>
          <w:lang w:val="en-US" w:eastAsia="zh-CN"/>
        </w:rPr>
        <w:t>；</w:t>
      </w:r>
    </w:p>
    <w:p w14:paraId="66E5335F">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闭孔器</w:t>
      </w:r>
      <w:r>
        <w:rPr>
          <w:rFonts w:hint="eastAsia" w:cs="Times New Roman"/>
          <w:sz w:val="24"/>
          <w:szCs w:val="24"/>
          <w:lang w:val="en-US" w:eastAsia="zh-CN"/>
        </w:rPr>
        <w:t>；</w:t>
      </w:r>
    </w:p>
    <w:p w14:paraId="7382AB4E">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（6）</w:t>
      </w:r>
      <w:r>
        <w:rPr>
          <w:rFonts w:hint="eastAsia" w:ascii="Times New Roman" w:eastAsia="宋体" w:cs="Times New Roman"/>
          <w:sz w:val="24"/>
          <w:szCs w:val="24"/>
          <w:lang w:val="en-US" w:eastAsia="zh-CN"/>
        </w:rPr>
        <w:t>冲洗接头：进水和出水通道，可以持续循环灌流</w:t>
      </w:r>
      <w:r>
        <w:rPr>
          <w:rFonts w:hint="eastAsia" w:cs="Times New Roman"/>
          <w:sz w:val="24"/>
          <w:szCs w:val="24"/>
          <w:lang w:val="en-US" w:eastAsia="zh-CN"/>
        </w:rPr>
        <w:t>；</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（7）</w:t>
      </w:r>
      <w:r>
        <w:rPr>
          <w:rFonts w:hint="eastAsia" w:ascii="Times New Roman" w:eastAsia="宋体" w:cs="Times New Roman"/>
          <w:sz w:val="24"/>
          <w:szCs w:val="24"/>
          <w:lang w:val="en-US" w:eastAsia="zh-CN"/>
        </w:rPr>
        <w:t>内鞘接头：可配合内鞘用于单内鞘手术‌</w:t>
      </w:r>
      <w:r>
        <w:rPr>
          <w:rFonts w:hint="default" w:ascii="Times New Roman" w:hAnsi="Times New Roman" w:eastAsia="宋体" w:cs="Times New Roman"/>
          <w:i w:val="0"/>
          <w:kern w:val="2"/>
          <w:sz w:val="24"/>
          <w:szCs w:val="24"/>
          <w:lang w:val="en-US" w:eastAsia="zh-CN" w:bidi="ar-SA"/>
        </w:rPr>
        <w:t>。</w:t>
      </w:r>
    </w:p>
    <w:p w14:paraId="72325BBC">
      <w:pPr>
        <w:pStyle w:val="2"/>
        <w:rPr>
          <w:rFonts w:hint="default"/>
          <w:lang w:val="en-US" w:eastAsia="zh-CN"/>
        </w:rPr>
      </w:pPr>
    </w:p>
    <w:p w14:paraId="05D338CB">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3224955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1、用途：用于泌尿系统上尿路疾病检查、诊断或治疗中成像。</w:t>
      </w:r>
    </w:p>
    <w:p w14:paraId="7EC80CB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2763848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（1）</w:t>
      </w:r>
      <w:r>
        <w:rPr>
          <w:rFonts w:hint="default" w:ascii="Times New Roman" w:hAnsi="Times New Roman" w:eastAsia="宋体" w:cs="Times New Roman"/>
          <w:i w:val="0"/>
          <w:kern w:val="2"/>
          <w:sz w:val="24"/>
          <w:szCs w:val="24"/>
          <w:lang w:val="en-US" w:eastAsia="zh-CN" w:bidi="ar-SA"/>
        </w:rPr>
        <w:t>内窥镜≥16万像素，立体偏转角12.5°，景深：2mm-50mm，手柄与镜体同轴性为：1:1</w:t>
      </w:r>
      <w:r>
        <w:rPr>
          <w:rFonts w:hint="eastAsia" w:cs="Times New Roman"/>
          <w:i w:val="0"/>
          <w:kern w:val="2"/>
          <w:sz w:val="24"/>
          <w:szCs w:val="24"/>
          <w:lang w:val="en-US" w:eastAsia="zh-CN" w:bidi="ar-SA"/>
        </w:rPr>
        <w:t>；</w:t>
      </w:r>
    </w:p>
    <w:p w14:paraId="1F1E3DF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w:t>
      </w:r>
      <w:r>
        <w:rPr>
          <w:rFonts w:hint="default" w:ascii="Times New Roman" w:hAnsi="Times New Roman" w:eastAsia="宋体" w:cs="Times New Roman"/>
          <w:i w:val="0"/>
          <w:kern w:val="2"/>
          <w:sz w:val="24"/>
          <w:szCs w:val="24"/>
          <w:lang w:val="en-US" w:eastAsia="zh-CN" w:bidi="ar-SA"/>
        </w:rPr>
        <w:t>最小弯曲半径≤8mm，边缘均匀性uL≦25%</w:t>
      </w:r>
      <w:r>
        <w:rPr>
          <w:rFonts w:hint="eastAsia" w:cs="Times New Roman"/>
          <w:i w:val="0"/>
          <w:kern w:val="2"/>
          <w:sz w:val="24"/>
          <w:szCs w:val="24"/>
          <w:lang w:val="en-US" w:eastAsia="zh-CN" w:bidi="ar-SA"/>
        </w:rPr>
        <w:t>；</w:t>
      </w:r>
    </w:p>
    <w:p w14:paraId="65921B6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w:t>
      </w:r>
      <w:r>
        <w:rPr>
          <w:rFonts w:hint="default" w:ascii="Times New Roman" w:hAnsi="Times New Roman" w:eastAsia="宋体" w:cs="Times New Roman"/>
          <w:i w:val="0"/>
          <w:kern w:val="2"/>
          <w:sz w:val="24"/>
          <w:szCs w:val="24"/>
          <w:lang w:val="en-US" w:eastAsia="zh-CN" w:bidi="ar-SA"/>
        </w:rPr>
        <w:t>视场角：视场角110°±10°。视向角0°±10°，可控弯角：≧285°，器械通道孔径：≧1.2mm</w:t>
      </w:r>
      <w:r>
        <w:rPr>
          <w:rFonts w:hint="eastAsia" w:cs="Times New Roman"/>
          <w:i w:val="0"/>
          <w:kern w:val="2"/>
          <w:sz w:val="24"/>
          <w:szCs w:val="24"/>
          <w:lang w:val="en-US" w:eastAsia="zh-CN" w:bidi="ar-SA"/>
        </w:rPr>
        <w:t>；</w:t>
      </w:r>
    </w:p>
    <w:p w14:paraId="636683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（4）</w:t>
      </w:r>
      <w:r>
        <w:rPr>
          <w:rFonts w:hint="default" w:ascii="Times New Roman" w:hAnsi="Times New Roman" w:eastAsia="宋体" w:cs="Times New Roman"/>
          <w:i w:val="0"/>
          <w:kern w:val="2"/>
          <w:sz w:val="24"/>
          <w:szCs w:val="24"/>
          <w:lang w:val="en-US" w:eastAsia="zh-CN" w:bidi="ar-SA"/>
        </w:rPr>
        <w:t>器械通道：器械通道为直通道，与注水通道有开关涉及，杜绝器械在通道内转弯、无需使用单独封水帽</w:t>
      </w:r>
      <w:r>
        <w:rPr>
          <w:rFonts w:hint="eastAsia" w:cs="Times New Roman"/>
          <w:i w:val="0"/>
          <w:kern w:val="2"/>
          <w:sz w:val="24"/>
          <w:szCs w:val="24"/>
          <w:lang w:val="en-US" w:eastAsia="zh-CN" w:bidi="ar-SA"/>
        </w:rPr>
        <w:t>；</w:t>
      </w:r>
    </w:p>
    <w:p w14:paraId="442FC30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（5）</w:t>
      </w:r>
      <w:r>
        <w:rPr>
          <w:rFonts w:hint="default" w:ascii="Times New Roman" w:hAnsi="Times New Roman" w:eastAsia="宋体" w:cs="Times New Roman"/>
          <w:i w:val="0"/>
          <w:kern w:val="2"/>
          <w:sz w:val="24"/>
          <w:szCs w:val="24"/>
          <w:lang w:val="en-US" w:eastAsia="zh-CN" w:bidi="ar-SA"/>
        </w:rPr>
        <w:t>手柄视频信号线≧2.9米，插入管外径≦7.5FR</w:t>
      </w:r>
      <w:r>
        <w:rPr>
          <w:rFonts w:hint="eastAsia" w:cs="Times New Roman"/>
          <w:i w:val="0"/>
          <w:kern w:val="2"/>
          <w:sz w:val="24"/>
          <w:szCs w:val="24"/>
          <w:lang w:val="en-US" w:eastAsia="zh-CN" w:bidi="ar-SA"/>
        </w:rPr>
        <w:t>；</w:t>
      </w:r>
    </w:p>
    <w:p w14:paraId="36DE4B0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（6）</w:t>
      </w:r>
      <w:r>
        <w:rPr>
          <w:rFonts w:hint="default" w:ascii="Times New Roman" w:hAnsi="Times New Roman" w:eastAsia="宋体" w:cs="Times New Roman"/>
          <w:i w:val="0"/>
          <w:kern w:val="2"/>
          <w:sz w:val="24"/>
          <w:szCs w:val="24"/>
          <w:lang w:val="en-US" w:eastAsia="zh-CN" w:bidi="ar-SA"/>
        </w:rPr>
        <w:t>插入部长度包含但不限于670mm、660mm、650mm、540mm、380mm</w:t>
      </w:r>
      <w:r>
        <w:rPr>
          <w:rFonts w:hint="eastAsia" w:cs="Times New Roman"/>
          <w:i w:val="0"/>
          <w:kern w:val="2"/>
          <w:sz w:val="24"/>
          <w:szCs w:val="24"/>
          <w:lang w:val="en-US" w:eastAsia="zh-CN" w:bidi="ar-SA"/>
        </w:rPr>
        <w:t>；</w:t>
      </w:r>
    </w:p>
    <w:p w14:paraId="400637F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（7）</w:t>
      </w:r>
      <w:r>
        <w:rPr>
          <w:rFonts w:hint="default" w:ascii="Times New Roman" w:hAnsi="Times New Roman" w:eastAsia="宋体" w:cs="Times New Roman"/>
          <w:i w:val="0"/>
          <w:kern w:val="2"/>
          <w:sz w:val="24"/>
          <w:szCs w:val="24"/>
          <w:lang w:val="en-US" w:eastAsia="zh-CN" w:bidi="ar-SA"/>
        </w:rPr>
        <w:t>搭载钬激光光纤及套石篮偏转角度带有自锁功能</w:t>
      </w:r>
      <w:r>
        <w:rPr>
          <w:rFonts w:hint="eastAsia" w:cs="Times New Roman"/>
          <w:i w:val="0"/>
          <w:kern w:val="2"/>
          <w:sz w:val="24"/>
          <w:szCs w:val="24"/>
          <w:lang w:val="en-US" w:eastAsia="zh-CN" w:bidi="ar-SA"/>
        </w:rPr>
        <w:t>；</w:t>
      </w:r>
    </w:p>
    <w:p w14:paraId="79A170F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（8）</w:t>
      </w:r>
      <w:r>
        <w:rPr>
          <w:rFonts w:hint="default" w:ascii="Times New Roman" w:hAnsi="Times New Roman" w:eastAsia="宋体" w:cs="Times New Roman"/>
          <w:i w:val="0"/>
          <w:kern w:val="2"/>
          <w:sz w:val="24"/>
          <w:szCs w:val="24"/>
          <w:lang w:val="en-US" w:eastAsia="zh-CN" w:bidi="ar-SA"/>
        </w:rPr>
        <w:t>手柄自带快捷按键功能，可快速进行拍照/录像/冻结画面/缩放画面/白平衡</w:t>
      </w:r>
      <w:r>
        <w:rPr>
          <w:rFonts w:hint="eastAsia" w:cs="Times New Roman"/>
          <w:i w:val="0"/>
          <w:kern w:val="2"/>
          <w:sz w:val="24"/>
          <w:szCs w:val="24"/>
          <w:lang w:val="en-US" w:eastAsia="zh-CN" w:bidi="ar-SA"/>
        </w:rPr>
        <w:t>；</w:t>
      </w:r>
    </w:p>
    <w:p w14:paraId="7FAC104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（9）</w:t>
      </w:r>
      <w:r>
        <w:rPr>
          <w:rFonts w:hint="default" w:ascii="Times New Roman" w:hAnsi="Times New Roman" w:eastAsia="宋体" w:cs="Times New Roman"/>
          <w:i w:val="0"/>
          <w:kern w:val="2"/>
          <w:sz w:val="24"/>
          <w:szCs w:val="24"/>
          <w:lang w:val="en-US" w:eastAsia="zh-CN" w:bidi="ar-SA"/>
        </w:rPr>
        <w:t>先端材质为高分子材料，不会因金属切割造成组织损伤</w:t>
      </w:r>
      <w:r>
        <w:rPr>
          <w:rFonts w:hint="eastAsia" w:cs="Times New Roman"/>
          <w:i w:val="0"/>
          <w:kern w:val="2"/>
          <w:sz w:val="24"/>
          <w:szCs w:val="24"/>
          <w:lang w:val="en-US" w:eastAsia="zh-CN" w:bidi="ar-SA"/>
        </w:rPr>
        <w:t>。</w:t>
      </w:r>
    </w:p>
    <w:p w14:paraId="6271532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3、耗材组成或成分：产品由头端部（含内置LED光源）、弯曲部、插入部、操作部和电气连接部组成。</w:t>
      </w:r>
    </w:p>
    <w:p w14:paraId="69D6307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w:t>
      </w:r>
      <w:r>
        <w:rPr>
          <w:rFonts w:hint="default" w:ascii="Times New Roman" w:hAnsi="Times New Roman" w:eastAsia="宋体" w:cs="Times New Roman"/>
          <w:i w:val="0"/>
          <w:kern w:val="2"/>
          <w:sz w:val="24"/>
          <w:szCs w:val="24"/>
          <w:lang w:val="en-US" w:eastAsia="zh-CN" w:bidi="ar-SA"/>
        </w:rPr>
        <w:t>、配套设备4台</w:t>
      </w:r>
      <w:r>
        <w:rPr>
          <w:rFonts w:hint="eastAsia" w:cs="Times New Roman"/>
          <w:i w:val="0"/>
          <w:kern w:val="2"/>
          <w:sz w:val="24"/>
          <w:szCs w:val="24"/>
          <w:lang w:val="en-US" w:eastAsia="zh-CN" w:bidi="ar-SA"/>
        </w:rPr>
        <w:t>。</w:t>
      </w:r>
    </w:p>
    <w:p w14:paraId="0B84E918">
      <w:pPr>
        <w:spacing w:line="320" w:lineRule="exact"/>
        <w:ind w:left="478" w:leftChars="85" w:hanging="240" w:hangingChars="100"/>
        <w:rPr>
          <w:rFonts w:hint="eastAsia" w:cs="Times New Roman"/>
          <w:i w:val="0"/>
          <w:kern w:val="2"/>
          <w:sz w:val="24"/>
          <w:szCs w:val="24"/>
          <w:lang w:val="en-US" w:eastAsia="zh-CN" w:bidi="ar-SA"/>
        </w:rPr>
      </w:pPr>
    </w:p>
    <w:p w14:paraId="4EB7AFF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输尿管成像主机系统：</w:t>
      </w:r>
    </w:p>
    <w:p w14:paraId="7AFC7A4F">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1、电源要求：电压220V，频率50/60Hz、功率14VA；</w:t>
      </w:r>
    </w:p>
    <w:p w14:paraId="54567A8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2、亮度：手动多级调节亮度；</w:t>
      </w:r>
    </w:p>
    <w:p w14:paraId="554210A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3、白平衡：自动白平衡；</w:t>
      </w:r>
    </w:p>
    <w:p w14:paraId="626EC3E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4、功能：含图像冻结功能、图像放大功能、拍照功能、录像功能、菜单功能；</w:t>
      </w:r>
    </w:p>
    <w:p w14:paraId="0788B5F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5、输出视频最大分辨率应不小于1920*1080；</w:t>
      </w:r>
    </w:p>
    <w:p w14:paraId="6887A52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6、图像输出图像输出支持数字信号输出和模拟信号输出，包括SDI、DVI、HDMI；</w:t>
      </w:r>
    </w:p>
    <w:p w14:paraId="61012C3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7、按防电击的程度分类：BF型应用部分；</w:t>
      </w:r>
    </w:p>
    <w:p w14:paraId="70B7B6E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8、按对进液的防护程度分类：IPX0；</w:t>
      </w:r>
    </w:p>
    <w:p w14:paraId="161D34D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9、图像调节：亮度、饱和度0-100级可调。</w:t>
      </w:r>
    </w:p>
    <w:p w14:paraId="6819E9AB">
      <w:pPr>
        <w:spacing w:line="320" w:lineRule="exact"/>
        <w:ind w:left="478" w:leftChars="85" w:hanging="240" w:hangingChars="100"/>
        <w:rPr>
          <w:rFonts w:hint="eastAsia" w:cs="Times New Roman"/>
          <w:i w:val="0"/>
          <w:kern w:val="2"/>
          <w:sz w:val="24"/>
          <w:szCs w:val="24"/>
          <w:lang w:val="en-US" w:eastAsia="zh-CN" w:bidi="ar-SA"/>
        </w:rPr>
      </w:pPr>
    </w:p>
    <w:p w14:paraId="32F231C6">
      <w:pPr>
        <w:spacing w:line="320" w:lineRule="exact"/>
        <w:ind w:left="479" w:leftChars="85" w:hanging="241" w:hangingChars="100"/>
        <w:rPr>
          <w:rFonts w:hint="eastAsia" w:cs="Times New Roman"/>
          <w:i w:val="0"/>
          <w:kern w:val="2"/>
          <w:sz w:val="24"/>
          <w:szCs w:val="24"/>
          <w:lang w:val="en-US" w:eastAsia="zh-CN" w:bidi="ar-SA"/>
        </w:rPr>
      </w:pPr>
      <w:bookmarkStart w:id="197" w:name="_GoBack"/>
      <w:bookmarkEnd w:id="197"/>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4B30BB1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内窥镜</w:t>
      </w:r>
    </w:p>
    <w:p w14:paraId="62829B4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1、功能及结构</w:t>
      </w:r>
    </w:p>
    <w:p w14:paraId="2538423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（1）不锈钢水阀；</w:t>
      </w:r>
    </w:p>
    <w:p w14:paraId="17E35B9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（2）操作器手轮配有拨板起落指示标。</w:t>
      </w:r>
    </w:p>
    <w:p w14:paraId="3759BC0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2、光学参数</w:t>
      </w:r>
    </w:p>
    <w:p w14:paraId="62255D5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（1）镜体外径：Ø4mm；</w:t>
      </w:r>
    </w:p>
    <w:p w14:paraId="06C33CD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（2）镜体工作长度≥302mm；</w:t>
      </w:r>
    </w:p>
    <w:p w14:paraId="2FB80C3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（3）视向角：0°、30°、70°；</w:t>
      </w:r>
    </w:p>
    <w:p w14:paraId="27FF26F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（4）插入鞘套规格:≧4种，包含但不限于：15.5Fr、19.8Fr、21Fr、22.5Fr；</w:t>
      </w:r>
    </w:p>
    <w:p w14:paraId="4BF4CB8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（5）视场中心角分辨力≥2.4 C/（°）；</w:t>
      </w:r>
    </w:p>
    <w:p w14:paraId="23C28AC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（6）有效景深≥5-100mm；</w:t>
      </w:r>
    </w:p>
    <w:p w14:paraId="4309C98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（7）单位相对畸变VU-z≤10%。</w:t>
      </w:r>
    </w:p>
    <w:p w14:paraId="2B7F025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软性活检钳</w:t>
      </w:r>
    </w:p>
    <w:p w14:paraId="5C2ACA3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1、手术器械规格包含但不限于：7Fr×370mm；</w:t>
      </w:r>
    </w:p>
    <w:p w14:paraId="18D8F87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2、医用级不锈钢材质。</w:t>
      </w:r>
    </w:p>
    <w:p w14:paraId="4F219D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17944"/>
      <w:bookmarkStart w:id="68" w:name="_Toc31843"/>
      <w:bookmarkStart w:id="69" w:name="_Toc24122"/>
      <w:bookmarkStart w:id="70" w:name="_Toc17524"/>
      <w:bookmarkStart w:id="71" w:name="_Toc1768"/>
      <w:bookmarkStart w:id="72" w:name="_Toc2072"/>
      <w:bookmarkStart w:id="73" w:name="_Toc4791"/>
      <w:bookmarkStart w:id="74" w:name="_Toc15650"/>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5959"/>
      <w:bookmarkStart w:id="79" w:name="_Toc30551"/>
      <w:bookmarkStart w:id="80" w:name="_Toc29836"/>
      <w:bookmarkStart w:id="81" w:name="_Toc22561"/>
      <w:bookmarkStart w:id="82" w:name="_Toc9339"/>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12384"/>
      <w:bookmarkStart w:id="88" w:name="_Toc27737"/>
      <w:bookmarkStart w:id="89" w:name="_Toc76373885"/>
      <w:bookmarkStart w:id="90" w:name="_Toc2258"/>
      <w:bookmarkStart w:id="91" w:name="_Toc27893"/>
      <w:bookmarkStart w:id="92" w:name="_Toc2026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6373886"/>
      <w:bookmarkStart w:id="95" w:name="_Toc28189"/>
      <w:bookmarkStart w:id="96" w:name="_Toc11052"/>
      <w:bookmarkStart w:id="97" w:name="_Toc7115"/>
      <w:bookmarkStart w:id="98" w:name="_Toc12712"/>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76373887"/>
      <w:bookmarkStart w:id="103" w:name="_Toc19809"/>
      <w:bookmarkStart w:id="104" w:name="_Toc26754"/>
      <w:bookmarkStart w:id="105" w:name="_Toc9147"/>
      <w:bookmarkStart w:id="106" w:name="_Toc31293"/>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5251"/>
      <w:bookmarkStart w:id="110" w:name="_Toc30068"/>
      <w:bookmarkStart w:id="111" w:name="_Toc16925"/>
      <w:bookmarkStart w:id="112" w:name="_Toc76373889"/>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654"/>
      <w:bookmarkStart w:id="118" w:name="_Toc76373890"/>
      <w:bookmarkStart w:id="119" w:name="_Toc20034"/>
      <w:bookmarkStart w:id="120" w:name="_Toc11342"/>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7646"/>
      <w:bookmarkStart w:id="125" w:name="_Toc25199"/>
      <w:bookmarkStart w:id="126" w:name="_Toc10864"/>
      <w:bookmarkStart w:id="127" w:name="_Toc763738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10152"/>
      <w:bookmarkStart w:id="137" w:name="_Toc24088"/>
      <w:bookmarkStart w:id="138" w:name="_Toc76373904"/>
      <w:bookmarkStart w:id="139" w:name="_Toc2975"/>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7750"/>
      <w:bookmarkStart w:id="143" w:name="_Toc12863"/>
      <w:bookmarkStart w:id="144" w:name="_Toc11763"/>
      <w:bookmarkStart w:id="145" w:name="_Toc25920"/>
      <w:bookmarkStart w:id="146" w:name="_Toc11892"/>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27306"/>
      <w:bookmarkStart w:id="172" w:name="_Toc76373909"/>
      <w:bookmarkStart w:id="173" w:name="_Toc9795"/>
      <w:bookmarkStart w:id="174" w:name="_Toc49317879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411"/>
      <w:bookmarkStart w:id="180" w:name="_Toc20875"/>
      <w:bookmarkStart w:id="181" w:name="_Toc16487"/>
      <w:bookmarkStart w:id="182" w:name="_Toc493178791"/>
      <w:bookmarkStart w:id="183" w:name="_Toc12647"/>
      <w:bookmarkStart w:id="184" w:name="_Toc20258"/>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16151"/>
      <w:bookmarkStart w:id="189" w:name="_Toc493178793"/>
      <w:bookmarkStart w:id="190" w:name="_Toc76373912"/>
      <w:bookmarkStart w:id="191" w:name="_Toc492721038"/>
      <w:bookmarkStart w:id="192" w:name="_Toc4250"/>
      <w:bookmarkStart w:id="193" w:name="_Toc20605"/>
      <w:bookmarkStart w:id="194" w:name="_Toc8925"/>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400FC84">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9C9AB6-51A4-415E-A99C-909B8A6B3311}"/>
  </w:font>
  <w:font w:name="黑体">
    <w:panose1 w:val="02010609060101010101"/>
    <w:charset w:val="86"/>
    <w:family w:val="auto"/>
    <w:pitch w:val="default"/>
    <w:sig w:usb0="800002BF" w:usb1="38CF7CFA" w:usb2="00000016" w:usb3="00000000" w:csb0="00040001" w:csb1="00000000"/>
    <w:embedRegular r:id="rId2" w:fontKey="{FDFF4851-ADFA-4B9D-8913-C3B490F62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9EDBFE1-C058-42E4-B618-C8DB6ED834C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380E5541-0A34-439E-8087-843D14FC010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4C697B37-6139-4C96-8E63-89455904E4B2}"/>
  </w:font>
  <w:font w:name="方正黑体_GBK">
    <w:panose1 w:val="03000509000000000000"/>
    <w:charset w:val="86"/>
    <w:family w:val="script"/>
    <w:pitch w:val="default"/>
    <w:sig w:usb0="00000001" w:usb1="080E0000" w:usb2="00000000" w:usb3="00000000" w:csb0="00040000" w:csb1="00000000"/>
    <w:embedRegular r:id="rId6" w:fontKey="{35FFD6E1-E728-427E-BB84-59574D024460}"/>
  </w:font>
  <w:font w:name="方正小标宋_GBK">
    <w:panose1 w:val="03000509000000000000"/>
    <w:charset w:val="86"/>
    <w:family w:val="script"/>
    <w:pitch w:val="default"/>
    <w:sig w:usb0="00000001" w:usb1="080E0000" w:usb2="00000000" w:usb3="00000000" w:csb0="00040000" w:csb1="00000000"/>
    <w:embedRegular r:id="rId7" w:fontKey="{F699FF3C-31F2-4EE6-BACA-73AD7D26DDBE}"/>
  </w:font>
  <w:font w:name="微软雅黑">
    <w:panose1 w:val="020B0503020204020204"/>
    <w:charset w:val="86"/>
    <w:family w:val="swiss"/>
    <w:pitch w:val="default"/>
    <w:sig w:usb0="80000287" w:usb1="2ACF3C50" w:usb2="00000016" w:usb3="00000000" w:csb0="0004001F" w:csb1="00000000"/>
    <w:embedRegular r:id="rId8" w:fontKey="{143A6355-E139-42A9-8B0F-B47DE33313C7}"/>
  </w:font>
  <w:font w:name="仿宋">
    <w:panose1 w:val="02010609060101010101"/>
    <w:charset w:val="86"/>
    <w:family w:val="modern"/>
    <w:pitch w:val="default"/>
    <w:sig w:usb0="800002BF" w:usb1="38CF7CFA" w:usb2="00000016" w:usb3="00000000" w:csb0="00040001" w:csb1="00000000"/>
    <w:embedRegular r:id="rId9" w:fontKey="{5481D75A-12B1-41CB-91D0-6736479FD921}"/>
  </w:font>
  <w:font w:name="楷体">
    <w:panose1 w:val="02010609060101010101"/>
    <w:charset w:val="86"/>
    <w:family w:val="modern"/>
    <w:pitch w:val="default"/>
    <w:sig w:usb0="800002BF" w:usb1="38CF7CFA" w:usb2="00000016" w:usb3="00000000" w:csb0="00040001" w:csb1="00000000"/>
    <w:embedRegular r:id="rId10" w:fontKey="{7A815363-2CE9-41F5-B6A3-ED894E3B1FBE}"/>
  </w:font>
  <w:font w:name="WPSEMBED9">
    <w:panose1 w:val="03000509000000000000"/>
    <w:charset w:val="86"/>
    <w:family w:val="auto"/>
    <w:pitch w:val="default"/>
    <w:sig w:usb0="00000001" w:usb1="080E0000" w:usb2="00000000" w:usb3="00000000" w:csb0="00040000" w:csb1="00000000"/>
  </w:font>
  <w:font w:name="WPSEMBED1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5A6C77"/>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5F58C6"/>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31E49"/>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11123"/>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975381"/>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AEA151B"/>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4539</Words>
  <Characters>4817</Characters>
  <Lines>101</Lines>
  <Paragraphs>28</Paragraphs>
  <TotalTime>16</TotalTime>
  <ScaleCrop>false</ScaleCrop>
  <LinksUpToDate>false</LinksUpToDate>
  <CharactersWithSpaces>4909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2025-12-26T04:44:43Z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