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31066"/>
      <w:bookmarkStart w:id="1" w:name="_Toc76373863"/>
      <w:bookmarkStart w:id="2" w:name="_Toc13868"/>
      <w:bookmarkStart w:id="3" w:name="_Toc1304"/>
      <w:bookmarkStart w:id="4" w:name="_Toc10059"/>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76373864"/>
      <w:bookmarkStart w:id="8" w:name="_Toc28264"/>
      <w:bookmarkStart w:id="9" w:name="_Toc15376"/>
      <w:bookmarkStart w:id="10" w:name="_Toc22435"/>
      <w:bookmarkStart w:id="11" w:name="_Toc5909"/>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058F30F2">
      <w:pPr>
        <w:widowControl/>
        <w:spacing w:line="400" w:lineRule="exact"/>
        <w:ind w:firstLine="480" w:firstLineChars="200"/>
        <w:rPr>
          <w:rFonts w:hint="eastAsia" w:cs="Times New Roman"/>
          <w:color w:val="000000"/>
          <w:sz w:val="24"/>
          <w:szCs w:val="24"/>
          <w:lang w:val="en-US"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一次性牵开固定器</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可吸收外周神经套接管</w:t>
      </w:r>
      <w:r>
        <w:rPr>
          <w:rFonts w:hint="eastAsia" w:cs="Times New Roman"/>
          <w:color w:val="000000"/>
          <w:sz w:val="24"/>
          <w:szCs w:val="24"/>
          <w:lang w:val="en-US" w:eastAsia="zh-CN"/>
        </w:rPr>
        <w:t>；中间导引导管、输送导管系统等；颅内血栓抽吸导管；颅内取栓支架</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76373865"/>
            <w:bookmarkStart w:id="15" w:name="_Toc18060"/>
            <w:bookmarkStart w:id="16" w:name="_Toc22129"/>
            <w:bookmarkStart w:id="17" w:name="_Toc5838"/>
            <w:bookmarkStart w:id="18" w:name="_Toc22707"/>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091C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2EC66A83">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包三</w:t>
            </w:r>
          </w:p>
        </w:tc>
        <w:tc>
          <w:tcPr>
            <w:tcW w:w="2456" w:type="dxa"/>
            <w:shd w:val="clear" w:color="auto" w:fill="auto"/>
            <w:noWrap w:val="0"/>
            <w:vAlign w:val="center"/>
          </w:tcPr>
          <w:p w14:paraId="6988E8A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Times New Roman" w:hAnsi="Times New Roman" w:cs="Times New Roman"/>
                <w:color w:val="000000"/>
                <w:sz w:val="24"/>
                <w:szCs w:val="24"/>
                <w:lang w:val="en-US" w:eastAsia="zh-CN"/>
              </w:rPr>
              <w:t>一次性牵开固定器</w:t>
            </w:r>
          </w:p>
        </w:tc>
        <w:tc>
          <w:tcPr>
            <w:tcW w:w="1327" w:type="dxa"/>
            <w:noWrap w:val="0"/>
            <w:vAlign w:val="center"/>
          </w:tcPr>
          <w:p w14:paraId="01D4D236">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0FCFBBF5">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2</w:t>
            </w:r>
          </w:p>
        </w:tc>
        <w:tc>
          <w:tcPr>
            <w:tcW w:w="1594" w:type="dxa"/>
            <w:noWrap w:val="0"/>
            <w:vAlign w:val="center"/>
          </w:tcPr>
          <w:p w14:paraId="515F2D91">
            <w:pPr>
              <w:widowControl/>
              <w:spacing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神经外科</w:t>
            </w:r>
          </w:p>
        </w:tc>
      </w:tr>
      <w:tr w14:paraId="0677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1CBB6575">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包四</w:t>
            </w:r>
          </w:p>
        </w:tc>
        <w:tc>
          <w:tcPr>
            <w:tcW w:w="2456" w:type="dxa"/>
            <w:noWrap w:val="0"/>
            <w:vAlign w:val="center"/>
          </w:tcPr>
          <w:p w14:paraId="72A5C6D0">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可吸收外周神经套接管</w:t>
            </w:r>
          </w:p>
        </w:tc>
        <w:tc>
          <w:tcPr>
            <w:tcW w:w="1327" w:type="dxa"/>
            <w:noWrap w:val="0"/>
            <w:vAlign w:val="center"/>
          </w:tcPr>
          <w:p w14:paraId="74D8B6A2">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7FBFF5F3">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1进口/1国产</w:t>
            </w:r>
          </w:p>
        </w:tc>
        <w:tc>
          <w:tcPr>
            <w:tcW w:w="1594" w:type="dxa"/>
            <w:noWrap w:val="0"/>
            <w:vAlign w:val="center"/>
          </w:tcPr>
          <w:p w14:paraId="1D1C178F">
            <w:pPr>
              <w:widowControl/>
              <w:spacing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神经外科</w:t>
            </w:r>
          </w:p>
        </w:tc>
      </w:tr>
      <w:tr w14:paraId="468F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2D71BD63">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包九</w:t>
            </w:r>
          </w:p>
        </w:tc>
        <w:tc>
          <w:tcPr>
            <w:tcW w:w="2456" w:type="dxa"/>
            <w:noWrap w:val="0"/>
            <w:vAlign w:val="center"/>
          </w:tcPr>
          <w:p w14:paraId="1E17240F">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中间导引导管、输送导管系统等</w:t>
            </w:r>
          </w:p>
        </w:tc>
        <w:tc>
          <w:tcPr>
            <w:tcW w:w="1327" w:type="dxa"/>
            <w:noWrap w:val="0"/>
            <w:vAlign w:val="center"/>
          </w:tcPr>
          <w:p w14:paraId="29BA3D29">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3CF14374">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4</w:t>
            </w:r>
          </w:p>
        </w:tc>
        <w:tc>
          <w:tcPr>
            <w:tcW w:w="1594" w:type="dxa"/>
            <w:noWrap w:val="0"/>
            <w:vAlign w:val="center"/>
          </w:tcPr>
          <w:p w14:paraId="0CD82B69">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神经外科</w:t>
            </w:r>
          </w:p>
        </w:tc>
      </w:tr>
      <w:tr w14:paraId="2159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0B8644BF">
            <w:pPr>
              <w:widowControl/>
              <w:spacing w:line="400" w:lineRule="exact"/>
              <w:jc w:val="center"/>
              <w:rPr>
                <w:rFonts w:hint="default"/>
                <w:lang w:val="en-US" w:eastAsia="zh-CN"/>
              </w:rPr>
            </w:pPr>
            <w:r>
              <w:rPr>
                <w:rFonts w:hint="eastAsia" w:cs="Times New Roman"/>
                <w:color w:val="000000"/>
                <w:sz w:val="24"/>
                <w:szCs w:val="24"/>
                <w:lang w:val="en-US" w:eastAsia="zh-CN"/>
              </w:rPr>
              <w:t>包十</w:t>
            </w:r>
          </w:p>
        </w:tc>
        <w:tc>
          <w:tcPr>
            <w:tcW w:w="2456" w:type="dxa"/>
            <w:noWrap w:val="0"/>
            <w:vAlign w:val="center"/>
          </w:tcPr>
          <w:p w14:paraId="1DCF8903">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颅内血栓抽吸导管</w:t>
            </w:r>
          </w:p>
        </w:tc>
        <w:tc>
          <w:tcPr>
            <w:tcW w:w="1327" w:type="dxa"/>
            <w:noWrap w:val="0"/>
            <w:vAlign w:val="center"/>
          </w:tcPr>
          <w:p w14:paraId="7535F2E7">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3EDFDD10">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4</w:t>
            </w:r>
          </w:p>
        </w:tc>
        <w:tc>
          <w:tcPr>
            <w:tcW w:w="1594" w:type="dxa"/>
            <w:noWrap w:val="0"/>
            <w:vAlign w:val="center"/>
          </w:tcPr>
          <w:p w14:paraId="502FF034">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神经外科、神经内科</w:t>
            </w:r>
          </w:p>
        </w:tc>
      </w:tr>
      <w:tr w14:paraId="7DC2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5C1CAE13">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包十一</w:t>
            </w:r>
          </w:p>
        </w:tc>
        <w:tc>
          <w:tcPr>
            <w:tcW w:w="2456" w:type="dxa"/>
            <w:noWrap w:val="0"/>
            <w:vAlign w:val="center"/>
          </w:tcPr>
          <w:p w14:paraId="5E85A661">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颅内取栓支架</w:t>
            </w:r>
          </w:p>
        </w:tc>
        <w:tc>
          <w:tcPr>
            <w:tcW w:w="1327" w:type="dxa"/>
            <w:noWrap w:val="0"/>
            <w:vAlign w:val="center"/>
          </w:tcPr>
          <w:p w14:paraId="0BC24290">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71660BA5">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4</w:t>
            </w:r>
          </w:p>
        </w:tc>
        <w:tc>
          <w:tcPr>
            <w:tcW w:w="1594" w:type="dxa"/>
            <w:noWrap w:val="0"/>
            <w:vAlign w:val="center"/>
          </w:tcPr>
          <w:p w14:paraId="47E8ADAB">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神经外科、神经内科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25496"/>
      <w:bookmarkStart w:id="20" w:name="_Toc3434"/>
      <w:bookmarkStart w:id="21" w:name="_Toc26504"/>
      <w:bookmarkStart w:id="22" w:name="_Toc30358"/>
      <w:bookmarkStart w:id="23" w:name="_Toc10137"/>
      <w:bookmarkStart w:id="24" w:name="_Toc7637386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18799"/>
      <w:bookmarkStart w:id="31" w:name="_Toc28099"/>
      <w:bookmarkStart w:id="32" w:name="_Toc654"/>
      <w:bookmarkStart w:id="33" w:name="_Toc7527"/>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神经外科包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神经外科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神经外科</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神经外科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9714"/>
      <w:bookmarkStart w:id="44" w:name="_Toc76373872"/>
      <w:bookmarkStart w:id="45" w:name="_Toc14224"/>
      <w:bookmarkStart w:id="46" w:name="_Toc25272"/>
      <w:bookmarkStart w:id="47" w:name="_Toc4033"/>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2599"/>
      <w:bookmarkStart w:id="52" w:name="_Toc13391"/>
      <w:bookmarkStart w:id="53" w:name="_Toc11474"/>
      <w:bookmarkStart w:id="54" w:name="_Toc3153"/>
      <w:bookmarkStart w:id="55" w:name="_Toc76373874"/>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62595C98">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bookmarkStart w:id="58" w:name="_Toc29225"/>
      <w:bookmarkStart w:id="59" w:name="_Toc6355"/>
      <w:bookmarkStart w:id="60" w:name="_Toc29620"/>
      <w:bookmarkStart w:id="61" w:name="_Toc76373876"/>
      <w:bookmarkStart w:id="62" w:name="_Toc30465"/>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0E481CA4">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1、用途（功能需求）：适用于开颅、内镜手术，为手术区域尤其是深部病变提供最小化局部压力，最小化神经和组织损伤的通道。</w:t>
      </w:r>
    </w:p>
    <w:p w14:paraId="0D5D5435">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2、技术参数（性状、材质、物理尺寸等，物理尺寸是范围）：</w:t>
      </w:r>
    </w:p>
    <w:p w14:paraId="7C1F5349">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（1）透明材质，确保可以观察通道壁损伤情况；圆或椭圆锥形的器型设计，从设计上减小损伤神经组织；</w:t>
      </w:r>
    </w:p>
    <w:p w14:paraId="13A1C0A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（2）兼容于大多数外科机械臂，使其能稳定介入，从而避免了手术中的意外移动；</w:t>
      </w:r>
    </w:p>
    <w:p w14:paraId="07D42945">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（3）兼容于神经外科引导系统：产品作为定位器和工作通道的设计功能，使它能兼容于多种品牌的引导设备；</w:t>
      </w:r>
    </w:p>
    <w:p w14:paraId="24E74D1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（4）自锁式引导器和牵开器产品通过一个弹簧锁将两部分连接起来，可便捷解锁；</w:t>
      </w:r>
    </w:p>
    <w:p w14:paraId="07D10887">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（5）确保牵开器尖端、外部、内部光滑，减少损伤概率；</w:t>
      </w:r>
    </w:p>
    <w:p w14:paraId="2A9C05B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（6）牵开固定装置(公差：±2mm) ；长度：50-100mm；宽（内径）：12-30；高（内径）：9-20；壁厚≤1mm</w:t>
      </w:r>
      <w:r>
        <w:rPr>
          <w:rFonts w:hint="eastAsia" w:cs="Times New Roman"/>
          <w:i w:val="0"/>
          <w:kern w:val="2"/>
          <w:sz w:val="24"/>
          <w:szCs w:val="24"/>
          <w:lang w:val="en-US" w:eastAsia="zh-CN" w:bidi="ar-SA"/>
        </w:rPr>
        <w:t>；</w:t>
      </w:r>
    </w:p>
    <w:p w14:paraId="57DDF484">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（7）原厂灭菌包装，以便产品溯源的管理和质量管控</w:t>
      </w:r>
      <w:r>
        <w:rPr>
          <w:rFonts w:hint="eastAsia" w:cs="Times New Roman"/>
          <w:i w:val="0"/>
          <w:kern w:val="2"/>
          <w:sz w:val="24"/>
          <w:szCs w:val="24"/>
          <w:lang w:val="en-US" w:eastAsia="zh-CN" w:bidi="ar-SA"/>
        </w:rPr>
        <w:t>。</w:t>
      </w:r>
    </w:p>
    <w:p w14:paraId="23504259">
      <w:pPr>
        <w:spacing w:line="320" w:lineRule="exact"/>
        <w:ind w:left="478" w:leftChars="85" w:hanging="240" w:hangingChars="100"/>
        <w:rPr>
          <w:rFonts w:hint="eastAsia"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3、耗材组成或成分：透明材质</w:t>
      </w:r>
      <w:r>
        <w:rPr>
          <w:rFonts w:hint="eastAsia" w:cs="Times New Roman"/>
          <w:i w:val="0"/>
          <w:kern w:val="2"/>
          <w:sz w:val="24"/>
          <w:szCs w:val="24"/>
          <w:lang w:val="en-US" w:eastAsia="zh-CN" w:bidi="ar-SA"/>
        </w:rPr>
        <w:t>。</w:t>
      </w:r>
    </w:p>
    <w:p w14:paraId="42F988B6">
      <w:pPr>
        <w:spacing w:line="320" w:lineRule="exact"/>
        <w:ind w:left="478" w:leftChars="85" w:hanging="240" w:hangingChars="100"/>
        <w:rPr>
          <w:rFonts w:hint="eastAsia" w:cs="Times New Roman"/>
          <w:i w:val="0"/>
          <w:kern w:val="2"/>
          <w:sz w:val="24"/>
          <w:szCs w:val="24"/>
          <w:lang w:val="en-US" w:eastAsia="zh-CN" w:bidi="ar-SA"/>
        </w:rPr>
      </w:pPr>
    </w:p>
    <w:p w14:paraId="71652892">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4</w:t>
      </w:r>
    </w:p>
    <w:p w14:paraId="7E1B41C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1、用途（功能需求）：用于神经损伤修复、神经吻合等手术</w:t>
      </w:r>
      <w:r>
        <w:rPr>
          <w:rFonts w:hint="eastAsia" w:cs="Times New Roman"/>
          <w:i w:val="0"/>
          <w:kern w:val="2"/>
          <w:sz w:val="24"/>
          <w:szCs w:val="24"/>
          <w:lang w:val="en-US" w:eastAsia="zh-CN" w:bidi="ar-SA"/>
        </w:rPr>
        <w:t>。</w:t>
      </w:r>
    </w:p>
    <w:p w14:paraId="5FEA061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技术参数（性状、材质、物理尺寸等，物理尺寸是范围）：生物相容性好，临床无排异反应报道；可吸收，可降解；环氧乙烷灭菌，残余量达国家标准；长度15-70mm，直径1-10mm；组织工程学支架，提供神经再生通道；材料柔软，术中顺应性良好。原厂灭菌包装，以便产品溯源的管理和质量管控</w:t>
      </w:r>
      <w:r>
        <w:rPr>
          <w:rFonts w:hint="eastAsia" w:cs="Times New Roman"/>
          <w:i w:val="0"/>
          <w:kern w:val="2"/>
          <w:sz w:val="24"/>
          <w:szCs w:val="24"/>
          <w:lang w:val="en-US" w:eastAsia="zh-CN" w:bidi="ar-SA"/>
        </w:rPr>
        <w:t>。</w:t>
      </w:r>
    </w:p>
    <w:p w14:paraId="38518F02">
      <w:pPr>
        <w:spacing w:line="320" w:lineRule="exact"/>
        <w:ind w:left="478" w:leftChars="85" w:hanging="240" w:hangingChars="100"/>
        <w:rPr>
          <w:rFonts w:hint="eastAsia"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3、耗材组成或成分：管状结构，可术中根据需要裁剪</w:t>
      </w:r>
      <w:r>
        <w:rPr>
          <w:rFonts w:hint="eastAsia" w:cs="Times New Roman"/>
          <w:i w:val="0"/>
          <w:kern w:val="2"/>
          <w:sz w:val="24"/>
          <w:szCs w:val="24"/>
          <w:lang w:val="en-US" w:eastAsia="zh-CN" w:bidi="ar-SA"/>
        </w:rPr>
        <w:t>。</w:t>
      </w:r>
    </w:p>
    <w:p w14:paraId="78871592">
      <w:pPr>
        <w:pStyle w:val="2"/>
        <w:rPr>
          <w:rFonts w:hint="eastAsia"/>
          <w:lang w:val="en-US" w:eastAsia="zh-CN"/>
        </w:rPr>
      </w:pPr>
      <w:bookmarkStart w:id="197" w:name="_GoBack"/>
      <w:bookmarkEnd w:id="197"/>
    </w:p>
    <w:p w14:paraId="5A85EB58">
      <w:pPr>
        <w:spacing w:line="320" w:lineRule="exact"/>
        <w:ind w:left="479" w:leftChars="85" w:hanging="241" w:hangingChars="100"/>
        <w:rPr>
          <w:rFonts w:hint="default"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9</w:t>
      </w:r>
    </w:p>
    <w:p w14:paraId="2AF6AA85">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中间导引导管：</w:t>
      </w:r>
    </w:p>
    <w:p w14:paraId="45109EFB">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1.用途：用于将介入器械或诊断器械引入外周血管系统和神经血管系统，不适用于冠状动脉。</w:t>
      </w:r>
    </w:p>
    <w:p w14:paraId="0EFA979A">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2.技术参数：外径5F-6F,长度：105-125cm。</w:t>
      </w:r>
    </w:p>
    <w:p w14:paraId="7CCE65E8">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3.耗材组成部件：该产品由导管、引导鞘管组成,其中导管包括导管座、应力释放管、管体，导管外覆聚乙烯吡咯烷酮亲水涂层，头端含有铂铱合金Pt90%/Ir10%显影环，导管的头端形状分为直型和带25o预定型两种形状。</w:t>
      </w:r>
    </w:p>
    <w:p w14:paraId="0C6A44DB">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4、产品经环氧乙烷灭菌，一次性使用。</w:t>
      </w:r>
    </w:p>
    <w:p w14:paraId="1F526A98">
      <w:pPr>
        <w:pStyle w:val="2"/>
        <w:rPr>
          <w:rFonts w:hint="eastAsia"/>
          <w:lang w:val="en-US" w:eastAsia="zh-CN"/>
        </w:rPr>
      </w:pPr>
    </w:p>
    <w:p w14:paraId="45F79834">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导管鞘组：</w:t>
      </w:r>
    </w:p>
    <w:p w14:paraId="02BF7928">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1.用途：适用于介入器械的导入，协助介入性器械深入外周、冠状和颅内血管系统。</w:t>
      </w:r>
    </w:p>
    <w:p w14:paraId="332AC409">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2.技术参数：内腔0.088cm，外径6F，长度80-100cm。</w:t>
      </w:r>
    </w:p>
    <w:p w14:paraId="62F4AB8D">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3.耗材组成部件：输送导管由导管鞘及扩张器组成。</w:t>
      </w:r>
    </w:p>
    <w:p w14:paraId="6CAF1D81">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4、该产品以无菌状态提供，经环氧乙烷灭菌，一次性使用。</w:t>
      </w:r>
    </w:p>
    <w:p w14:paraId="3ACC495A">
      <w:pPr>
        <w:pStyle w:val="2"/>
        <w:rPr>
          <w:rFonts w:hint="default"/>
          <w:lang w:val="en-US" w:eastAsia="zh-CN"/>
        </w:rPr>
      </w:pPr>
    </w:p>
    <w:p w14:paraId="03CE777E">
      <w:pPr>
        <w:spacing w:line="320" w:lineRule="exact"/>
        <w:ind w:left="479" w:leftChars="85" w:hanging="241" w:hangingChars="100"/>
        <w:rPr>
          <w:rFonts w:hint="default"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10</w:t>
      </w:r>
    </w:p>
    <w:p w14:paraId="0F8539E7">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用途：适用于对颅内大血管阻塞（颈内动脉、大脑中动脉—M1段和M2段、基底动脉和椎动脉内）继发急性缺血性脑中风的患者进行血管再通，而且必须在症状发作的8小时内。不能使用静脉组织型纤溶酶原激活物(IV t-PA)或IV t-PA治疗失败的患者是该治疗的人选。</w:t>
      </w:r>
    </w:p>
    <w:p w14:paraId="5F8A7956">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2.技术参数：外径5F-6F,长度：105-150cm。</w:t>
      </w:r>
    </w:p>
    <w:p w14:paraId="58E481DA">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3.耗材组成部件：颅内远端血栓抽吸系统配备线圈和编织加固结构。远端部分具有蒸汽可塑性，带有亲水涂层、不透射线标记。</w:t>
      </w:r>
    </w:p>
    <w:p w14:paraId="71363FD4">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4、产品为环氧乙烷灭菌，一次性使用。</w:t>
      </w:r>
    </w:p>
    <w:p w14:paraId="71B607FA">
      <w:pPr>
        <w:pStyle w:val="2"/>
        <w:rPr>
          <w:rFonts w:hint="default"/>
          <w:lang w:val="en-US" w:eastAsia="zh-CN"/>
        </w:rPr>
      </w:pPr>
    </w:p>
    <w:p w14:paraId="7DAB504C">
      <w:pPr>
        <w:spacing w:line="320" w:lineRule="exact"/>
        <w:ind w:left="479" w:leftChars="85" w:hanging="241" w:hangingChars="100"/>
        <w:rPr>
          <w:rFonts w:hint="default"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11</w:t>
      </w:r>
    </w:p>
    <w:p w14:paraId="7F8B3F43">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1.用途：用于由于颅内血管闭塞而引起的缺血性中风病人的动脉流恢复。</w:t>
      </w:r>
    </w:p>
    <w:p w14:paraId="3CD06F93">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2.技术参数：直径：2.6-6.5mm，长度：15-50mm。</w:t>
      </w:r>
    </w:p>
    <w:p w14:paraId="7DFCEF62">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3.耗材组成部件：颅内取栓支架由取栓网架、显影装置、推送杆、鞘管及显影丝等组成。</w:t>
      </w:r>
    </w:p>
    <w:p w14:paraId="0C4C7B8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4、产品经环氧乙烷灭菌，一次性使用。</w:t>
      </w:r>
    </w:p>
    <w:p w14:paraId="4408B08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4F219D63">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2240B6DE">
      <w:pPr>
        <w:pStyle w:val="3"/>
        <w:ind w:left="0" w:leftChars="0" w:firstLine="0" w:firstLineChars="0"/>
        <w:jc w:val="both"/>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68"/>
      <w:bookmarkStart w:id="67" w:name="_Toc15650"/>
      <w:bookmarkStart w:id="68" w:name="_Toc4791"/>
      <w:bookmarkStart w:id="69" w:name="_Toc76373878"/>
      <w:bookmarkStart w:id="70" w:name="_Toc24122"/>
      <w:bookmarkStart w:id="71" w:name="_Toc31843"/>
      <w:bookmarkStart w:id="72" w:name="_Toc2072"/>
      <w:bookmarkStart w:id="73" w:name="_Toc17524"/>
      <w:bookmarkStart w:id="74" w:name="_Toc17944"/>
      <w:bookmarkStart w:id="75" w:name="_Toc779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30551"/>
      <w:bookmarkStart w:id="78" w:name="_Toc22561"/>
      <w:bookmarkStart w:id="79" w:name="_Toc76373879"/>
      <w:bookmarkStart w:id="80" w:name="_Toc9339"/>
      <w:bookmarkStart w:id="81" w:name="_Toc14311"/>
      <w:bookmarkStart w:id="82" w:name="_Toc29836"/>
      <w:bookmarkStart w:id="83" w:name="_Toc5959"/>
      <w:bookmarkStart w:id="84" w:name="_Toc28942"/>
      <w:bookmarkStart w:id="85" w:name="_Toc13528"/>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0263"/>
      <w:bookmarkStart w:id="88" w:name="_Toc2258"/>
      <w:bookmarkStart w:id="89" w:name="_Toc12384"/>
      <w:bookmarkStart w:id="90" w:name="_Toc27893"/>
      <w:bookmarkStart w:id="91" w:name="_Toc27737"/>
      <w:bookmarkStart w:id="92" w:name="_Toc20772"/>
      <w:bookmarkStart w:id="93" w:name="_Toc76373885"/>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115"/>
      <w:bookmarkStart w:id="95" w:name="_Toc76373886"/>
      <w:bookmarkStart w:id="96" w:name="_Toc23699"/>
      <w:bookmarkStart w:id="97" w:name="_Toc12712"/>
      <w:bookmarkStart w:id="98" w:name="_Toc11052"/>
      <w:bookmarkStart w:id="99" w:name="_Toc28189"/>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13585"/>
      <w:bookmarkStart w:id="102" w:name="_Toc9147"/>
      <w:bookmarkStart w:id="103" w:name="_Toc26754"/>
      <w:bookmarkStart w:id="104" w:name="_Toc76373887"/>
      <w:bookmarkStart w:id="105" w:name="_Toc5535"/>
      <w:bookmarkStart w:id="106" w:name="_Toc19809"/>
      <w:bookmarkStart w:id="107" w:name="_Toc31293"/>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30068"/>
      <w:bookmarkStart w:id="109" w:name="_Toc76373889"/>
      <w:bookmarkStart w:id="110" w:name="_Toc8546"/>
      <w:bookmarkStart w:id="111" w:name="_Toc2900"/>
      <w:bookmarkStart w:id="112" w:name="_Toc16925"/>
      <w:bookmarkStart w:id="113" w:name="_Toc5251"/>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27443"/>
      <w:bookmarkStart w:id="117" w:name="_Toc11342"/>
      <w:bookmarkStart w:id="118" w:name="_Toc76373890"/>
      <w:bookmarkStart w:id="119" w:name="_Toc26071"/>
      <w:bookmarkStart w:id="120" w:name="_Toc11654"/>
      <w:bookmarkStart w:id="121" w:name="_Toc20034"/>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5199"/>
      <w:bookmarkStart w:id="124" w:name="_Toc20391"/>
      <w:bookmarkStart w:id="125" w:name="_Toc10864"/>
      <w:bookmarkStart w:id="126" w:name="_Toc27646"/>
      <w:bookmarkStart w:id="127" w:name="_Toc76373891"/>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20762"/>
      <w:bookmarkStart w:id="136" w:name="_Toc19409"/>
      <w:bookmarkStart w:id="137" w:name="_Toc2975"/>
      <w:bookmarkStart w:id="138" w:name="_Toc76373904"/>
      <w:bookmarkStart w:id="139" w:name="_Toc24088"/>
      <w:bookmarkStart w:id="140" w:name="_Toc10152"/>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6112"/>
      <w:bookmarkStart w:id="142" w:name="_Toc7750"/>
      <w:bookmarkStart w:id="143" w:name="_Toc25920"/>
      <w:bookmarkStart w:id="144" w:name="_Toc76373907"/>
      <w:bookmarkStart w:id="145" w:name="_Toc12863"/>
      <w:bookmarkStart w:id="146" w:name="_Toc11763"/>
      <w:bookmarkStart w:id="147" w:name="_Toc11892"/>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3094"/>
      <w:bookmarkStart w:id="156" w:name="_Toc22827"/>
      <w:bookmarkStart w:id="157"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76373909"/>
      <w:bookmarkStart w:id="170" w:name="_Toc21830"/>
      <w:bookmarkStart w:id="171" w:name="_Toc21431"/>
      <w:bookmarkStart w:id="172" w:name="_Toc27306"/>
      <w:bookmarkStart w:id="173" w:name="_Toc493178790"/>
      <w:bookmarkStart w:id="174" w:name="_Toc9795"/>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492721039"/>
      <w:bookmarkStart w:id="179" w:name="_Toc16487"/>
      <w:bookmarkStart w:id="180" w:name="_Toc493178791"/>
      <w:bookmarkStart w:id="181" w:name="_Toc12647"/>
      <w:bookmarkStart w:id="182" w:name="_Toc20258"/>
      <w:bookmarkStart w:id="183" w:name="_Toc411"/>
      <w:bookmarkStart w:id="184" w:name="_Toc20875"/>
      <w:bookmarkStart w:id="185" w:name="_Toc76373910"/>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20605"/>
      <w:bookmarkStart w:id="188" w:name="_Toc493178793"/>
      <w:bookmarkStart w:id="189" w:name="_Toc6217"/>
      <w:bookmarkStart w:id="190" w:name="_Toc16151"/>
      <w:bookmarkStart w:id="191" w:name="_Toc8925"/>
      <w:bookmarkStart w:id="192" w:name="_Toc492721038"/>
      <w:bookmarkStart w:id="193" w:name="_Toc76373912"/>
      <w:bookmarkStart w:id="194" w:name="_Toc19291"/>
      <w:bookmarkStart w:id="195" w:name="_Toc4250"/>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3ED56CA9">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05EC904-7341-4AB7-A000-8EC878F2BAAB}"/>
  </w:font>
  <w:font w:name="黑体">
    <w:panose1 w:val="02010609060101010101"/>
    <w:charset w:val="86"/>
    <w:family w:val="auto"/>
    <w:pitch w:val="default"/>
    <w:sig w:usb0="800002BF" w:usb1="38CF7CFA" w:usb2="00000016" w:usb3="00000000" w:csb0="00040001" w:csb1="00000000"/>
    <w:embedRegular r:id="rId2" w:fontKey="{A5508435-F334-48DD-9F96-8B9B186483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01604147-608B-43F7-8BFB-EF451D70341B}"/>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BBCC5F19-E7A2-4468-8EF6-B8C2C63E991B}"/>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71B09910-319D-428F-9F0E-2E40A91BFCDC}"/>
  </w:font>
  <w:font w:name="方正黑体_GBK">
    <w:panose1 w:val="03000509000000000000"/>
    <w:charset w:val="86"/>
    <w:family w:val="script"/>
    <w:pitch w:val="default"/>
    <w:sig w:usb0="00000001" w:usb1="080E0000" w:usb2="00000000" w:usb3="00000000" w:csb0="00040000" w:csb1="00000000"/>
    <w:embedRegular r:id="rId6" w:fontKey="{54D70D57-00CA-477B-A625-FED5700FDDD8}"/>
  </w:font>
  <w:font w:name="方正小标宋_GBK">
    <w:panose1 w:val="03000509000000000000"/>
    <w:charset w:val="86"/>
    <w:family w:val="script"/>
    <w:pitch w:val="default"/>
    <w:sig w:usb0="00000001" w:usb1="080E0000" w:usb2="00000000" w:usb3="00000000" w:csb0="00040000" w:csb1="00000000"/>
    <w:embedRegular r:id="rId7" w:fontKey="{6188B0DA-F06E-4DD3-883E-89E263E83149}"/>
  </w:font>
  <w:font w:name="微软雅黑">
    <w:panose1 w:val="020B0503020204020204"/>
    <w:charset w:val="86"/>
    <w:family w:val="swiss"/>
    <w:pitch w:val="default"/>
    <w:sig w:usb0="80000287" w:usb1="2ACF3C50" w:usb2="00000016" w:usb3="00000000" w:csb0="0004001F" w:csb1="00000000"/>
    <w:embedRegular r:id="rId8" w:fontKey="{013BF7A7-208C-4A48-9369-4FD579A49412}"/>
  </w:font>
  <w:font w:name="仿宋">
    <w:panose1 w:val="02010609060101010101"/>
    <w:charset w:val="86"/>
    <w:family w:val="modern"/>
    <w:pitch w:val="default"/>
    <w:sig w:usb0="800002BF" w:usb1="38CF7CFA" w:usb2="00000016" w:usb3="00000000" w:csb0="00040001" w:csb1="00000000"/>
    <w:embedRegular r:id="rId9" w:fontKey="{C78FDB6A-9199-40C5-A12F-15A27E1D14E5}"/>
  </w:font>
  <w:font w:name="楷体">
    <w:panose1 w:val="02010609060101010101"/>
    <w:charset w:val="86"/>
    <w:family w:val="modern"/>
    <w:pitch w:val="default"/>
    <w:sig w:usb0="800002BF" w:usb1="38CF7CFA" w:usb2="00000016" w:usb3="00000000" w:csb0="00040001" w:csb1="00000000"/>
    <w:embedRegular r:id="rId10" w:fontKey="{DFBEBD45-6033-4BD9-A78F-7BED23C8A6DE}"/>
  </w:font>
  <w:font w:name="WPSEMBED11">
    <w:panose1 w:val="03000509000000000000"/>
    <w:charset w:val="86"/>
    <w:family w:val="auto"/>
    <w:pitch w:val="default"/>
    <w:sig w:usb0="00000001" w:usb1="080E0000" w:usb2="00000000" w:usb3="00000000" w:csb0="00040000" w:csb1="00000000"/>
  </w:font>
  <w:font w:name="WPSEMBED1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3384"/>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DE5DBF"/>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9D7625"/>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8CF19BA"/>
    <w:rsid w:val="2955739D"/>
    <w:rsid w:val="299C670B"/>
    <w:rsid w:val="299F1664"/>
    <w:rsid w:val="29AF73CD"/>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5F58C6"/>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BF73E0"/>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7A7B86"/>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567E0"/>
    <w:rsid w:val="5B6A2566"/>
    <w:rsid w:val="5B8A1F1F"/>
    <w:rsid w:val="5BA66C84"/>
    <w:rsid w:val="5BB039AD"/>
    <w:rsid w:val="5BB75BFE"/>
    <w:rsid w:val="5BB8371C"/>
    <w:rsid w:val="5BEB62C2"/>
    <w:rsid w:val="5C6D0DBF"/>
    <w:rsid w:val="5C7659A5"/>
    <w:rsid w:val="5C820917"/>
    <w:rsid w:val="5C961BA3"/>
    <w:rsid w:val="5CA7535F"/>
    <w:rsid w:val="5CB2531C"/>
    <w:rsid w:val="5CC67BF9"/>
    <w:rsid w:val="5CE13B39"/>
    <w:rsid w:val="5D013021"/>
    <w:rsid w:val="5D0D5F7F"/>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975381"/>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3701A"/>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16493"/>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7E496B"/>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4982</Words>
  <Characters>5273</Characters>
  <Lines>101</Lines>
  <Paragraphs>28</Paragraphs>
  <TotalTime>1</TotalTime>
  <ScaleCrop>false</ScaleCrop>
  <LinksUpToDate>false</LinksUpToDate>
  <CharactersWithSpaces>5365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2025-12-26T04:53:56Z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