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76373863"/>
      <w:bookmarkStart w:id="2" w:name="_Toc1304"/>
      <w:bookmarkStart w:id="3" w:name="_Toc13868"/>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5909"/>
      <w:bookmarkStart w:id="10" w:name="_Toc22435"/>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一次性使用血管内成像导管</w:t>
      </w:r>
      <w:r>
        <w:rPr>
          <w:rFonts w:hint="eastAsia" w:ascii="宋体" w:hAnsi="宋体" w:cs="宋体"/>
          <w:i w:val="0"/>
          <w:iCs w:val="0"/>
          <w:color w:val="000000"/>
          <w:kern w:val="0"/>
          <w:sz w:val="22"/>
          <w:szCs w:val="22"/>
          <w:u w:val="none"/>
          <w:lang w:val="en-US" w:eastAsia="zh-CN" w:bidi="ar"/>
        </w:rPr>
        <w:t>、压力导丝及其配套设备；一次性使用冠脉血管内冲击波导管及其配套设备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18060"/>
            <w:bookmarkStart w:id="16" w:name="_Toc22707"/>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一次性使用血管内成像导管、压力导丝及其配套设备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2A3C1BC5">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江南心血管内科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652F023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一次性使用冠脉血管内冲击波导管及其配套设备</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7CCBFB1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江南心血管内科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10137"/>
      <w:bookmarkStart w:id="21" w:name="_Toc76373866"/>
      <w:bookmarkStart w:id="22" w:name="_Toc30358"/>
      <w:bookmarkStart w:id="23" w:name="_Toc25496"/>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28099"/>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江南心血管内科包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江南心血管内科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江南心血管内科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江南心血管内科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25272"/>
      <w:bookmarkStart w:id="45" w:name="_Toc4033"/>
      <w:bookmarkStart w:id="46" w:name="_Toc76373872"/>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11474"/>
      <w:bookmarkStart w:id="53" w:name="_Toc2599"/>
      <w:bookmarkStart w:id="54" w:name="_Toc3153"/>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29225"/>
      <w:bookmarkStart w:id="60" w:name="_Toc30465"/>
      <w:bookmarkStart w:id="61" w:name="_Toc29620"/>
      <w:bookmarkStart w:id="62" w:name="_Toc635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E727E4D">
      <w:pPr>
        <w:spacing w:line="320" w:lineRule="exact"/>
        <w:ind w:left="478" w:leftChars="85" w:hanging="240" w:hangingChars="100"/>
        <w:rPr>
          <w:rFonts w:hint="eastAsia" w:cs="Times New Roman"/>
          <w:sz w:val="24"/>
          <w:szCs w:val="24"/>
          <w:lang w:val="en-US" w:eastAsia="zh-CN"/>
        </w:rPr>
      </w:pPr>
      <w:r>
        <w:rPr>
          <w:rFonts w:hint="eastAsia" w:ascii="Times New Roman" w:eastAsia="宋体" w:cs="Times New Roman"/>
          <w:sz w:val="24"/>
          <w:szCs w:val="24"/>
          <w:lang w:val="en-US" w:eastAsia="zh-CN"/>
        </w:rPr>
        <w:t>一次性使用血管内成像导管</w:t>
      </w:r>
      <w:r>
        <w:rPr>
          <w:rFonts w:hint="eastAsia" w:cs="Times New Roman"/>
          <w:sz w:val="24"/>
          <w:szCs w:val="24"/>
          <w:lang w:val="en-US" w:eastAsia="zh-CN"/>
        </w:rPr>
        <w:t>：</w:t>
      </w:r>
    </w:p>
    <w:p w14:paraId="3CB97803">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1、用途：该产品与OCT成像系统配合使用，用于冠状动脉的成像，适合可能进行腔内介入治疗的病人。</w:t>
      </w:r>
    </w:p>
    <w:p w14:paraId="24E7BB48">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成像导管有亲水涂层，有效工作长度≥135cm；导管远端最小通过外径≤2.7F；光镜到头端的距离≤23mm；最大回撤距离≥75mm；最大回撤速率≥36mm/s；显影标记数量≥3个；远端显影标记于头端间距≤3mm；</w:t>
      </w:r>
    </w:p>
    <w:p w14:paraId="3EF9DD00">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3、该产品由内置旋转光纤成像核心和导管体组成，无菌产品。</w:t>
      </w:r>
    </w:p>
    <w:p w14:paraId="0149715C">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压力导丝：</w:t>
      </w:r>
    </w:p>
    <w:p w14:paraId="220AFBAB">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1、用途：该产品经由经皮导管穿过血管，用于测量心脏、冠状血管和外周血管中的压力；</w:t>
      </w:r>
    </w:p>
    <w:p w14:paraId="27145864">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2、技术参数：远端为亲水涂层，中间段为PTFE涂层，近段疏水涂层，压力导丝长度≥175cm；直径≤0.014英寸；感应器窗口≥3个；头端硬度≤0.63g；无线测量功能，兼容OCT设备；</w:t>
      </w:r>
    </w:p>
    <w:p w14:paraId="3F5B5DD0">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3、该产品由导丝、扭矩装置和发射器组成。该产品采用灭菌包装，一次性使用。</w:t>
      </w:r>
    </w:p>
    <w:p w14:paraId="162C8ED7">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光学干涉断层成像系统：</w:t>
      </w:r>
    </w:p>
    <w:p w14:paraId="43A4882C">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1、用途：本产品在医疗机构中使用，与一次性使用血管内成像导管配合使用，用于冠状动脉的成像。本产品与压力导丝配合使用，可显示静息pd/pa、血流储备分数（FFR）和静息全周期比值（RFR）。</w:t>
      </w:r>
    </w:p>
    <w:p w14:paraId="637E3890">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智能自动识别钙化斑块如总角度、最大厚度及位点，并可显示于造影融合视图中；智能自动识别血管管腔，如外弹力膜EEL；可选择两种及以上模式显示支架膨胀比例；具备支架膨胀颜色显示器且阈值可调，可并同步显示于造影图中；实时造影融合功能：能够输入和选择造影图像，术中实时进行OCT和造影逐帧同步融合。</w:t>
      </w:r>
    </w:p>
    <w:p w14:paraId="2AAA8087">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3、本产品由成像引擎、显示器、驱动电机和光学控制器、计算机、键盘和鼠标、电源线，推车及系统附件组成。</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3991DBD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1.用于原发性冠状动脉钙化病变预处理；</w:t>
      </w:r>
    </w:p>
    <w:p w14:paraId="731C688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2.导管有效长度包括但不限于1350mm；</w:t>
      </w:r>
    </w:p>
    <w:p w14:paraId="61A20CB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3.球囊工作压力（WP）</w:t>
      </w:r>
      <w:r>
        <w:rPr>
          <w:rFonts w:hint="eastAsia" w:cs="Times New Roman"/>
          <w:sz w:val="24"/>
          <w:szCs w:val="24"/>
          <w:lang w:val="en-US" w:eastAsia="zh-CN"/>
        </w:rPr>
        <w:t>：</w:t>
      </w:r>
      <w:r>
        <w:rPr>
          <w:rFonts w:hint="eastAsia" w:ascii="Times New Roman" w:eastAsia="宋体" w:cs="Times New Roman"/>
          <w:sz w:val="24"/>
          <w:szCs w:val="24"/>
          <w:lang w:val="en-US" w:eastAsia="zh-CN"/>
        </w:rPr>
        <w:t>4atm±0.5atm；球囊命名压力（NP）</w:t>
      </w:r>
      <w:r>
        <w:rPr>
          <w:rFonts w:hint="eastAsia" w:cs="Times New Roman"/>
          <w:sz w:val="24"/>
          <w:szCs w:val="24"/>
          <w:lang w:val="en-US" w:eastAsia="zh-CN"/>
        </w:rPr>
        <w:t>：</w:t>
      </w:r>
      <w:r>
        <w:rPr>
          <w:rFonts w:hint="eastAsia" w:ascii="Times New Roman" w:eastAsia="宋体" w:cs="Times New Roman"/>
          <w:sz w:val="24"/>
          <w:szCs w:val="24"/>
          <w:lang w:val="en-US" w:eastAsia="zh-CN"/>
        </w:rPr>
        <w:t>6atm±0.5atm；球囊额定爆破压力（RBP）</w:t>
      </w:r>
      <w:r>
        <w:rPr>
          <w:rFonts w:hint="eastAsia" w:cs="Times New Roman"/>
          <w:sz w:val="24"/>
          <w:szCs w:val="24"/>
          <w:lang w:val="en-US" w:eastAsia="zh-CN"/>
        </w:rPr>
        <w:t>：</w:t>
      </w:r>
      <w:r>
        <w:rPr>
          <w:rFonts w:hint="eastAsia" w:ascii="Times New Roman" w:eastAsia="宋体" w:cs="Times New Roman"/>
          <w:sz w:val="24"/>
          <w:szCs w:val="24"/>
          <w:lang w:val="en-US" w:eastAsia="zh-CN"/>
        </w:rPr>
        <w:t>≥10atm；</w:t>
      </w:r>
    </w:p>
    <w:p w14:paraId="7126F23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4.单个导管至少可释放120次脉冲；</w:t>
      </w:r>
    </w:p>
    <w:p w14:paraId="1F6E7AF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5.器械兼容：兼容≥6F指引导管，兼容≤0.014″（0.36mm）导引导丝；</w:t>
      </w:r>
    </w:p>
    <w:p w14:paraId="285FE87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导管球囊直径包括2.0-4.0mm‌</w:t>
      </w:r>
      <w:r>
        <w:rPr>
          <w:rFonts w:hint="default" w:ascii="Times New Roman" w:hAnsi="Times New Roman" w:eastAsia="宋体" w:cs="Times New Roman"/>
          <w:i w:val="0"/>
          <w:kern w:val="2"/>
          <w:sz w:val="24"/>
          <w:szCs w:val="24"/>
          <w:lang w:val="en-US" w:eastAsia="zh-CN" w:bidi="ar-SA"/>
        </w:rPr>
        <w:t>。</w:t>
      </w:r>
    </w:p>
    <w:p w14:paraId="6F668000">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冲击波</w:t>
      </w:r>
      <w:r>
        <w:rPr>
          <w:rFonts w:hint="eastAsia" w:cs="Times New Roman"/>
          <w:i w:val="0"/>
          <w:kern w:val="2"/>
          <w:sz w:val="24"/>
          <w:szCs w:val="24"/>
          <w:lang w:val="en-US" w:eastAsia="zh-CN" w:bidi="ar-SA"/>
        </w:rPr>
        <w:t>：</w:t>
      </w:r>
    </w:p>
    <w:p w14:paraId="7F65830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1.主机功能：与一次性使用外周血管内冲击波导管、一次性使用冠脉血管内冲击波导管配合，用于对冠脉及外周血管内钙化病变进行预处理及球囊扩张；</w:t>
      </w:r>
    </w:p>
    <w:p w14:paraId="3C8CED5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2.包括设备主机、控制手柄、连接线缆、电源适配器和电源线；</w:t>
      </w:r>
    </w:p>
    <w:p w14:paraId="38E5892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3.供电方式：设备具有可充锂电池，可充电、可连续运行；充电时间小于8小时；连续治疗病人数量：＞12人；</w:t>
      </w:r>
    </w:p>
    <w:p w14:paraId="256BD41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4.可处理病变血管直径：2.0mm-7.0mm；</w:t>
      </w:r>
    </w:p>
    <w:p w14:paraId="781FA366">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5.控制/运行模式分类：至少包含按钮触发、磁性连接，间歇运行、连续运行；</w:t>
      </w:r>
    </w:p>
    <w:p w14:paraId="4265495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6.设备具有对除颤放电效应防护</w:t>
      </w:r>
    </w:p>
    <w:p w14:paraId="42D0167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7.设备主机尺寸：≤390mm*380mm*185mm；设备主机质量≤4.5kg</w:t>
      </w:r>
    </w:p>
    <w:p w14:paraId="64836FB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脉冲输出方式：设备输出的正向脉冲、负向脉冲分别为一个脉冲，正向和负向脉冲交替输出。</w:t>
      </w:r>
    </w:p>
    <w:p w14:paraId="586B6E84">
      <w:pPr>
        <w:snapToGrid w:val="0"/>
        <w:spacing w:line="400" w:lineRule="exact"/>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76373878"/>
      <w:bookmarkStart w:id="68" w:name="_Toc1768"/>
      <w:bookmarkStart w:id="69" w:name="_Toc17944"/>
      <w:bookmarkStart w:id="70" w:name="_Toc2072"/>
      <w:bookmarkStart w:id="71" w:name="_Toc4791"/>
      <w:bookmarkStart w:id="72" w:name="_Toc17524"/>
      <w:bookmarkStart w:id="73" w:name="_Toc31843"/>
      <w:bookmarkStart w:id="74" w:name="_Toc7794"/>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29836"/>
      <w:bookmarkStart w:id="80" w:name="_Toc76373879"/>
      <w:bookmarkStart w:id="81" w:name="_Toc9339"/>
      <w:bookmarkStart w:id="82" w:name="_Toc5959"/>
      <w:bookmarkStart w:id="83" w:name="_Toc2256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76373885"/>
      <w:bookmarkStart w:id="89" w:name="_Toc27893"/>
      <w:bookmarkStart w:id="90" w:name="_Toc20772"/>
      <w:bookmarkStart w:id="91" w:name="_Toc20263"/>
      <w:bookmarkStart w:id="92" w:name="_Toc12384"/>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2712"/>
      <w:bookmarkStart w:id="96" w:name="_Toc28189"/>
      <w:bookmarkStart w:id="97" w:name="_Toc7115"/>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19809"/>
      <w:bookmarkStart w:id="103" w:name="_Toc9147"/>
      <w:bookmarkStart w:id="104" w:name="_Toc13585"/>
      <w:bookmarkStart w:id="105" w:name="_Toc31293"/>
      <w:bookmarkStart w:id="106" w:name="_Toc76373887"/>
      <w:bookmarkStart w:id="107" w:name="_Toc553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76373889"/>
      <w:bookmarkStart w:id="109" w:name="_Toc2900"/>
      <w:bookmarkStart w:id="110" w:name="_Toc30068"/>
      <w:bookmarkStart w:id="111" w:name="_Toc8546"/>
      <w:bookmarkStart w:id="112" w:name="_Toc5251"/>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20034"/>
      <w:bookmarkStart w:id="118" w:name="_Toc76373890"/>
      <w:bookmarkStart w:id="119" w:name="_Toc26071"/>
      <w:bookmarkStart w:id="120" w:name="_Toc11654"/>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7646"/>
      <w:bookmarkStart w:id="125" w:name="_Toc25199"/>
      <w:bookmarkStart w:id="126" w:name="_Toc10864"/>
      <w:bookmarkStart w:id="127" w:name="_Toc203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24088"/>
      <w:bookmarkStart w:id="137" w:name="_Toc20762"/>
      <w:bookmarkStart w:id="138" w:name="_Toc19409"/>
      <w:bookmarkStart w:id="139" w:name="_Toc76373904"/>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892"/>
      <w:bookmarkStart w:id="142" w:name="_Toc7750"/>
      <w:bookmarkStart w:id="143" w:name="_Toc76373907"/>
      <w:bookmarkStart w:id="144" w:name="_Toc16112"/>
      <w:bookmarkStart w:id="145" w:name="_Toc12863"/>
      <w:bookmarkStart w:id="146" w:name="_Toc25920"/>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27306"/>
      <w:bookmarkStart w:id="171" w:name="_Toc9795"/>
      <w:bookmarkStart w:id="172" w:name="_Toc21431"/>
      <w:bookmarkStart w:id="173" w:name="_Toc21830"/>
      <w:bookmarkStart w:id="174" w:name="_Toc49317879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3178791"/>
      <w:bookmarkStart w:id="179" w:name="_Toc76373910"/>
      <w:bookmarkStart w:id="180" w:name="_Toc12647"/>
      <w:bookmarkStart w:id="181" w:name="_Toc16487"/>
      <w:bookmarkStart w:id="182" w:name="_Toc20258"/>
      <w:bookmarkStart w:id="183" w:name="_Toc492721039"/>
      <w:bookmarkStart w:id="184" w:name="_Toc411"/>
      <w:bookmarkStart w:id="185"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4250"/>
      <w:bookmarkStart w:id="189" w:name="_Toc6217"/>
      <w:bookmarkStart w:id="190" w:name="_Toc493178793"/>
      <w:bookmarkStart w:id="191" w:name="_Toc16151"/>
      <w:bookmarkStart w:id="192" w:name="_Toc20605"/>
      <w:bookmarkStart w:id="193" w:name="_Toc19291"/>
      <w:bookmarkStart w:id="194" w:name="_Toc492721038"/>
      <w:bookmarkStart w:id="195" w:name="_Toc8925"/>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75B2DABB">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BB57B5-3640-444C-A89A-9758BEF0F1B7}"/>
  </w:font>
  <w:font w:name="黑体">
    <w:panose1 w:val="02010609060101010101"/>
    <w:charset w:val="86"/>
    <w:family w:val="auto"/>
    <w:pitch w:val="default"/>
    <w:sig w:usb0="800002BF" w:usb1="38CF7CFA" w:usb2="00000016" w:usb3="00000000" w:csb0="00040001" w:csb1="00000000"/>
    <w:embedRegular r:id="rId2" w:fontKey="{BE071CBC-49A1-4C9E-9EA1-153C13FD69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2BCBF08-D47F-4F43-9361-F0C9F53D2A2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CC5F7B4-7692-431B-8132-3A09B774CCE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61191D3-BE88-49B0-A7F6-D572EC0DB3BD}"/>
  </w:font>
  <w:font w:name="方正黑体_GBK">
    <w:panose1 w:val="03000509000000000000"/>
    <w:charset w:val="86"/>
    <w:family w:val="script"/>
    <w:pitch w:val="default"/>
    <w:sig w:usb0="00000001" w:usb1="080E0000" w:usb2="00000000" w:usb3="00000000" w:csb0="00040000" w:csb1="00000000"/>
    <w:embedRegular r:id="rId6" w:fontKey="{7AE60CE3-E6CF-4E4D-B5BE-DEA9760BCA61}"/>
  </w:font>
  <w:font w:name="方正小标宋_GBK">
    <w:panose1 w:val="03000509000000000000"/>
    <w:charset w:val="86"/>
    <w:family w:val="script"/>
    <w:pitch w:val="default"/>
    <w:sig w:usb0="00000001" w:usb1="080E0000" w:usb2="00000000" w:usb3="00000000" w:csb0="00040000" w:csb1="00000000"/>
    <w:embedRegular r:id="rId7" w:fontKey="{E73B2CEB-1AC4-440B-928F-FFDDC2C59CC6}"/>
  </w:font>
  <w:font w:name="微软雅黑">
    <w:panose1 w:val="020B0503020204020204"/>
    <w:charset w:val="86"/>
    <w:family w:val="swiss"/>
    <w:pitch w:val="default"/>
    <w:sig w:usb0="80000287" w:usb1="2ACF3C50" w:usb2="00000016" w:usb3="00000000" w:csb0="0004001F" w:csb1="00000000"/>
    <w:embedRegular r:id="rId8" w:fontKey="{C2745C86-3FF1-497E-80CF-91D7A38883B3}"/>
  </w:font>
  <w:font w:name="仿宋">
    <w:panose1 w:val="02010609060101010101"/>
    <w:charset w:val="86"/>
    <w:family w:val="modern"/>
    <w:pitch w:val="default"/>
    <w:sig w:usb0="800002BF" w:usb1="38CF7CFA" w:usb2="00000016" w:usb3="00000000" w:csb0="00040001" w:csb1="00000000"/>
    <w:embedRegular r:id="rId9" w:fontKey="{99EA78BE-B55F-42CB-8214-409B35436A7B}"/>
  </w:font>
  <w:font w:name="楷体">
    <w:panose1 w:val="02010609060101010101"/>
    <w:charset w:val="86"/>
    <w:family w:val="modern"/>
    <w:pitch w:val="default"/>
    <w:sig w:usb0="800002BF" w:usb1="38CF7CFA" w:usb2="00000016" w:usb3="00000000" w:csb0="00040001" w:csb1="00000000"/>
    <w:embedRegular r:id="rId10" w:fontKey="{2F52CE90-C151-4C49-B9D6-61DD03F3672D}"/>
  </w:font>
  <w:font w:name="WPSEMBED42">
    <w:panose1 w:val="03000509000000000000"/>
    <w:charset w:val="86"/>
    <w:family w:val="auto"/>
    <w:pitch w:val="default"/>
    <w:sig w:usb0="00000001" w:usb1="080E0000" w:usb2="00000000" w:usb3="00000000" w:csb0="00040000" w:csb1="00000000"/>
  </w:font>
  <w:font w:name="WPSEMBED4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0088A"/>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8E7B5E"/>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BA2E84"/>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6292</Words>
  <Characters>6546</Characters>
  <Lines>101</Lines>
  <Paragraphs>28</Paragraphs>
  <TotalTime>1</TotalTime>
  <ScaleCrop>false</ScaleCrop>
  <LinksUpToDate>false</LinksUpToDate>
  <CharactersWithSpaces>6653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2026-01-22T10:01:31Z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