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868"/>
      <w:bookmarkStart w:id="2" w:name="_Toc1304"/>
      <w:bookmarkStart w:id="3" w:name="_Toc10059"/>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28264"/>
      <w:bookmarkStart w:id="9" w:name="_Toc22435"/>
      <w:bookmarkStart w:id="10" w:name="_Toc76373864"/>
      <w:bookmarkStart w:id="11" w:name="_Toc5909"/>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0562F7B7">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主动脉内球囊导管及附件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活化凝血时间检测试剂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一次性肠内营养供应管路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一次性使用肠给养器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加温呼吸管路</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一次性使用鼻氧管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5838"/>
            <w:bookmarkStart w:id="16" w:name="_Toc22129"/>
            <w:bookmarkStart w:id="17" w:name="_Toc18060"/>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主动脉内球囊导管及附件</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重症</w:t>
            </w:r>
            <w:r>
              <w:rPr>
                <w:rFonts w:hint="eastAsia" w:ascii="宋体" w:hAnsi="宋体" w:cs="宋体"/>
                <w:i w:val="0"/>
                <w:iCs w:val="0"/>
                <w:color w:val="000000"/>
                <w:kern w:val="0"/>
                <w:sz w:val="22"/>
                <w:szCs w:val="22"/>
                <w:u w:val="none"/>
                <w:lang w:val="en-US" w:eastAsia="zh-CN" w:bidi="ar"/>
              </w:rPr>
              <w:t>医学科</w:t>
            </w:r>
          </w:p>
        </w:tc>
      </w:tr>
      <w:tr w14:paraId="040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26752B8">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971D415">
            <w:pPr>
              <w:keepNext w:val="0"/>
              <w:keepLines w:val="0"/>
              <w:widowControl/>
              <w:suppressLineNumbers w:val="0"/>
              <w:jc w:val="left"/>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活化凝血时间检测试剂</w:t>
            </w:r>
          </w:p>
        </w:tc>
        <w:tc>
          <w:tcPr>
            <w:tcW w:w="1327" w:type="dxa"/>
            <w:noWrap w:val="0"/>
            <w:vAlign w:val="center"/>
          </w:tcPr>
          <w:p w14:paraId="45BAF69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013D7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1653A3FF">
            <w:pPr>
              <w:keepNext w:val="0"/>
              <w:keepLines w:val="0"/>
              <w:widowControl/>
              <w:suppressLineNumbers w:val="0"/>
              <w:jc w:val="center"/>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重症</w:t>
            </w:r>
            <w:r>
              <w:rPr>
                <w:rFonts w:hint="eastAsia" w:ascii="宋体" w:hAnsi="宋体" w:cs="宋体"/>
                <w:i w:val="0"/>
                <w:iCs w:val="0"/>
                <w:color w:val="000000"/>
                <w:kern w:val="0"/>
                <w:sz w:val="22"/>
                <w:szCs w:val="22"/>
                <w:u w:val="none"/>
                <w:lang w:val="en-US" w:eastAsia="zh-CN" w:bidi="ar"/>
              </w:rPr>
              <w:t>医学科</w:t>
            </w:r>
          </w:p>
        </w:tc>
      </w:tr>
      <w:tr w14:paraId="62F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A8DB097">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F97E3D7">
            <w:pPr>
              <w:keepNext w:val="0"/>
              <w:keepLines w:val="0"/>
              <w:widowControl/>
              <w:suppressLineNumbers w:val="0"/>
              <w:jc w:val="left"/>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一次性肠内营养供应管路</w:t>
            </w:r>
          </w:p>
        </w:tc>
        <w:tc>
          <w:tcPr>
            <w:tcW w:w="1327" w:type="dxa"/>
            <w:noWrap w:val="0"/>
            <w:vAlign w:val="center"/>
          </w:tcPr>
          <w:p w14:paraId="401F75E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A6612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12549ADA">
            <w:pPr>
              <w:keepNext w:val="0"/>
              <w:keepLines w:val="0"/>
              <w:widowControl/>
              <w:suppressLineNumbers w:val="0"/>
              <w:jc w:val="center"/>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重症、呼吸内科、肝胆外科、康复、营养科、神经外科</w:t>
            </w:r>
          </w:p>
        </w:tc>
      </w:tr>
      <w:tr w14:paraId="45B7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4A8AB0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158A54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一次性使用肠给养器</w:t>
            </w:r>
          </w:p>
        </w:tc>
        <w:tc>
          <w:tcPr>
            <w:tcW w:w="1327" w:type="dxa"/>
            <w:noWrap w:val="0"/>
            <w:vAlign w:val="center"/>
          </w:tcPr>
          <w:p w14:paraId="71DACE99">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35CD4AE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15B0BBB9">
            <w:pPr>
              <w:keepNext w:val="0"/>
              <w:keepLines w:val="0"/>
              <w:widowControl/>
              <w:suppressLineNumbers w:val="0"/>
              <w:jc w:val="center"/>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营养科、重症、神经外科、胸外科、胃肠外科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76373866"/>
      <w:bookmarkStart w:id="21" w:name="_Toc30358"/>
      <w:bookmarkStart w:id="22" w:name="_Toc10137"/>
      <w:bookmarkStart w:id="23" w:name="_Toc3434"/>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28099"/>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重症医学科包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重症医学科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重症医学科包X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重症医学科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14224"/>
      <w:bookmarkStart w:id="45" w:name="_Toc4033"/>
      <w:bookmarkStart w:id="46" w:name="_Toc76373872"/>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76373874"/>
      <w:bookmarkStart w:id="53" w:name="_Toc13391"/>
      <w:bookmarkStart w:id="54" w:name="_Toc11474"/>
      <w:bookmarkStart w:id="55" w:name="_Toc3153"/>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29225"/>
      <w:bookmarkStart w:id="60" w:name="_Toc30465"/>
      <w:bookmarkStart w:id="61" w:name="_Toc76373876"/>
      <w:bookmarkStart w:id="62" w:name="_Toc635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2EAECA7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适用于顽固性不稳定性心绞疼、接近心梗、AMI、顽固性心室衰竭、急性心梗并发症、心源性休克、缺血相关的疾病等引起的左心功能不全患者的治疗。</w:t>
      </w:r>
    </w:p>
    <w:p w14:paraId="416917A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1、球囊材料采用Durathane膜，耐磨性好，穿刺阻力小，充气时能迅速打开。</w:t>
      </w:r>
    </w:p>
    <w:p w14:paraId="099991B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2、独有卷叠技术，使球囊膜部和杆部一样粗细，可做到真正的无鞘穿刺。</w:t>
      </w:r>
    </w:p>
    <w:p w14:paraId="6E254B2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3、球囊采用保护手柄设计，保证穿刺前球囊始终卷紧。</w:t>
      </w:r>
    </w:p>
    <w:p w14:paraId="04ED78A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4、采用同腔设计，内腔≤0.027英寸，保证更好的压力信号质量。</w:t>
      </w:r>
    </w:p>
    <w:p w14:paraId="2D43384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5、具有满足≤152cm身高病人使用的导管。</w:t>
      </w:r>
    </w:p>
    <w:p w14:paraId="043D31E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6、30cc球囊管径7.5Fr，球囊膜长度≤17.8cm，球囊膜直径≤1.6cm</w:t>
      </w:r>
      <w:r>
        <w:rPr>
          <w:rFonts w:hint="eastAsia" w:cs="Times New Roman"/>
          <w:sz w:val="24"/>
          <w:szCs w:val="24"/>
          <w:lang w:val="en-US" w:eastAsia="zh-CN"/>
        </w:rPr>
        <w:t>，</w:t>
      </w:r>
      <w:r>
        <w:rPr>
          <w:rFonts w:hint="eastAsia" w:ascii="Times New Roman" w:eastAsia="宋体" w:cs="Times New Roman"/>
          <w:sz w:val="24"/>
          <w:szCs w:val="24"/>
          <w:lang w:val="en-US" w:eastAsia="zh-CN"/>
        </w:rPr>
        <w:t>适用于≤152cm身高患者；40cc球囊管径7.5Fr，球囊膜长度≤22.9cm，球囊膜直径≤1.6cm，适用于152cm-162cm身高患者</w:t>
      </w:r>
      <w:r>
        <w:rPr>
          <w:rFonts w:hint="eastAsia" w:cs="Times New Roman"/>
          <w:sz w:val="24"/>
          <w:szCs w:val="24"/>
          <w:lang w:val="en-US" w:eastAsia="zh-CN"/>
        </w:rPr>
        <w:t>；</w:t>
      </w:r>
      <w:r>
        <w:rPr>
          <w:rFonts w:hint="eastAsia" w:ascii="Times New Roman" w:eastAsia="宋体" w:cs="Times New Roman"/>
          <w:sz w:val="24"/>
          <w:szCs w:val="24"/>
          <w:lang w:val="en-US" w:eastAsia="zh-CN"/>
        </w:rPr>
        <w:t>50cc球囊管径8Fr，球囊膜长度≤25.8cm，球囊膜直径≤1.74cm，适用于≥162cm身高患者。</w:t>
      </w:r>
    </w:p>
    <w:p w14:paraId="78BBD1F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7、环氧乙烷灭菌，一次性使用。</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A5745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66E129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功能简介：用于定量测定全血活化凝血时间(ACT)的即时检验(POCT)试剂，适配Hemochron Signature Elite</w:t>
      </w:r>
    </w:p>
    <w:p w14:paraId="3C62464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075081C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检测项目：活化凝血时间</w:t>
      </w:r>
      <w:r>
        <w:rPr>
          <w:rFonts w:hint="eastAsia" w:cs="Times New Roman"/>
          <w:sz w:val="24"/>
          <w:szCs w:val="24"/>
          <w:lang w:val="en-US" w:eastAsia="zh-CN"/>
        </w:rPr>
        <w:t>。</w:t>
      </w:r>
    </w:p>
    <w:p w14:paraId="2AE6A4A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适用仪器：HEMOCHRON Signature Elite</w:t>
      </w:r>
    </w:p>
    <w:p w14:paraId="572EEE2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样本类型：新鲜全血</w:t>
      </w:r>
      <w:r>
        <w:rPr>
          <w:rFonts w:hint="eastAsia" w:cs="Times New Roman"/>
          <w:sz w:val="24"/>
          <w:szCs w:val="24"/>
          <w:lang w:val="en-US" w:eastAsia="zh-CN"/>
        </w:rPr>
        <w:t>。</w:t>
      </w:r>
    </w:p>
    <w:p w14:paraId="7AB9DDE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试剂管内活化剂：高岭土+硅石+磷脂</w:t>
      </w:r>
      <w:r>
        <w:rPr>
          <w:rFonts w:hint="eastAsia" w:cs="Times New Roman"/>
          <w:sz w:val="24"/>
          <w:szCs w:val="24"/>
          <w:lang w:val="en-US" w:eastAsia="zh-CN"/>
        </w:rPr>
        <w:t>。</w:t>
      </w:r>
    </w:p>
    <w:p w14:paraId="46737BFF">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可监测肝素浓度为0-2.5U/mL</w:t>
      </w:r>
      <w:r>
        <w:rPr>
          <w:rFonts w:hint="eastAsia" w:ascii="Times New Roman" w:hAnsi="Times New Roman" w:eastAsia="宋体" w:cs="Times New Roman"/>
          <w:sz w:val="24"/>
          <w:szCs w:val="24"/>
          <w:lang w:val="en-US" w:eastAsia="zh-CN"/>
        </w:rPr>
        <w:t>。</w:t>
      </w:r>
    </w:p>
    <w:p w14:paraId="2CDB5C44">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572F972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5DD4E8A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性能</w:t>
      </w:r>
      <w:r>
        <w:rPr>
          <w:rFonts w:hint="eastAsia" w:cs="Times New Roman"/>
          <w:sz w:val="24"/>
          <w:szCs w:val="24"/>
          <w:lang w:val="en-US" w:eastAsia="zh-CN"/>
        </w:rPr>
        <w:t>：</w:t>
      </w:r>
      <w:r>
        <w:rPr>
          <w:rFonts w:hint="eastAsia" w:ascii="Times New Roman" w:eastAsia="宋体" w:cs="Times New Roman"/>
          <w:sz w:val="24"/>
          <w:szCs w:val="24"/>
          <w:lang w:val="en-US" w:eastAsia="zh-CN"/>
        </w:rPr>
        <w:t>用于将肠内营养液从营养液容器内引至需要进行胃或肠内喂养患者的经鼻喂养管内或造口管内</w:t>
      </w:r>
      <w:r>
        <w:rPr>
          <w:rFonts w:hint="eastAsia" w:cs="Times New Roman"/>
          <w:sz w:val="24"/>
          <w:szCs w:val="24"/>
          <w:lang w:val="en-US" w:eastAsia="zh-CN"/>
        </w:rPr>
        <w:t>，</w:t>
      </w:r>
      <w:r>
        <w:rPr>
          <w:rFonts w:hint="eastAsia" w:ascii="Times New Roman" w:eastAsia="宋体" w:cs="Times New Roman"/>
          <w:sz w:val="24"/>
          <w:szCs w:val="24"/>
          <w:lang w:val="en-US" w:eastAsia="zh-CN"/>
        </w:rPr>
        <w:t>然后经后者使肠内营养液进入患者的消化道内。</w:t>
      </w:r>
    </w:p>
    <w:p w14:paraId="32C236C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结构及组成</w:t>
      </w:r>
      <w:r>
        <w:rPr>
          <w:rFonts w:hint="eastAsia" w:cs="Times New Roman"/>
          <w:sz w:val="24"/>
          <w:szCs w:val="24"/>
          <w:lang w:val="en-US" w:eastAsia="zh-CN"/>
        </w:rPr>
        <w:t>：</w:t>
      </w:r>
      <w:r>
        <w:rPr>
          <w:rFonts w:hint="eastAsia" w:ascii="Times New Roman" w:eastAsia="宋体" w:cs="Times New Roman"/>
          <w:sz w:val="24"/>
          <w:szCs w:val="24"/>
          <w:lang w:val="en-US" w:eastAsia="zh-CN"/>
        </w:rPr>
        <w:t>由具有弹性的导管、连接导管和营养液容器的接口(附带或不附带喂养袋)、连接导管和肠内喂养管的接头、流量调节器和滴注腔构成。</w:t>
      </w:r>
    </w:p>
    <w:p w14:paraId="2EDF624D">
      <w:pPr>
        <w:spacing w:line="320" w:lineRule="exact"/>
        <w:ind w:left="478" w:leftChars="85" w:hanging="240" w:hangingChars="100"/>
        <w:rPr>
          <w:rFonts w:hint="eastAsia"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导管材料为聚氯乙烯(PVC)，其增塑剂为偏苯三酸三辛酯(TOTM)；喂养袋材料为乙烯-醋酸乙烯共聚物</w:t>
      </w:r>
      <w:r>
        <w:rPr>
          <w:rFonts w:hint="eastAsia" w:cs="Times New Roman"/>
          <w:sz w:val="24"/>
          <w:szCs w:val="24"/>
          <w:lang w:val="en-US" w:eastAsia="zh-CN"/>
        </w:rPr>
        <w:t>。</w:t>
      </w:r>
    </w:p>
    <w:p w14:paraId="619F70E2">
      <w:pPr>
        <w:pStyle w:val="2"/>
        <w:rPr>
          <w:rFonts w:hint="eastAsia"/>
          <w:lang w:val="en-US" w:eastAsia="zh-CN"/>
        </w:rPr>
      </w:pPr>
    </w:p>
    <w:p w14:paraId="19934941">
      <w:pPr>
        <w:spacing w:line="320" w:lineRule="exact"/>
        <w:ind w:left="479" w:leftChars="85" w:hanging="241" w:hangingChars="100"/>
        <w:rPr>
          <w:rFonts w:hint="default" w:ascii="Times New Roman" w:eastAsia="宋体" w:cs="Times New Roman"/>
          <w:b/>
          <w:bCs/>
          <w:sz w:val="24"/>
          <w:szCs w:val="24"/>
          <w:lang w:val="en-US" w:eastAsia="zh-CN"/>
        </w:rPr>
      </w:pPr>
      <w:r>
        <w:rPr>
          <w:rFonts w:hint="eastAsia" w:cs="Times New Roman"/>
          <w:b/>
          <w:bCs/>
          <w:sz w:val="24"/>
          <w:szCs w:val="24"/>
          <w:lang w:val="en-US" w:eastAsia="zh-CN"/>
        </w:rPr>
        <w:t>包4</w:t>
      </w:r>
    </w:p>
    <w:p w14:paraId="21A8825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一、功能简介</w:t>
      </w:r>
    </w:p>
    <w:p w14:paraId="1560584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产品为专用于肠内营养泵的一次性耗材，用于临床胃肠内营养液的精准、安全输注。产品具备防误接、流量调节及不停输冲管等功能，管壁透明便于观察，环氧乙烷灭菌，满足ICU高标准院感要求。</w:t>
      </w:r>
    </w:p>
    <w:p w14:paraId="7DC8B39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二、详细参数</w:t>
      </w:r>
    </w:p>
    <w:p w14:paraId="45E922A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结构与规格：由接口、空气过滤器、贮液袋、导管、滴斗、硅胶泵管、流量调节器、冲洗三通、塔座等组成。提供针式、袋装等不同接口规格。</w:t>
      </w:r>
    </w:p>
    <w:p w14:paraId="3FBE7B2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关键尺寸：</w:t>
      </w:r>
    </w:p>
    <w:p w14:paraId="4165F28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上导管：310-325mm</w:t>
      </w:r>
      <w:r>
        <w:rPr>
          <w:rFonts w:hint="eastAsia" w:cs="Times New Roman"/>
          <w:sz w:val="24"/>
          <w:szCs w:val="24"/>
          <w:lang w:val="en-US" w:eastAsia="zh-CN"/>
        </w:rPr>
        <w:t>。</w:t>
      </w:r>
    </w:p>
    <w:p w14:paraId="7464EA9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下导管：1205-1210mm</w:t>
      </w:r>
      <w:r>
        <w:rPr>
          <w:rFonts w:hint="eastAsia" w:cs="Times New Roman"/>
          <w:sz w:val="24"/>
          <w:szCs w:val="24"/>
          <w:lang w:val="en-US" w:eastAsia="zh-CN"/>
        </w:rPr>
        <w:t>。</w:t>
      </w:r>
    </w:p>
    <w:p w14:paraId="5F5A301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硅胶泵管：长度200mm，壁厚0.98-1.01mm，外径5.0-5.1mm</w:t>
      </w:r>
      <w:r>
        <w:rPr>
          <w:rFonts w:hint="eastAsia" w:cs="Times New Roman"/>
          <w:sz w:val="24"/>
          <w:szCs w:val="24"/>
          <w:lang w:val="en-US" w:eastAsia="zh-CN"/>
        </w:rPr>
        <w:t>。</w:t>
      </w:r>
    </w:p>
    <w:p w14:paraId="5559107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核心性能：</w:t>
      </w:r>
    </w:p>
    <w:p w14:paraId="47D3C63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密封性：125kPa水压维持2分钟无泄漏。</w:t>
      </w:r>
    </w:p>
    <w:p w14:paraId="7DDB5D2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拉伸性：各连接处承受15N拉力无断裂、分离。</w:t>
      </w:r>
    </w:p>
    <w:p w14:paraId="762DCF0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滴速精度：滴管滴出20滴或60滴蒸馏水=1g±0.1g。</w:t>
      </w:r>
    </w:p>
    <w:p w14:paraId="2FED764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专用标识：泵管接头为紫色，内含肠内营养标贴。</w:t>
      </w:r>
    </w:p>
    <w:p w14:paraId="00BC901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灭菌保证：环氧乙烷灭菌，残留量≤7μg/g。</w:t>
      </w:r>
    </w:p>
    <w:p w14:paraId="46BD7D69">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功能设计：内置流量调节器；配备冲洗三通，实现不停输注冲管/给药；末端为防误接塔座，且可拆卸；全程透明管壁，便于观察</w:t>
      </w:r>
      <w:r>
        <w:rPr>
          <w:rFonts w:hint="eastAsia" w:ascii="Times New Roman" w:hAnsi="Times New Roman" w:eastAsia="宋体" w:cs="Times New Roman"/>
          <w:sz w:val="24"/>
          <w:szCs w:val="24"/>
          <w:lang w:val="en-US" w:eastAsia="zh-CN"/>
        </w:rPr>
        <w:t>。</w:t>
      </w: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944"/>
      <w:bookmarkStart w:id="68" w:name="_Toc31843"/>
      <w:bookmarkStart w:id="69" w:name="_Toc17524"/>
      <w:bookmarkStart w:id="70" w:name="_Toc2072"/>
      <w:bookmarkStart w:id="71" w:name="_Toc7794"/>
      <w:bookmarkStart w:id="72" w:name="_Toc4791"/>
      <w:bookmarkStart w:id="73" w:name="_Toc15650"/>
      <w:bookmarkStart w:id="74" w:name="_Toc76373878"/>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5959"/>
      <w:bookmarkStart w:id="79" w:name="_Toc30551"/>
      <w:bookmarkStart w:id="80" w:name="_Toc14311"/>
      <w:bookmarkStart w:id="81" w:name="_Toc29836"/>
      <w:bookmarkStart w:id="82" w:name="_Toc76373879"/>
      <w:bookmarkStart w:id="83" w:name="_Toc933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27737"/>
      <w:bookmarkStart w:id="89" w:name="_Toc2258"/>
      <w:bookmarkStart w:id="90" w:name="_Toc12384"/>
      <w:bookmarkStart w:id="91" w:name="_Toc76373885"/>
      <w:bookmarkStart w:id="92" w:name="_Toc20263"/>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1052"/>
      <w:bookmarkStart w:id="96" w:name="_Toc7115"/>
      <w:bookmarkStart w:id="97" w:name="_Toc28189"/>
      <w:bookmarkStart w:id="98" w:name="_Toc76373886"/>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2900"/>
      <w:bookmarkStart w:id="102" w:name="_Toc8546"/>
      <w:bookmarkStart w:id="103" w:name="_Toc5251"/>
      <w:bookmarkStart w:id="104" w:name="_Toc16925"/>
      <w:bookmarkStart w:id="105" w:name="_Toc76373889"/>
      <w:bookmarkStart w:id="106" w:name="_Toc30068"/>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76373890"/>
      <w:bookmarkStart w:id="110" w:name="_Toc11654"/>
      <w:bookmarkStart w:id="111" w:name="_Toc27443"/>
      <w:bookmarkStart w:id="112" w:name="_Toc11342"/>
      <w:bookmarkStart w:id="113" w:name="_Toc26071"/>
      <w:bookmarkStart w:id="114" w:name="_Toc2003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0391"/>
      <w:bookmarkStart w:id="117" w:name="_Toc10864"/>
      <w:bookmarkStart w:id="118" w:name="_Toc76373891"/>
      <w:bookmarkStart w:id="119" w:name="_Toc27646"/>
      <w:bookmarkStart w:id="120" w:name="_Toc25199"/>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76373904"/>
      <w:bookmarkStart w:id="130" w:name="_Toc2975"/>
      <w:bookmarkStart w:id="131" w:name="_Toc20762"/>
      <w:bookmarkStart w:id="132" w:name="_Toc19409"/>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892"/>
      <w:bookmarkStart w:id="135" w:name="_Toc7750"/>
      <w:bookmarkStart w:id="136" w:name="_Toc76373907"/>
      <w:bookmarkStart w:id="137" w:name="_Toc25920"/>
      <w:bookmarkStart w:id="138" w:name="_Toc12863"/>
      <w:bookmarkStart w:id="139" w:name="_Toc11763"/>
      <w:bookmarkStart w:id="140" w:name="_Toc1611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10063"/>
      <w:bookmarkStart w:id="150"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76373909"/>
      <w:bookmarkStart w:id="164" w:name="_Toc27306"/>
      <w:bookmarkStart w:id="165" w:name="_Toc21431"/>
      <w:bookmarkStart w:id="166" w:name="_Toc9795"/>
      <w:bookmarkStart w:id="167" w:name="_Toc21830"/>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16487"/>
      <w:bookmarkStart w:id="173" w:name="_Toc20258"/>
      <w:bookmarkStart w:id="174" w:name="_Toc12647"/>
      <w:bookmarkStart w:id="175" w:name="_Toc20875"/>
      <w:bookmarkStart w:id="176" w:name="_Toc492721039"/>
      <w:bookmarkStart w:id="177" w:name="_Toc411"/>
      <w:bookmarkStart w:id="178"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76373912"/>
      <w:bookmarkStart w:id="181" w:name="_Toc16151"/>
      <w:bookmarkStart w:id="182" w:name="_Toc492721038"/>
      <w:bookmarkStart w:id="183" w:name="_Toc4250"/>
      <w:bookmarkStart w:id="184" w:name="_Toc20605"/>
      <w:bookmarkStart w:id="185" w:name="_Toc493178793"/>
      <w:bookmarkStart w:id="186" w:name="_Toc6217"/>
      <w:bookmarkStart w:id="187" w:name="_Toc19291"/>
      <w:bookmarkStart w:id="188" w:name="_Toc892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191372-B7DA-4640-B0A5-819B4992584F}"/>
  </w:font>
  <w:font w:name="黑体">
    <w:panose1 w:val="02010609060101010101"/>
    <w:charset w:val="86"/>
    <w:family w:val="auto"/>
    <w:pitch w:val="default"/>
    <w:sig w:usb0="800002BF" w:usb1="38CF7CFA" w:usb2="00000016" w:usb3="00000000" w:csb0="00040001" w:csb1="00000000"/>
    <w:embedRegular r:id="rId2" w:fontKey="{0657BCD4-2E5A-4A7A-B36A-09081643B3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30CC082-FE82-4ABA-AE5E-4773DA8896D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3999CFD-0BA7-44CD-8672-E6850E99356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7E9E3FB-E746-452A-95DF-07DF42326DCE}"/>
  </w:font>
  <w:font w:name="方正黑体_GBK">
    <w:panose1 w:val="03000509000000000000"/>
    <w:charset w:val="86"/>
    <w:family w:val="script"/>
    <w:pitch w:val="default"/>
    <w:sig w:usb0="00000001" w:usb1="080E0000" w:usb2="00000000" w:usb3="00000000" w:csb0="00040000" w:csb1="00000000"/>
    <w:embedRegular r:id="rId6" w:fontKey="{72DF8ACC-F3B1-4198-9A0D-D02AF1D85E5C}"/>
  </w:font>
  <w:font w:name="方正小标宋_GBK">
    <w:panose1 w:val="03000509000000000000"/>
    <w:charset w:val="86"/>
    <w:family w:val="script"/>
    <w:pitch w:val="default"/>
    <w:sig w:usb0="00000001" w:usb1="080E0000" w:usb2="00000000" w:usb3="00000000" w:csb0="00040000" w:csb1="00000000"/>
    <w:embedRegular r:id="rId7" w:fontKey="{A03897EC-5595-4EA1-ADBF-C2D655A7322B}"/>
  </w:font>
  <w:font w:name="微软雅黑">
    <w:panose1 w:val="020B0503020204020204"/>
    <w:charset w:val="86"/>
    <w:family w:val="swiss"/>
    <w:pitch w:val="default"/>
    <w:sig w:usb0="80000287" w:usb1="2ACF3C50" w:usb2="00000016" w:usb3="00000000" w:csb0="0004001F" w:csb1="00000000"/>
    <w:embedRegular r:id="rId8" w:fontKey="{88F0CD36-5AF7-4736-8D56-C03211CC11B5}"/>
  </w:font>
  <w:font w:name="仿宋">
    <w:panose1 w:val="02010609060101010101"/>
    <w:charset w:val="86"/>
    <w:family w:val="modern"/>
    <w:pitch w:val="default"/>
    <w:sig w:usb0="800002BF" w:usb1="38CF7CFA" w:usb2="00000016" w:usb3="00000000" w:csb0="00040001" w:csb1="00000000"/>
    <w:embedRegular r:id="rId9" w:fontKey="{0B239B81-DC67-4984-A270-DD09A998684A}"/>
  </w:font>
  <w:font w:name="楷体">
    <w:panose1 w:val="02010609060101010101"/>
    <w:charset w:val="86"/>
    <w:family w:val="modern"/>
    <w:pitch w:val="default"/>
    <w:sig w:usb0="800002BF" w:usb1="38CF7CFA" w:usb2="00000016" w:usb3="00000000" w:csb0="00040001" w:csb1="00000000"/>
    <w:embedRegular r:id="rId10" w:fontKey="{45B76981-A488-4071-AC4F-E5477D396407}"/>
  </w:font>
  <w:font w:name="WPSEMBED115">
    <w:panose1 w:val="03000509000000000000"/>
    <w:charset w:val="86"/>
    <w:family w:val="auto"/>
    <w:pitch w:val="default"/>
    <w:sig w:usb0="00000001" w:usb1="080E0000" w:usb2="00000000" w:usb3="00000000" w:csb0="00040000" w:csb1="00000000"/>
  </w:font>
  <w:font w:name="WPSEMBED11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8F44A4"/>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273AF"/>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04AAC"/>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5FC4A4F"/>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7E134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D359BC"/>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D406CA"/>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0A4D82"/>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A0513B"/>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3252</Words>
  <Characters>3464</Characters>
  <Lines>101</Lines>
  <Paragraphs>28</Paragraphs>
  <TotalTime>9</TotalTime>
  <ScaleCrop>false</ScaleCrop>
  <LinksUpToDate>false</LinksUpToDate>
  <CharactersWithSpaces>3559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2026-01-22T10:05:47Z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