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0059"/>
      <w:bookmarkStart w:id="2" w:name="_Toc76373863"/>
      <w:bookmarkStart w:id="3" w:name="_Toc31066"/>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76373864"/>
      <w:bookmarkStart w:id="9" w:name="_Toc28264"/>
      <w:bookmarkStart w:id="10" w:name="_Toc22435"/>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eastAsia="宋体" w:cs="宋体"/>
          <w:color w:val="auto"/>
          <w:sz w:val="24"/>
          <w:szCs w:val="24"/>
          <w:lang w:val="en-US" w:eastAsia="zh-CN"/>
        </w:rPr>
        <w:t>冠状动脉刻痕球囊扩张导管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76373865"/>
            <w:bookmarkStart w:id="16" w:name="_Toc5838"/>
            <w:bookmarkStart w:id="17" w:name="_Toc22707"/>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冠状动脉刻痕球囊扩张导管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心内科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bookmarkStart w:id="197" w:name="_GoBack"/>
      <w:bookmarkEnd w:id="197"/>
      <w:r>
        <w:rPr>
          <w:rFonts w:hint="eastAsia" w:ascii="宋体" w:hAnsi="宋体" w:eastAsia="宋体" w:cs="宋体"/>
          <w:color w:val="auto"/>
          <w:sz w:val="24"/>
          <w:szCs w:val="24"/>
          <w:lang w:val="en-US" w:eastAsia="zh-CN"/>
        </w:rPr>
        <w:t>.本项目仅支持采购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25496"/>
      <w:bookmarkStart w:id="21" w:name="_Toc76373866"/>
      <w:bookmarkStart w:id="22" w:name="_Toc10137"/>
      <w:bookmarkStart w:id="23" w:name="_Toc2650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心内科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心内科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心内科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25272"/>
      <w:bookmarkStart w:id="46" w:name="_Toc76373872"/>
      <w:bookmarkStart w:id="47" w:name="_Toc1422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1474"/>
      <w:bookmarkStart w:id="52" w:name="_Toc76373874"/>
      <w:bookmarkStart w:id="53" w:name="_Toc3153"/>
      <w:bookmarkStart w:id="54" w:name="_Toc13391"/>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6355"/>
      <w:bookmarkStart w:id="61" w:name="_Toc29620"/>
      <w:bookmarkStart w:id="62" w:name="_Toc76373876"/>
      <w:bookmarkStart w:id="63" w:name="_Toc13107"/>
      <w:bookmarkStart w:id="64" w:name="_Toc1955"/>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0173C61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用于冠脉粥样硬化需要进行预处理的患者</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特别是药物洗脱支架或药物涂层、让球囊使用前的预处理，要求球囊表面带有金属刻痕丝，增强锚定;遇迂曲复杂病变需更小的球囊通过外径，高压精准扩张，减少血管弹性回缩，扩张力能保证病变有序撕裂，降低血管严重夹层风险，保证扩张效果。</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944"/>
      <w:bookmarkStart w:id="68" w:name="_Toc17524"/>
      <w:bookmarkStart w:id="69" w:name="_Toc15650"/>
      <w:bookmarkStart w:id="70" w:name="_Toc31843"/>
      <w:bookmarkStart w:id="71" w:name="_Toc1768"/>
      <w:bookmarkStart w:id="72" w:name="_Toc7794"/>
      <w:bookmarkStart w:id="73" w:name="_Toc24122"/>
      <w:bookmarkStart w:id="74" w:name="_Toc2072"/>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9339"/>
      <w:bookmarkStart w:id="79" w:name="_Toc30551"/>
      <w:bookmarkStart w:id="80" w:name="_Toc29836"/>
      <w:bookmarkStart w:id="81" w:name="_Toc76373879"/>
      <w:bookmarkStart w:id="82" w:name="_Toc22561"/>
      <w:bookmarkStart w:id="83" w:name="_Toc595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893"/>
      <w:bookmarkStart w:id="89" w:name="_Toc20263"/>
      <w:bookmarkStart w:id="90" w:name="_Toc27737"/>
      <w:bookmarkStart w:id="91" w:name="_Toc76373885"/>
      <w:bookmarkStart w:id="92" w:name="_Toc2258"/>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7115"/>
      <w:bookmarkStart w:id="96" w:name="_Toc76373886"/>
      <w:bookmarkStart w:id="97" w:name="_Toc23699"/>
      <w:bookmarkStart w:id="98" w:name="_Toc28189"/>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19809"/>
      <w:bookmarkStart w:id="103" w:name="_Toc31293"/>
      <w:bookmarkStart w:id="104" w:name="_Toc9147"/>
      <w:bookmarkStart w:id="105" w:name="_Toc26754"/>
      <w:bookmarkStart w:id="106" w:name="_Toc5535"/>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16925"/>
      <w:bookmarkStart w:id="109" w:name="_Toc5251"/>
      <w:bookmarkStart w:id="110" w:name="_Toc76373889"/>
      <w:bookmarkStart w:id="111" w:name="_Toc30068"/>
      <w:bookmarkStart w:id="112" w:name="_Toc2900"/>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0034"/>
      <w:bookmarkStart w:id="117" w:name="_Toc76373890"/>
      <w:bookmarkStart w:id="118" w:name="_Toc11654"/>
      <w:bookmarkStart w:id="119" w:name="_Toc26071"/>
      <w:bookmarkStart w:id="120" w:name="_Toc11342"/>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27646"/>
      <w:bookmarkStart w:id="125" w:name="_Toc25199"/>
      <w:bookmarkStart w:id="126" w:name="_Toc76373891"/>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24088"/>
      <w:bookmarkStart w:id="137" w:name="_Toc76373904"/>
      <w:bookmarkStart w:id="138" w:name="_Toc2975"/>
      <w:bookmarkStart w:id="139" w:name="_Toc20762"/>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1892"/>
      <w:bookmarkStart w:id="143" w:name="_Toc76373907"/>
      <w:bookmarkStart w:id="144" w:name="_Toc11763"/>
      <w:bookmarkStart w:id="145" w:name="_Toc7750"/>
      <w:bookmarkStart w:id="146" w:name="_Toc12863"/>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76373909"/>
      <w:bookmarkStart w:id="171" w:name="_Toc21431"/>
      <w:bookmarkStart w:id="172" w:name="_Toc493178790"/>
      <w:bookmarkStart w:id="173" w:name="_Toc9795"/>
      <w:bookmarkStart w:id="174" w:name="_Toc27306"/>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16487"/>
      <w:bookmarkStart w:id="180" w:name="_Toc20258"/>
      <w:bookmarkStart w:id="181" w:name="_Toc493178791"/>
      <w:bookmarkStart w:id="182" w:name="_Toc76373910"/>
      <w:bookmarkStart w:id="183" w:name="_Toc20875"/>
      <w:bookmarkStart w:id="184" w:name="_Toc411"/>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6151"/>
      <w:bookmarkStart w:id="188" w:name="_Toc76373912"/>
      <w:bookmarkStart w:id="189" w:name="_Toc20605"/>
      <w:bookmarkStart w:id="190" w:name="_Toc8925"/>
      <w:bookmarkStart w:id="191" w:name="_Toc492721038"/>
      <w:bookmarkStart w:id="192" w:name="_Toc6217"/>
      <w:bookmarkStart w:id="193" w:name="_Toc19291"/>
      <w:bookmarkStart w:id="194" w:name="_Toc4250"/>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940015-E1DB-420A-855B-D728376D2211}"/>
  </w:font>
  <w:font w:name="黑体">
    <w:panose1 w:val="02010609060101010101"/>
    <w:charset w:val="86"/>
    <w:family w:val="auto"/>
    <w:pitch w:val="default"/>
    <w:sig w:usb0="800002BF" w:usb1="38CF7CFA" w:usb2="00000016" w:usb3="00000000" w:csb0="00040001" w:csb1="00000000"/>
    <w:embedRegular r:id="rId2" w:fontKey="{0851C394-2D89-4331-95A0-2840909CCB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BF4A64D-1BD9-466D-BB41-A53C82B633D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6744D3E-D1D0-4437-8A7D-AAB87A2AA15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5196D9A-383F-4CC1-BAAC-24AB2EC6AAA5}"/>
  </w:font>
  <w:font w:name="方正黑体_GBK">
    <w:panose1 w:val="03000509000000000000"/>
    <w:charset w:val="86"/>
    <w:family w:val="script"/>
    <w:pitch w:val="default"/>
    <w:sig w:usb0="00000001" w:usb1="080E0000" w:usb2="00000000" w:usb3="00000000" w:csb0="00040000" w:csb1="00000000"/>
    <w:embedRegular r:id="rId6" w:fontKey="{566CFF8D-8889-4B74-ADFF-48D8260D1CEC}"/>
  </w:font>
  <w:font w:name="方正小标宋_GBK">
    <w:panose1 w:val="03000509000000000000"/>
    <w:charset w:val="86"/>
    <w:family w:val="script"/>
    <w:pitch w:val="default"/>
    <w:sig w:usb0="00000001" w:usb1="080E0000" w:usb2="00000000" w:usb3="00000000" w:csb0="00040000" w:csb1="00000000"/>
    <w:embedRegular r:id="rId7" w:fontKey="{53959CAF-8329-4293-B366-BE47C379675E}"/>
  </w:font>
  <w:font w:name="微软雅黑">
    <w:panose1 w:val="020B0503020204020204"/>
    <w:charset w:val="86"/>
    <w:family w:val="swiss"/>
    <w:pitch w:val="default"/>
    <w:sig w:usb0="80000287" w:usb1="2ACF3C50" w:usb2="00000016" w:usb3="00000000" w:csb0="0004001F" w:csb1="00000000"/>
    <w:embedRegular r:id="rId8" w:fontKey="{61C4F422-21FA-482B-945C-41EA1674FFD5}"/>
  </w:font>
  <w:font w:name="仿宋">
    <w:panose1 w:val="02010609060101010101"/>
    <w:charset w:val="86"/>
    <w:family w:val="modern"/>
    <w:pitch w:val="default"/>
    <w:sig w:usb0="800002BF" w:usb1="38CF7CFA" w:usb2="00000016" w:usb3="00000000" w:csb0="00040001" w:csb1="00000000"/>
    <w:embedRegular r:id="rId9" w:fontKey="{8BBB6781-372D-4508-975A-8E36B630683B}"/>
  </w:font>
  <w:font w:name="楷体">
    <w:panose1 w:val="02010609060101010101"/>
    <w:charset w:val="86"/>
    <w:family w:val="modern"/>
    <w:pitch w:val="default"/>
    <w:sig w:usb0="800002BF" w:usb1="38CF7CFA" w:usb2="00000016" w:usb3="00000000" w:csb0="00040001" w:csb1="00000000"/>
    <w:embedRegular r:id="rId10" w:fontKey="{4D0C3CB9-D744-4DD0-AE5B-B62FD93CEDB6}"/>
  </w:font>
  <w:font w:name="WPSEMBED27">
    <w:panose1 w:val="03000509000000000000"/>
    <w:charset w:val="86"/>
    <w:family w:val="auto"/>
    <w:pitch w:val="default"/>
    <w:sig w:usb0="00000001" w:usb1="080E0000" w:usb2="00000000" w:usb3="00000000" w:csb0="00040000" w:csb1="00000000"/>
  </w:font>
  <w:font w:name="WPSEMBED2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5362D6"/>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5703</Words>
  <Characters>5814</Characters>
  <Lines>101</Lines>
  <Paragraphs>28</Paragraphs>
  <TotalTime>7</TotalTime>
  <ScaleCrop>false</ScaleCrop>
  <LinksUpToDate>false</LinksUpToDate>
  <CharactersWithSpaces>6300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2026-01-21T09:10:28Z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