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31066"/>
      <w:bookmarkStart w:id="2" w:name="_Toc76373863"/>
      <w:bookmarkStart w:id="3" w:name="_Toc13868"/>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22435"/>
      <w:bookmarkStart w:id="9" w:name="_Toc5909"/>
      <w:bookmarkStart w:id="10" w:name="_Toc76373864"/>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7E2C10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宋体" w:hAnsi="宋体" w:cs="宋体"/>
          <w:color w:val="000000"/>
          <w:sz w:val="24"/>
          <w:szCs w:val="24"/>
          <w:lang w:eastAsia="zh-CN"/>
        </w:rPr>
        <w:t>电极探头</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5838"/>
            <w:bookmarkStart w:id="16" w:name="_Toc22129"/>
            <w:bookmarkStart w:id="17" w:name="_Toc18060"/>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5D81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74684A6E">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一</w:t>
            </w:r>
          </w:p>
        </w:tc>
        <w:tc>
          <w:tcPr>
            <w:tcW w:w="2456" w:type="dxa"/>
            <w:noWrap w:val="0"/>
            <w:vAlign w:val="center"/>
          </w:tcPr>
          <w:p w14:paraId="220997F5">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电极探头</w:t>
            </w:r>
          </w:p>
        </w:tc>
        <w:tc>
          <w:tcPr>
            <w:tcW w:w="1327" w:type="dxa"/>
            <w:noWrap w:val="0"/>
            <w:vAlign w:val="center"/>
          </w:tcPr>
          <w:p w14:paraId="6072CC16">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60AA92A">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06F8145F">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肝胆外科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30358"/>
      <w:bookmarkStart w:id="21" w:name="_Toc10137"/>
      <w:bookmarkStart w:id="22" w:name="_Toc25496"/>
      <w:bookmarkStart w:id="23" w:name="_Toc343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18799"/>
      <w:bookmarkStart w:id="32" w:name="_Toc654"/>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肝胆</w:t>
      </w:r>
      <w:r>
        <w:rPr>
          <w:rFonts w:hint="default" w:ascii="宋体" w:hAnsi="宋体" w:eastAsia="宋体" w:cs="宋体"/>
          <w:color w:val="000000"/>
          <w:sz w:val="24"/>
          <w:szCs w:val="24"/>
          <w:lang w:val="en-US" w:eastAsia="zh-CN"/>
        </w:rPr>
        <w:t>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肝胆</w:t>
      </w:r>
      <w:r>
        <w:rPr>
          <w:rFonts w:hint="default" w:ascii="宋体" w:hAnsi="宋体" w:eastAsia="宋体" w:cs="宋体"/>
          <w:color w:val="000000"/>
          <w:sz w:val="24"/>
          <w:szCs w:val="24"/>
          <w:lang w:val="en-US" w:eastAsia="zh-CN"/>
        </w:rPr>
        <w:t>外科</w:t>
      </w:r>
      <w:r>
        <w:rPr>
          <w:rFonts w:hint="eastAsia" w:ascii="Times New Roman" w:hAnsi="Times New Roman" w:cs="Times New Roman"/>
          <w:b w:val="0"/>
          <w:bCs w:val="0"/>
          <w:kern w:val="0"/>
          <w:sz w:val="24"/>
          <w:szCs w:val="24"/>
          <w:lang w:val="en-US" w:eastAsia="zh-CN"/>
        </w:rPr>
        <w:t>包X</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肝胆</w:t>
      </w:r>
      <w:r>
        <w:rPr>
          <w:rFonts w:hint="eastAsia" w:ascii="Times New Roman" w:hAnsi="Times New Roman" w:eastAsia="宋体" w:cs="Times New Roman"/>
          <w:b w:val="0"/>
          <w:bCs/>
          <w:kern w:val="0"/>
          <w:sz w:val="24"/>
          <w:szCs w:val="24"/>
          <w:u w:val="single"/>
          <w:lang w:val="en-US" w:eastAsia="zh-CN"/>
        </w:rPr>
        <w:t>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肝胆外科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25272"/>
      <w:bookmarkStart w:id="45" w:name="_Toc4033"/>
      <w:bookmarkStart w:id="46" w:name="_Toc14224"/>
      <w:bookmarkStart w:id="47" w:name="_Toc971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33B4ACFB">
      <w:pPr>
        <w:widowControl/>
        <w:spacing w:before="120" w:beforeLines="50" w:line="360" w:lineRule="exact"/>
        <w:outlineLvl w:val="1"/>
        <w:rPr>
          <w:rFonts w:hint="eastAsia" w:ascii="Times New Roman" w:hAnsi="Times New Roman" w:eastAsia="宋体" w:cs="Times New Roman"/>
          <w:b w:val="0"/>
          <w:bCs w:val="0"/>
          <w:color w:val="auto"/>
          <w:sz w:val="24"/>
          <w:szCs w:val="24"/>
          <w:lang w:val="en-US" w:eastAsia="zh-CN"/>
        </w:rPr>
      </w:pPr>
      <w:bookmarkStart w:id="50" w:name="_Toc32286"/>
      <w:r>
        <w:rPr>
          <w:rFonts w:hint="eastAsia" w:cs="宋体"/>
          <w:b/>
          <w:sz w:val="24"/>
        </w:rPr>
        <w:t>一、</w:t>
      </w:r>
      <w:bookmarkStart w:id="51" w:name="_Toc2599"/>
      <w:bookmarkStart w:id="52" w:name="_Toc76373874"/>
      <w:bookmarkStart w:id="53" w:name="_Toc3153"/>
      <w:bookmarkStart w:id="54" w:name="_Toc13391"/>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58" w:name="_Toc30465"/>
      <w:bookmarkStart w:id="59" w:name="_Toc76373876"/>
      <w:bookmarkStart w:id="60" w:name="_Toc29620"/>
      <w:bookmarkStart w:id="61" w:name="_Toc29225"/>
      <w:bookmarkStart w:id="62" w:name="_Toc6355"/>
      <w:bookmarkStart w:id="63" w:name="_Toc13107"/>
      <w:bookmarkStart w:id="64" w:name="_Toc1955"/>
    </w:p>
    <w:p w14:paraId="54458E9C">
      <w:pPr>
        <w:pStyle w:val="31"/>
        <w:ind w:firstLine="482" w:firstLineChars="200"/>
        <w:rPr>
          <w:rFonts w:hint="default"/>
          <w:b/>
          <w:bCs/>
          <w:lang w:val="en-US" w:eastAsia="zh-CN"/>
        </w:rPr>
      </w:pPr>
      <w:r>
        <w:rPr>
          <w:rFonts w:hint="eastAsia" w:ascii="Times New Roman" w:hAnsi="Times New Roman" w:cs="Times New Roman"/>
          <w:b/>
          <w:bCs/>
          <w:color w:val="auto"/>
          <w:sz w:val="24"/>
          <w:szCs w:val="24"/>
          <w:lang w:val="en-US" w:eastAsia="zh-CN"/>
        </w:rPr>
        <w:t>包1</w:t>
      </w:r>
    </w:p>
    <w:p w14:paraId="62D6ADB8">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参数如下：型号：NDJ1815规格：长度1.9，胆道镜电极直径≤1.5mm；材质：银包铜，聚四氟乙烯</w:t>
      </w:r>
      <w:r>
        <w:rPr>
          <w:rFonts w:hint="eastAsia" w:ascii="Times New Roman" w:hAnsi="Times New Roman" w:cs="Times New Roman"/>
          <w:b w:val="0"/>
          <w:bCs w:val="0"/>
          <w:color w:val="auto"/>
          <w:sz w:val="24"/>
          <w:szCs w:val="24"/>
          <w:lang w:val="en-US" w:eastAsia="zh-CN"/>
        </w:rPr>
        <w:t>。</w:t>
      </w:r>
    </w:p>
    <w:p w14:paraId="0C2094C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功能简介：电极探头连接到体内微电极碎石仪主机上，通过脚踏开关控制放电，由电极探头传输能量进行胆结石的碎石</w:t>
      </w: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17524"/>
      <w:bookmarkStart w:id="68" w:name="_Toc7794"/>
      <w:bookmarkStart w:id="69" w:name="_Toc15650"/>
      <w:bookmarkStart w:id="70" w:name="_Toc76373878"/>
      <w:bookmarkStart w:id="71" w:name="_Toc24122"/>
      <w:bookmarkStart w:id="72" w:name="_Toc31843"/>
      <w:bookmarkStart w:id="73" w:name="_Toc2072"/>
      <w:bookmarkStart w:id="74" w:name="_Toc1768"/>
      <w:bookmarkStart w:id="75" w:name="_Toc4791"/>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76373879"/>
      <w:bookmarkStart w:id="80" w:name="_Toc9339"/>
      <w:bookmarkStart w:id="81" w:name="_Toc29836"/>
      <w:bookmarkStart w:id="82" w:name="_Toc5959"/>
      <w:bookmarkStart w:id="83" w:name="_Toc2256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12384"/>
      <w:bookmarkStart w:id="89" w:name="_Toc20772"/>
      <w:bookmarkStart w:id="90" w:name="_Toc20263"/>
      <w:bookmarkStart w:id="91" w:name="_Toc2258"/>
      <w:bookmarkStart w:id="92" w:name="_Toc27737"/>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23699"/>
      <w:bookmarkStart w:id="96" w:name="_Toc7115"/>
      <w:bookmarkStart w:id="97" w:name="_Toc28189"/>
      <w:bookmarkStart w:id="98" w:name="_Toc11052"/>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30068"/>
      <w:bookmarkStart w:id="102" w:name="_Toc8546"/>
      <w:bookmarkStart w:id="103" w:name="_Toc76373889"/>
      <w:bookmarkStart w:id="104" w:name="_Toc2900"/>
      <w:bookmarkStart w:id="105" w:name="_Toc16925"/>
      <w:bookmarkStart w:id="106" w:name="_Toc5251"/>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7443"/>
      <w:bookmarkStart w:id="111" w:name="_Toc26071"/>
      <w:bookmarkStart w:id="112" w:name="_Toc20034"/>
      <w:bookmarkStart w:id="113" w:name="_Toc11654"/>
      <w:bookmarkStart w:id="114" w:name="_Toc76373890"/>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10864"/>
      <w:bookmarkStart w:id="118" w:name="_Toc20391"/>
      <w:bookmarkStart w:id="119" w:name="_Toc25199"/>
      <w:bookmarkStart w:id="120" w:name="_Toc763738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76373904"/>
      <w:bookmarkStart w:id="129" w:name="_Toc24088"/>
      <w:bookmarkStart w:id="130" w:name="_Toc10152"/>
      <w:bookmarkStart w:id="131" w:name="_Toc19409"/>
      <w:bookmarkStart w:id="132" w:name="_Toc2975"/>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25920"/>
      <w:bookmarkStart w:id="135" w:name="_Toc16112"/>
      <w:bookmarkStart w:id="136" w:name="_Toc11763"/>
      <w:bookmarkStart w:id="137" w:name="_Toc76373907"/>
      <w:bookmarkStart w:id="138" w:name="_Toc11892"/>
      <w:bookmarkStart w:id="139" w:name="_Toc12863"/>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22827"/>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431"/>
      <w:bookmarkStart w:id="163" w:name="_Toc21830"/>
      <w:bookmarkStart w:id="164" w:name="_Toc493178790"/>
      <w:bookmarkStart w:id="165" w:name="_Toc76373909"/>
      <w:bookmarkStart w:id="166" w:name="_Toc9795"/>
      <w:bookmarkStart w:id="167" w:name="_Toc27306"/>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20258"/>
      <w:bookmarkStart w:id="172" w:name="_Toc492721039"/>
      <w:bookmarkStart w:id="173" w:name="_Toc411"/>
      <w:bookmarkStart w:id="174" w:name="_Toc16487"/>
      <w:bookmarkStart w:id="175" w:name="_Toc12647"/>
      <w:bookmarkStart w:id="176" w:name="_Toc493178791"/>
      <w:bookmarkStart w:id="177" w:name="_Toc20875"/>
      <w:bookmarkStart w:id="178"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92721038"/>
      <w:bookmarkStart w:id="181" w:name="_Toc20605"/>
      <w:bookmarkStart w:id="182" w:name="_Toc76373912"/>
      <w:bookmarkStart w:id="183" w:name="_Toc16151"/>
      <w:bookmarkStart w:id="184" w:name="_Toc4250"/>
      <w:bookmarkStart w:id="185" w:name="_Toc8925"/>
      <w:bookmarkStart w:id="186" w:name="_Toc493178793"/>
      <w:bookmarkStart w:id="187" w:name="_Toc19291"/>
      <w:bookmarkStart w:id="188" w:name="_Toc6217"/>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631007-2DDD-494F-BD94-EE9CFFCE1862}"/>
  </w:font>
  <w:font w:name="黑体">
    <w:panose1 w:val="02010609060101010101"/>
    <w:charset w:val="86"/>
    <w:family w:val="auto"/>
    <w:pitch w:val="default"/>
    <w:sig w:usb0="800002BF" w:usb1="38CF7CFA" w:usb2="00000016" w:usb3="00000000" w:csb0="00040001" w:csb1="00000000"/>
    <w:embedRegular r:id="rId2" w:fontKey="{86559483-AEB9-4E47-A5D1-42BB1D1391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88EE74F-BD87-48C5-A094-F64D04EA805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BBC9BFC0-F2F3-4653-9BE9-2D756C59516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F954150-5344-45AE-8A18-66CF01672A51}"/>
  </w:font>
  <w:font w:name="方正黑体_GBK">
    <w:panose1 w:val="03000509000000000000"/>
    <w:charset w:val="86"/>
    <w:family w:val="script"/>
    <w:pitch w:val="default"/>
    <w:sig w:usb0="00000001" w:usb1="080E0000" w:usb2="00000000" w:usb3="00000000" w:csb0="00040000" w:csb1="00000000"/>
    <w:embedRegular r:id="rId6" w:fontKey="{19A17719-DAFD-4C0C-845F-6744279DFF37}"/>
  </w:font>
  <w:font w:name="方正小标宋_GBK">
    <w:panose1 w:val="03000509000000000000"/>
    <w:charset w:val="86"/>
    <w:family w:val="script"/>
    <w:pitch w:val="default"/>
    <w:sig w:usb0="00000001" w:usb1="080E0000" w:usb2="00000000" w:usb3="00000000" w:csb0="00040000" w:csb1="00000000"/>
    <w:embedRegular r:id="rId7" w:fontKey="{0990C191-94BF-41D0-BDB5-AB432C0F736F}"/>
  </w:font>
  <w:font w:name="微软雅黑">
    <w:panose1 w:val="020B0503020204020204"/>
    <w:charset w:val="86"/>
    <w:family w:val="swiss"/>
    <w:pitch w:val="default"/>
    <w:sig w:usb0="80000287" w:usb1="2ACF3C50" w:usb2="00000016" w:usb3="00000000" w:csb0="0004001F" w:csb1="00000000"/>
    <w:embedRegular r:id="rId8" w:fontKey="{391783F7-5200-4328-AAA7-4EA196CA93AA}"/>
  </w:font>
  <w:font w:name="仿宋">
    <w:panose1 w:val="02010609060101010101"/>
    <w:charset w:val="86"/>
    <w:family w:val="modern"/>
    <w:pitch w:val="default"/>
    <w:sig w:usb0="800002BF" w:usb1="38CF7CFA" w:usb2="00000016" w:usb3="00000000" w:csb0="00040001" w:csb1="00000000"/>
    <w:embedRegular r:id="rId9" w:fontKey="{1128D6D6-390D-4ABA-A704-6C9CDE24A2DA}"/>
  </w:font>
  <w:font w:name="楷体">
    <w:panose1 w:val="02010609060101010101"/>
    <w:charset w:val="86"/>
    <w:family w:val="modern"/>
    <w:pitch w:val="default"/>
    <w:sig w:usb0="800002BF" w:usb1="38CF7CFA" w:usb2="00000016" w:usb3="00000000" w:csb0="00040001" w:csb1="00000000"/>
    <w:embedRegular r:id="rId10" w:fontKey="{CB0A7631-E50A-4C22-82BB-960A0DB4CCF2}"/>
  </w:font>
  <w:font w:name="WPSEMBED33">
    <w:panose1 w:val="03000509000000000000"/>
    <w:charset w:val="86"/>
    <w:family w:val="auto"/>
    <w:pitch w:val="default"/>
    <w:sig w:usb0="00000001" w:usb1="080E0000" w:usb2="00000000" w:usb3="00000000" w:csb0="00040000" w:csb1="00000000"/>
  </w:font>
  <w:font w:name="WPSEMBED34">
    <w:panose1 w:val="03000509000000000000"/>
    <w:charset w:val="86"/>
    <w:family w:val="auto"/>
    <w:pitch w:val="default"/>
    <w:sig w:usb0="00000001" w:usb1="080E0000" w:usb2="00000000" w:usb3="00000000" w:csb0="00040000" w:csb1="00000000"/>
  </w:font>
  <w:font w:name="WPSEMBED31">
    <w:panose1 w:val="02010609030101010101"/>
    <w:charset w:val="86"/>
    <w:family w:val="auto"/>
    <w:pitch w:val="default"/>
    <w:sig w:usb0="00000001" w:usb1="080E0000" w:usb2="00000000" w:usb3="00000000" w:csb0="00040000" w:csb1="00000000"/>
  </w:font>
  <w:font w:name="WPSEMBED35">
    <w:panose1 w:val="03000509000000000000"/>
    <w:charset w:val="86"/>
    <w:family w:val="auto"/>
    <w:pitch w:val="default"/>
    <w:sig w:usb0="00000001" w:usb1="080E0000" w:usb2="00000000" w:usb3="00000000" w:csb0="00040000" w:csb1="00000000"/>
  </w:font>
  <w:font w:name="WPSEMBED3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844"/>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0F65F43"/>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5065D6"/>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A45CBC"/>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2F23DE"/>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CC78EE"/>
    <w:rsid w:val="76D178BC"/>
    <w:rsid w:val="76E01F41"/>
    <w:rsid w:val="77314DE6"/>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4745</Words>
  <Characters>4869</Characters>
  <Lines>101</Lines>
  <Paragraphs>28</Paragraphs>
  <TotalTime>0</TotalTime>
  <ScaleCrop>false</ScaleCrop>
  <LinksUpToDate>false</LinksUpToDate>
  <CharactersWithSpaces>4976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2026-05-14T07:57:21Z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eyJoZGlkIjoiMzc1OGNlMDJlMzRlMzMzYmE1ZjU3MzU3ZjgyMjI5MWIiLCJ1c2VySWQiOiIxMjgyNDcwNjU2In0=</vt:lpwstr>
  </property>
</Properties>
</file>